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131E5" w14:textId="77777777" w:rsidR="006476F3" w:rsidRPr="006C22C2" w:rsidRDefault="006476F3" w:rsidP="006C22C2">
      <w:pPr>
        <w:spacing w:line="360" w:lineRule="auto"/>
        <w:jc w:val="both"/>
        <w:rPr>
          <w:rFonts w:ascii="Arial" w:hAnsi="Arial" w:cs="Arial"/>
          <w:b/>
          <w:i/>
          <w:iCs/>
        </w:rPr>
      </w:pPr>
      <w:proofErr w:type="spellStart"/>
      <w:r w:rsidRPr="006C22C2">
        <w:rPr>
          <w:rFonts w:ascii="Arial" w:hAnsi="Arial" w:cs="Arial"/>
          <w:b/>
          <w:i/>
          <w:iCs/>
        </w:rPr>
        <w:t>Minimising</w:t>
      </w:r>
      <w:proofErr w:type="spellEnd"/>
      <w:r w:rsidRPr="006C22C2">
        <w:rPr>
          <w:rFonts w:ascii="Arial" w:hAnsi="Arial" w:cs="Arial"/>
          <w:b/>
          <w:i/>
          <w:iCs/>
        </w:rPr>
        <w:t xml:space="preserve"> Decalcification Time</w:t>
      </w:r>
    </w:p>
    <w:p w14:paraId="4563EC31" w14:textId="47F277D4" w:rsidR="006476F3" w:rsidRPr="006C22C2" w:rsidRDefault="006476F3" w:rsidP="006C22C2">
      <w:pPr>
        <w:spacing w:line="360" w:lineRule="auto"/>
        <w:ind w:firstLine="720"/>
        <w:jc w:val="both"/>
        <w:rPr>
          <w:rFonts w:ascii="Arial" w:hAnsi="Arial" w:cs="Arial"/>
        </w:rPr>
      </w:pPr>
      <w:r w:rsidRPr="006C22C2">
        <w:rPr>
          <w:rFonts w:ascii="Arial" w:hAnsi="Arial" w:cs="Arial"/>
        </w:rPr>
        <w:t xml:space="preserve">To </w:t>
      </w:r>
      <w:proofErr w:type="spellStart"/>
      <w:r w:rsidRPr="006C22C2">
        <w:rPr>
          <w:rFonts w:ascii="Arial" w:hAnsi="Arial" w:cs="Arial"/>
        </w:rPr>
        <w:t>optimise</w:t>
      </w:r>
      <w:proofErr w:type="spellEnd"/>
      <w:r w:rsidRPr="006C22C2">
        <w:rPr>
          <w:rFonts w:ascii="Arial" w:hAnsi="Arial" w:cs="Arial"/>
        </w:rPr>
        <w:t xml:space="preserve"> the speed of </w:t>
      </w:r>
      <w:proofErr w:type="spellStart"/>
      <w:r w:rsidRPr="006C22C2">
        <w:rPr>
          <w:rFonts w:ascii="Arial" w:hAnsi="Arial" w:cs="Arial"/>
        </w:rPr>
        <w:t>AutoZooMS</w:t>
      </w:r>
      <w:proofErr w:type="spellEnd"/>
      <w:r w:rsidRPr="006C22C2">
        <w:rPr>
          <w:rFonts w:ascii="Arial" w:hAnsi="Arial" w:cs="Arial"/>
        </w:rPr>
        <w:t>, an investigation into the minimum required decalcification time was conducted. Bone fragments (n = 24) were place in 5 mL Eppendorf tubes and 4 mL of 0.6 M HCl was added. Then at 2-, 4-, 6- and 24-hour intervals 0.3 mL of acid was removed and frozen. After the final acid had been removed, samples were thawed, and a protein assay was performed using an Invitrogen Qubit Protein Assay Kit and a Qubit 2.0 Fluorometer (</w:t>
      </w:r>
      <w:proofErr w:type="spellStart"/>
      <w:r w:rsidRPr="006C22C2">
        <w:rPr>
          <w:rFonts w:ascii="Arial" w:hAnsi="Arial" w:cs="Arial"/>
        </w:rPr>
        <w:t>Thermofisher</w:t>
      </w:r>
      <w:proofErr w:type="spellEnd"/>
      <w:r w:rsidRPr="006C22C2">
        <w:rPr>
          <w:rFonts w:ascii="Arial" w:hAnsi="Arial" w:cs="Arial"/>
        </w:rPr>
        <w:t xml:space="preserve"> Scientific, UK). Protein assay was performed as by product specification. Protein quantification was performed on 24 acid-soluble protein samples.</w:t>
      </w:r>
      <w:r w:rsidRPr="006C22C2">
        <w:rPr>
          <w:rFonts w:ascii="Arial" w:hAnsi="Arial" w:cs="Arial"/>
          <w:b/>
          <w:i/>
          <w:iCs/>
        </w:rPr>
        <w:t xml:space="preserve"> </w:t>
      </w:r>
      <w:r w:rsidRPr="006C22C2">
        <w:rPr>
          <w:rFonts w:ascii="Arial" w:hAnsi="Arial" w:cs="Arial"/>
        </w:rPr>
        <w:t>Protein concentration at both 6 and 24</w:t>
      </w:r>
      <w:r w:rsidR="000240DB" w:rsidRPr="006C22C2">
        <w:rPr>
          <w:rFonts w:ascii="Arial" w:hAnsi="Arial" w:cs="Arial"/>
        </w:rPr>
        <w:t xml:space="preserve"> </w:t>
      </w:r>
      <w:r w:rsidRPr="006C22C2">
        <w:rPr>
          <w:rFonts w:ascii="Arial" w:hAnsi="Arial" w:cs="Arial"/>
        </w:rPr>
        <w:t>hours was significantly higher than protein concentration at 2 and 4</w:t>
      </w:r>
      <w:r w:rsidR="000240DB" w:rsidRPr="006C22C2">
        <w:rPr>
          <w:rFonts w:ascii="Arial" w:hAnsi="Arial" w:cs="Arial"/>
        </w:rPr>
        <w:t xml:space="preserve"> </w:t>
      </w:r>
      <w:r w:rsidRPr="006C22C2">
        <w:rPr>
          <w:rFonts w:ascii="Arial" w:hAnsi="Arial" w:cs="Arial"/>
        </w:rPr>
        <w:t>hours (2 </w:t>
      </w:r>
      <w:r w:rsidR="000240DB" w:rsidRPr="006C22C2">
        <w:rPr>
          <w:rFonts w:ascii="Arial" w:hAnsi="Arial" w:cs="Arial"/>
        </w:rPr>
        <w:t>-</w:t>
      </w:r>
      <w:r w:rsidRPr="006C22C2">
        <w:rPr>
          <w:rFonts w:ascii="Arial" w:hAnsi="Arial" w:cs="Arial"/>
        </w:rPr>
        <w:t> 6</w:t>
      </w:r>
      <w:r w:rsidR="000240DB" w:rsidRPr="006C22C2">
        <w:rPr>
          <w:rFonts w:ascii="Arial" w:hAnsi="Arial" w:cs="Arial"/>
        </w:rPr>
        <w:t xml:space="preserve"> hours</w:t>
      </w:r>
      <w:r w:rsidRPr="006C22C2">
        <w:rPr>
          <w:rFonts w:ascii="Arial" w:hAnsi="Arial" w:cs="Arial"/>
        </w:rPr>
        <w:t>: p &lt; 0.01, 2 </w:t>
      </w:r>
      <w:r w:rsidR="000240DB" w:rsidRPr="006C22C2">
        <w:rPr>
          <w:rFonts w:ascii="Arial" w:hAnsi="Arial" w:cs="Arial"/>
        </w:rPr>
        <w:t>-</w:t>
      </w:r>
      <w:r w:rsidRPr="006C22C2">
        <w:rPr>
          <w:rFonts w:ascii="Arial" w:hAnsi="Arial" w:cs="Arial"/>
        </w:rPr>
        <w:t> 24: p &lt; 0.0001, 4 </w:t>
      </w:r>
      <w:r w:rsidR="000240DB" w:rsidRPr="006C22C2">
        <w:rPr>
          <w:rFonts w:ascii="Arial" w:hAnsi="Arial" w:cs="Arial"/>
        </w:rPr>
        <w:t>-</w:t>
      </w:r>
      <w:r w:rsidRPr="006C22C2">
        <w:rPr>
          <w:rFonts w:ascii="Arial" w:hAnsi="Arial" w:cs="Arial"/>
        </w:rPr>
        <w:t> 6: p &lt; 0.01, 4 </w:t>
      </w:r>
      <w:r w:rsidR="000240DB" w:rsidRPr="006C22C2">
        <w:rPr>
          <w:rFonts w:ascii="Arial" w:hAnsi="Arial" w:cs="Arial"/>
        </w:rPr>
        <w:t>-</w:t>
      </w:r>
      <w:r w:rsidRPr="006C22C2">
        <w:rPr>
          <w:rFonts w:ascii="Arial" w:hAnsi="Arial" w:cs="Arial"/>
        </w:rPr>
        <w:t> 24: p &lt; 0.01). No significant difference in protein concentration was recorded between 2–4 hours, and between 6–24 hours respectively (p &gt; 0.05 for all), indicating that a 6-hour decalcification could be considered adequate.</w:t>
      </w:r>
      <w:r w:rsidR="00C1367D" w:rsidRPr="006C22C2">
        <w:rPr>
          <w:rFonts w:ascii="Arial" w:hAnsi="Arial" w:cs="Arial"/>
        </w:rPr>
        <w:t xml:space="preserve"> </w:t>
      </w:r>
    </w:p>
    <w:p w14:paraId="2568F103" w14:textId="77777777" w:rsidR="006476F3" w:rsidRPr="006C22C2" w:rsidRDefault="006476F3" w:rsidP="006C22C2">
      <w:pPr>
        <w:spacing w:line="360" w:lineRule="auto"/>
        <w:ind w:firstLine="720"/>
        <w:jc w:val="both"/>
        <w:rPr>
          <w:rFonts w:ascii="Arial" w:hAnsi="Arial" w:cs="Arial"/>
          <w:b/>
          <w:i/>
          <w:iCs/>
        </w:rPr>
      </w:pPr>
    </w:p>
    <w:p w14:paraId="45F2D86E" w14:textId="77777777" w:rsidR="006476F3" w:rsidRPr="006C22C2" w:rsidRDefault="006476F3" w:rsidP="006C22C2">
      <w:pPr>
        <w:spacing w:line="360" w:lineRule="auto"/>
        <w:jc w:val="center"/>
        <w:rPr>
          <w:rFonts w:ascii="Arial" w:hAnsi="Arial" w:cs="Arial"/>
          <w:i/>
          <w:iCs/>
        </w:rPr>
      </w:pPr>
      <w:bookmarkStart w:id="0" w:name="[IMAGE-Fig5_Print.png]"/>
      <w:r w:rsidRPr="006C22C2">
        <w:rPr>
          <w:rFonts w:ascii="Arial" w:hAnsi="Arial" w:cs="Arial"/>
          <w:i/>
          <w:iCs/>
          <w:noProof/>
          <w:lang w:val="en-IN" w:eastAsia="en-IN"/>
        </w:rPr>
        <w:drawing>
          <wp:inline distT="0" distB="0" distL="0" distR="0" wp14:anchorId="5CB8D8C0" wp14:editId="7EDF3BA1">
            <wp:extent cx="5776519" cy="3749040"/>
            <wp:effectExtent l="0" t="0" r="0" b="3810"/>
            <wp:docPr id="25" name="Picture 25" descr="Chart, bar 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Chart, bar chart, box and whisker ch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6586" cy="376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065D3B9" w14:textId="77777777" w:rsidR="006476F3" w:rsidRPr="006C22C2" w:rsidRDefault="006476F3" w:rsidP="006C22C2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C22C2">
        <w:rPr>
          <w:rFonts w:ascii="Arial" w:hAnsi="Arial" w:cs="Arial"/>
          <w:b/>
          <w:bCs/>
          <w:sz w:val="20"/>
          <w:szCs w:val="20"/>
        </w:rPr>
        <w:t>Figure S1: The mean acid-soluble protein concentration of samples after 2-, 4-, 6- and 24-hours decalcification. A and B lettering indicates groups of statistical significance.</w:t>
      </w:r>
    </w:p>
    <w:p w14:paraId="26696D1A" w14:textId="77777777" w:rsidR="00FF763B" w:rsidRPr="006C22C2" w:rsidRDefault="00FF763B" w:rsidP="006C22C2">
      <w:pPr>
        <w:spacing w:line="360" w:lineRule="auto"/>
        <w:jc w:val="both"/>
        <w:rPr>
          <w:rFonts w:ascii="Arial" w:hAnsi="Arial" w:cs="Arial"/>
          <w:b/>
          <w:i/>
          <w:iCs/>
        </w:rPr>
      </w:pPr>
    </w:p>
    <w:p w14:paraId="2D7818EE" w14:textId="5720F525" w:rsidR="006476F3" w:rsidRPr="006C22C2" w:rsidRDefault="006476F3" w:rsidP="006C22C2">
      <w:pPr>
        <w:spacing w:line="360" w:lineRule="auto"/>
        <w:jc w:val="both"/>
        <w:rPr>
          <w:rFonts w:ascii="Arial" w:hAnsi="Arial" w:cs="Arial"/>
          <w:b/>
          <w:i/>
          <w:iCs/>
        </w:rPr>
      </w:pPr>
      <w:proofErr w:type="spellStart"/>
      <w:r w:rsidRPr="006C22C2">
        <w:rPr>
          <w:rFonts w:ascii="Arial" w:hAnsi="Arial" w:cs="Arial"/>
          <w:b/>
          <w:i/>
          <w:iCs/>
        </w:rPr>
        <w:lastRenderedPageBreak/>
        <w:t>Minimising</w:t>
      </w:r>
      <w:proofErr w:type="spellEnd"/>
      <w:r w:rsidRPr="006C22C2">
        <w:rPr>
          <w:rFonts w:ascii="Arial" w:hAnsi="Arial" w:cs="Arial"/>
          <w:b/>
          <w:i/>
          <w:iCs/>
        </w:rPr>
        <w:t xml:space="preserve"> Enzymatic Digestion Time</w:t>
      </w:r>
    </w:p>
    <w:p w14:paraId="73612931" w14:textId="64D5CC97" w:rsidR="006476F3" w:rsidRDefault="006476F3">
      <w:pPr>
        <w:spacing w:line="360" w:lineRule="auto"/>
        <w:ind w:firstLine="720"/>
        <w:jc w:val="both"/>
        <w:rPr>
          <w:rFonts w:ascii="Arial" w:hAnsi="Arial" w:cs="Arial"/>
        </w:rPr>
      </w:pPr>
      <w:proofErr w:type="spellStart"/>
      <w:r w:rsidRPr="006C22C2">
        <w:rPr>
          <w:rFonts w:ascii="Arial" w:hAnsi="Arial" w:cs="Arial"/>
        </w:rPr>
        <w:t>ZooMS</w:t>
      </w:r>
      <w:proofErr w:type="spellEnd"/>
      <w:r w:rsidRPr="006C22C2">
        <w:rPr>
          <w:rFonts w:ascii="Arial" w:hAnsi="Arial" w:cs="Arial"/>
        </w:rPr>
        <w:t xml:space="preserve"> is typically performed with overnight (~ 18–24 hour) digests at 37 </w:t>
      </w:r>
      <w:r w:rsidRPr="006C22C2">
        <w:rPr>
          <w:rFonts w:ascii="Arial" w:hAnsi="Arial" w:cs="Arial" w:hint="eastAsia"/>
        </w:rPr>
        <w:t>˚</w:t>
      </w:r>
      <w:r w:rsidRPr="006C22C2">
        <w:rPr>
          <w:rFonts w:ascii="Arial" w:hAnsi="Arial" w:cs="Arial"/>
        </w:rPr>
        <w:t>C, reducing this time to 2-, 4-</w:t>
      </w:r>
      <w:r w:rsidR="00D568BC" w:rsidRPr="006C22C2">
        <w:rPr>
          <w:rFonts w:ascii="Arial" w:hAnsi="Arial" w:cs="Arial"/>
        </w:rPr>
        <w:t xml:space="preserve"> and </w:t>
      </w:r>
      <w:r w:rsidRPr="006C22C2">
        <w:rPr>
          <w:rFonts w:ascii="Arial" w:hAnsi="Arial" w:cs="Arial"/>
        </w:rPr>
        <w:t>6-</w:t>
      </w:r>
      <w:r w:rsidR="000240DB" w:rsidRPr="006C22C2">
        <w:rPr>
          <w:rFonts w:ascii="Arial" w:hAnsi="Arial" w:cs="Arial"/>
        </w:rPr>
        <w:t>hour</w:t>
      </w:r>
      <w:r w:rsidRPr="006C22C2">
        <w:rPr>
          <w:rFonts w:ascii="Arial" w:hAnsi="Arial" w:cs="Arial"/>
        </w:rPr>
        <w:t xml:space="preserve"> intervals</w:t>
      </w:r>
      <w:r w:rsidR="00607C53" w:rsidRPr="006C22C2">
        <w:rPr>
          <w:rFonts w:ascii="Arial" w:hAnsi="Arial" w:cs="Arial"/>
        </w:rPr>
        <w:t xml:space="preserve"> was evaluated </w:t>
      </w:r>
      <w:r w:rsidRPr="006C22C2">
        <w:rPr>
          <w:rFonts w:ascii="Arial" w:hAnsi="Arial" w:cs="Arial"/>
        </w:rPr>
        <w:t>(Supplementary Figure S2). The success rate of collagen fingerprinting, as determined by species identification success, was identical across 2, 6 and 24</w:t>
      </w:r>
      <w:r w:rsidR="00607C53" w:rsidRPr="006C22C2">
        <w:rPr>
          <w:rFonts w:ascii="Arial" w:hAnsi="Arial" w:cs="Arial"/>
        </w:rPr>
        <w:t>-</w:t>
      </w:r>
      <w:r w:rsidRPr="006C22C2">
        <w:rPr>
          <w:rFonts w:ascii="Arial" w:hAnsi="Arial" w:cs="Arial"/>
        </w:rPr>
        <w:t>hours, while the success rate at 4</w:t>
      </w:r>
      <w:r w:rsidR="000240DB" w:rsidRPr="006C22C2">
        <w:rPr>
          <w:rFonts w:ascii="Arial" w:hAnsi="Arial" w:cs="Arial"/>
        </w:rPr>
        <w:t xml:space="preserve"> </w:t>
      </w:r>
      <w:r w:rsidRPr="006C22C2">
        <w:rPr>
          <w:rFonts w:ascii="Arial" w:hAnsi="Arial" w:cs="Arial"/>
        </w:rPr>
        <w:t>hours</w:t>
      </w:r>
      <w:r w:rsidR="006D6401" w:rsidRPr="006C22C2">
        <w:rPr>
          <w:rFonts w:ascii="Arial" w:hAnsi="Arial" w:cs="Arial"/>
        </w:rPr>
        <w:t xml:space="preserve"> </w:t>
      </w:r>
      <w:r w:rsidRPr="006C22C2">
        <w:rPr>
          <w:rFonts w:ascii="Arial" w:hAnsi="Arial" w:cs="Arial"/>
        </w:rPr>
        <w:t xml:space="preserve">was slightly higher; these results indicate that </w:t>
      </w:r>
      <w:r w:rsidR="00607C53" w:rsidRPr="006C22C2">
        <w:rPr>
          <w:rFonts w:ascii="Arial" w:hAnsi="Arial" w:cs="Arial"/>
        </w:rPr>
        <w:t xml:space="preserve">a 2-hour </w:t>
      </w:r>
      <w:r w:rsidRPr="006C22C2">
        <w:rPr>
          <w:rFonts w:ascii="Arial" w:hAnsi="Arial" w:cs="Arial"/>
        </w:rPr>
        <w:t>digestion time would be adequate.</w:t>
      </w:r>
    </w:p>
    <w:p w14:paraId="44BC92CB" w14:textId="77777777" w:rsidR="006C22C2" w:rsidRPr="006C22C2" w:rsidRDefault="006C22C2" w:rsidP="006C22C2">
      <w:pPr>
        <w:spacing w:line="360" w:lineRule="auto"/>
        <w:ind w:firstLine="720"/>
        <w:jc w:val="both"/>
        <w:rPr>
          <w:rFonts w:ascii="Arial" w:hAnsi="Arial" w:cs="Arial"/>
        </w:rPr>
      </w:pPr>
    </w:p>
    <w:p w14:paraId="7176289F" w14:textId="77777777" w:rsidR="006476F3" w:rsidRPr="006C22C2" w:rsidRDefault="006476F3" w:rsidP="006C22C2">
      <w:pPr>
        <w:spacing w:line="360" w:lineRule="auto"/>
        <w:jc w:val="center"/>
        <w:rPr>
          <w:rFonts w:ascii="Arial" w:hAnsi="Arial" w:cs="Arial"/>
          <w:i/>
          <w:iCs/>
        </w:rPr>
      </w:pPr>
      <w:bookmarkStart w:id="1" w:name="[IMAGE-Fig6_Print.png]"/>
      <w:r w:rsidRPr="006C22C2">
        <w:rPr>
          <w:rFonts w:ascii="Arial" w:hAnsi="Arial" w:cs="Arial"/>
          <w:i/>
          <w:iCs/>
          <w:noProof/>
          <w:lang w:val="en-IN" w:eastAsia="en-IN"/>
        </w:rPr>
        <w:drawing>
          <wp:inline distT="0" distB="0" distL="0" distR="0" wp14:anchorId="15FC906F" wp14:editId="0AFD8CF8">
            <wp:extent cx="6089729" cy="2849880"/>
            <wp:effectExtent l="0" t="0" r="6350" b="7620"/>
            <wp:docPr id="61" name="Picture 61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Chart, bar ch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8844" cy="285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5D014449" w14:textId="1FAEECBD" w:rsidR="006476F3" w:rsidRPr="006C22C2" w:rsidRDefault="006476F3" w:rsidP="006C22C2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6C22C2">
        <w:rPr>
          <w:rFonts w:ascii="Arial" w:hAnsi="Arial" w:cs="Arial"/>
          <w:b/>
          <w:bCs/>
          <w:sz w:val="20"/>
          <w:szCs w:val="20"/>
        </w:rPr>
        <w:t xml:space="preserve">Figure S2: </w:t>
      </w:r>
      <w:r w:rsidRPr="006C22C2">
        <w:rPr>
          <w:rFonts w:ascii="Arial" w:hAnsi="Arial" w:cs="Arial"/>
          <w:b/>
          <w:sz w:val="20"/>
          <w:szCs w:val="20"/>
        </w:rPr>
        <w:t xml:space="preserve">Rate of </w:t>
      </w:r>
      <w:proofErr w:type="spellStart"/>
      <w:r w:rsidRPr="006C22C2">
        <w:rPr>
          <w:rFonts w:ascii="Arial" w:hAnsi="Arial" w:cs="Arial"/>
          <w:b/>
          <w:sz w:val="20"/>
          <w:szCs w:val="20"/>
        </w:rPr>
        <w:t>AutoZooMS</w:t>
      </w:r>
      <w:proofErr w:type="spellEnd"/>
      <w:r w:rsidRPr="006C22C2">
        <w:rPr>
          <w:rFonts w:ascii="Arial" w:hAnsi="Arial" w:cs="Arial"/>
          <w:b/>
          <w:sz w:val="20"/>
          <w:szCs w:val="20"/>
        </w:rPr>
        <w:t xml:space="preserve"> success and failure across 2-, 4-, 6- and 24-hour digestion times (n = 24), using 0.04 µg trypsin.</w:t>
      </w:r>
    </w:p>
    <w:p w14:paraId="14A58D59" w14:textId="77777777" w:rsidR="006476F3" w:rsidRPr="006C22C2" w:rsidRDefault="006476F3" w:rsidP="006C22C2">
      <w:pPr>
        <w:spacing w:line="360" w:lineRule="auto"/>
        <w:rPr>
          <w:rFonts w:ascii="Arial" w:hAnsi="Arial" w:cs="Arial"/>
        </w:rPr>
      </w:pPr>
      <w:bookmarkStart w:id="2" w:name="[IMAGE-Fig7_Print.jpeg]"/>
      <w:r w:rsidRPr="006C22C2">
        <w:rPr>
          <w:rFonts w:ascii="Arial" w:hAnsi="Arial" w:cs="Arial"/>
          <w:noProof/>
          <w:lang w:val="en-IN" w:eastAsia="en-IN"/>
        </w:rPr>
        <w:lastRenderedPageBreak/>
        <w:drawing>
          <wp:inline distT="0" distB="0" distL="0" distR="0" wp14:anchorId="7803272B" wp14:editId="74FD8BA3">
            <wp:extent cx="6805098" cy="3727189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6938" cy="3733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14:paraId="2E2C473B" w14:textId="1F4C7914" w:rsidR="006476F3" w:rsidRPr="006C22C2" w:rsidRDefault="006476F3" w:rsidP="006C22C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C22C2">
        <w:rPr>
          <w:rFonts w:ascii="Arial" w:hAnsi="Arial" w:cs="Arial"/>
          <w:b/>
          <w:bCs/>
          <w:sz w:val="20"/>
          <w:szCs w:val="20"/>
        </w:rPr>
        <w:t xml:space="preserve">Figure S3: Initial testing via LT, HT, </w:t>
      </w:r>
      <w:proofErr w:type="spellStart"/>
      <w:r w:rsidRPr="006C22C2">
        <w:rPr>
          <w:rFonts w:ascii="Arial" w:hAnsi="Arial" w:cs="Arial"/>
          <w:b/>
          <w:bCs/>
          <w:sz w:val="20"/>
          <w:szCs w:val="20"/>
        </w:rPr>
        <w:t>AutoZooMS</w:t>
      </w:r>
      <w:proofErr w:type="spellEnd"/>
      <w:r w:rsidRPr="006C22C2">
        <w:rPr>
          <w:rFonts w:ascii="Arial" w:hAnsi="Arial" w:cs="Arial"/>
          <w:b/>
          <w:bCs/>
          <w:sz w:val="20"/>
          <w:szCs w:val="20"/>
        </w:rPr>
        <w:t xml:space="preserve"> NISP(n) for each taxa identified, including uncertain and failed samples. The data for 95 samples each </w:t>
      </w:r>
      <w:r w:rsidR="00C640E3">
        <w:rPr>
          <w:rFonts w:ascii="Arial" w:hAnsi="Arial" w:cs="Arial"/>
          <w:b/>
          <w:bCs/>
          <w:sz w:val="20"/>
          <w:szCs w:val="20"/>
        </w:rPr>
        <w:t>analyzed</w:t>
      </w:r>
      <w:r w:rsidR="00C640E3" w:rsidRPr="006C22C2">
        <w:rPr>
          <w:rFonts w:ascii="Arial" w:hAnsi="Arial" w:cs="Arial"/>
          <w:b/>
          <w:bCs/>
          <w:sz w:val="20"/>
          <w:szCs w:val="20"/>
        </w:rPr>
        <w:t xml:space="preserve"> </w:t>
      </w:r>
      <w:r w:rsidRPr="006C22C2">
        <w:rPr>
          <w:rFonts w:ascii="Arial" w:hAnsi="Arial" w:cs="Arial"/>
          <w:b/>
          <w:bCs/>
          <w:sz w:val="20"/>
          <w:szCs w:val="20"/>
        </w:rPr>
        <w:t>via three methods is presented.</w:t>
      </w:r>
      <w:r w:rsidR="00562F57" w:rsidRPr="006C22C2">
        <w:rPr>
          <w:rFonts w:ascii="Arial" w:hAnsi="Arial" w:cs="Arial"/>
          <w:b/>
          <w:bCs/>
          <w:sz w:val="20"/>
          <w:szCs w:val="20"/>
        </w:rPr>
        <w:t xml:space="preserve"> In </w:t>
      </w:r>
      <w:r w:rsidR="00C640E3">
        <w:rPr>
          <w:rFonts w:ascii="Arial" w:hAnsi="Arial" w:cs="Arial"/>
          <w:b/>
          <w:bCs/>
          <w:sz w:val="20"/>
          <w:szCs w:val="20"/>
        </w:rPr>
        <w:t>the</w:t>
      </w:r>
      <w:r w:rsidR="00C640E3" w:rsidRPr="006C22C2">
        <w:rPr>
          <w:rFonts w:ascii="Arial" w:hAnsi="Arial" w:cs="Arial"/>
          <w:b/>
          <w:bCs/>
          <w:sz w:val="20"/>
          <w:szCs w:val="20"/>
        </w:rPr>
        <w:t xml:space="preserve"> </w:t>
      </w:r>
      <w:r w:rsidR="00562F57" w:rsidRPr="006C22C2">
        <w:rPr>
          <w:rFonts w:ascii="Arial" w:hAnsi="Arial" w:cs="Arial"/>
          <w:b/>
          <w:bCs/>
          <w:sz w:val="20"/>
          <w:szCs w:val="20"/>
        </w:rPr>
        <w:t>initial test</w:t>
      </w:r>
      <w:r w:rsidRPr="006C22C2">
        <w:rPr>
          <w:rFonts w:ascii="Arial" w:hAnsi="Arial" w:cs="Arial"/>
          <w:b/>
          <w:bCs/>
          <w:sz w:val="20"/>
          <w:szCs w:val="20"/>
        </w:rPr>
        <w:t xml:space="preserve"> LT and </w:t>
      </w:r>
      <w:proofErr w:type="spellStart"/>
      <w:r w:rsidRPr="006C22C2">
        <w:rPr>
          <w:rFonts w:ascii="Arial" w:hAnsi="Arial" w:cs="Arial"/>
          <w:b/>
          <w:bCs/>
          <w:sz w:val="20"/>
          <w:szCs w:val="20"/>
        </w:rPr>
        <w:t>AutoZooMS</w:t>
      </w:r>
      <w:proofErr w:type="spellEnd"/>
      <w:r w:rsidRPr="006C22C2">
        <w:rPr>
          <w:rFonts w:ascii="Arial" w:hAnsi="Arial" w:cs="Arial"/>
          <w:b/>
          <w:bCs/>
          <w:sz w:val="20"/>
          <w:szCs w:val="20"/>
        </w:rPr>
        <w:t xml:space="preserve"> exhibit</w:t>
      </w:r>
      <w:r w:rsidR="00562F57" w:rsidRPr="006C22C2">
        <w:rPr>
          <w:rFonts w:ascii="Arial" w:hAnsi="Arial" w:cs="Arial"/>
          <w:b/>
          <w:bCs/>
          <w:sz w:val="20"/>
          <w:szCs w:val="20"/>
        </w:rPr>
        <w:t>ed the</w:t>
      </w:r>
      <w:r w:rsidRPr="006C22C2">
        <w:rPr>
          <w:rFonts w:ascii="Arial" w:hAnsi="Arial" w:cs="Arial"/>
          <w:b/>
          <w:bCs/>
          <w:sz w:val="20"/>
          <w:szCs w:val="20"/>
        </w:rPr>
        <w:t xml:space="preserve"> same species richness (9), with the highest failure rate and thus lowest number of taxonomic identifications (and successful sample size), HT exhibits a lower species richness (6).</w:t>
      </w:r>
    </w:p>
    <w:p w14:paraId="73B5693D" w14:textId="77777777" w:rsidR="006476F3" w:rsidRPr="006C22C2" w:rsidRDefault="006476F3" w:rsidP="006C22C2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bookmarkStart w:id="3" w:name="[IMAGE-Fig8_Print.png]"/>
      <w:r w:rsidRPr="006C22C2">
        <w:rPr>
          <w:rFonts w:ascii="Arial" w:hAnsi="Arial" w:cs="Arial"/>
          <w:noProof/>
          <w:sz w:val="20"/>
          <w:szCs w:val="20"/>
          <w:lang w:val="en-IN" w:eastAsia="en-IN"/>
        </w:rPr>
        <w:drawing>
          <wp:inline distT="0" distB="0" distL="0" distR="0" wp14:anchorId="7B277DBE" wp14:editId="4C88F426">
            <wp:extent cx="4463173" cy="3032760"/>
            <wp:effectExtent l="0" t="0" r="0" b="0"/>
            <wp:docPr id="276588632" name="Picture 2" descr="A green and grey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88632" name="Picture 2" descr="A green and grey pie 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3674" cy="305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 w14:paraId="11933BF4" w14:textId="77777777" w:rsidR="006476F3" w:rsidRPr="006C22C2" w:rsidRDefault="006476F3" w:rsidP="006C22C2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6C22C2">
        <w:rPr>
          <w:rFonts w:ascii="Arial" w:hAnsi="Arial" w:cs="Arial"/>
          <w:b/>
          <w:bCs/>
          <w:sz w:val="20"/>
          <w:szCs w:val="20"/>
        </w:rPr>
        <w:t xml:space="preserve">Figure S4: Success rate of final </w:t>
      </w:r>
      <w:proofErr w:type="spellStart"/>
      <w:r w:rsidRPr="006C22C2">
        <w:rPr>
          <w:rFonts w:ascii="Arial" w:hAnsi="Arial" w:cs="Arial"/>
          <w:b/>
          <w:bCs/>
          <w:sz w:val="20"/>
          <w:szCs w:val="20"/>
        </w:rPr>
        <w:t>AutoZooMS</w:t>
      </w:r>
      <w:proofErr w:type="spellEnd"/>
      <w:r w:rsidRPr="006C22C2">
        <w:rPr>
          <w:rFonts w:ascii="Arial" w:hAnsi="Arial" w:cs="Arial"/>
          <w:b/>
          <w:bCs/>
          <w:sz w:val="20"/>
          <w:szCs w:val="20"/>
        </w:rPr>
        <w:t xml:space="preserve"> analysis of B2-ZT Grotte Mandrin (n = 1612)</w:t>
      </w:r>
    </w:p>
    <w:p w14:paraId="6BEA9733" w14:textId="77777777" w:rsidR="005F6F2E" w:rsidRPr="006C22C2" w:rsidRDefault="005F6F2E" w:rsidP="006C22C2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86FBD9B" w14:textId="1081A878" w:rsidR="006476F3" w:rsidRPr="006C22C2" w:rsidRDefault="006476F3" w:rsidP="006C22C2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6C22C2">
        <w:rPr>
          <w:rFonts w:ascii="Arial" w:hAnsi="Arial" w:cs="Arial"/>
          <w:b/>
          <w:bCs/>
          <w:sz w:val="20"/>
          <w:szCs w:val="20"/>
          <w:u w:val="single"/>
        </w:rPr>
        <w:t xml:space="preserve">Table S1: NISP and NISP (%) of </w:t>
      </w:r>
      <w:proofErr w:type="spellStart"/>
      <w:r w:rsidRPr="006C22C2">
        <w:rPr>
          <w:rFonts w:ascii="Arial" w:hAnsi="Arial" w:cs="Arial"/>
          <w:b/>
          <w:bCs/>
          <w:sz w:val="20"/>
          <w:szCs w:val="20"/>
          <w:u w:val="single"/>
        </w:rPr>
        <w:t>ZooMS</w:t>
      </w:r>
      <w:proofErr w:type="spellEnd"/>
      <w:r w:rsidRPr="006C22C2">
        <w:rPr>
          <w:rFonts w:ascii="Arial" w:hAnsi="Arial" w:cs="Arial"/>
          <w:b/>
          <w:bCs/>
          <w:sz w:val="20"/>
          <w:szCs w:val="20"/>
          <w:u w:val="single"/>
        </w:rPr>
        <w:t xml:space="preserve"> faunal identifications at B2-ZT Grotte Mandrin.</w:t>
      </w:r>
      <w:r w:rsidR="000240DB" w:rsidRPr="000240DB">
        <w:rPr>
          <w:rFonts w:ascii="Arial" w:hAnsi="Arial" w:cs="Arial"/>
          <w:sz w:val="20"/>
          <w:szCs w:val="20"/>
        </w:rPr>
        <w:t xml:space="preserve"> </w:t>
      </w:r>
      <w:r w:rsidR="000240DB" w:rsidRPr="006C22C2">
        <w:rPr>
          <w:rFonts w:ascii="Arial" w:hAnsi="Arial" w:cs="Arial"/>
          <w:b/>
          <w:bCs/>
          <w:sz w:val="20"/>
          <w:szCs w:val="20"/>
        </w:rPr>
        <w:t xml:space="preserve">All presented NISP (%) are rounded to two decimal places. Data </w:t>
      </w:r>
      <w:r w:rsidR="000240DB">
        <w:rPr>
          <w:rFonts w:ascii="Arial" w:hAnsi="Arial" w:cs="Arial"/>
          <w:b/>
          <w:bCs/>
          <w:sz w:val="20"/>
          <w:szCs w:val="20"/>
        </w:rPr>
        <w:t>shown</w:t>
      </w:r>
      <w:r w:rsidR="000240DB" w:rsidRPr="006C22C2">
        <w:rPr>
          <w:rFonts w:ascii="Arial" w:hAnsi="Arial" w:cs="Arial"/>
          <w:b/>
          <w:bCs/>
          <w:sz w:val="20"/>
          <w:szCs w:val="20"/>
        </w:rPr>
        <w:t xml:space="preserve"> encompasses all samples </w:t>
      </w:r>
      <w:r w:rsidR="000240DB">
        <w:rPr>
          <w:rFonts w:ascii="Arial" w:hAnsi="Arial" w:cs="Arial"/>
          <w:b/>
          <w:bCs/>
          <w:sz w:val="20"/>
          <w:szCs w:val="20"/>
        </w:rPr>
        <w:t>analyzed (n = 1215)</w:t>
      </w:r>
      <w:r w:rsidR="000240DB" w:rsidRPr="006C22C2">
        <w:rPr>
          <w:rFonts w:ascii="Arial" w:hAnsi="Arial" w:cs="Arial"/>
          <w:b/>
          <w:bCs/>
          <w:sz w:val="20"/>
          <w:szCs w:val="20"/>
        </w:rPr>
        <w:t xml:space="preserve">, including initial testing and the final </w:t>
      </w:r>
      <w:proofErr w:type="spellStart"/>
      <w:r w:rsidR="000240DB" w:rsidRPr="006C22C2">
        <w:rPr>
          <w:rFonts w:ascii="Arial" w:hAnsi="Arial" w:cs="Arial"/>
          <w:b/>
          <w:bCs/>
          <w:sz w:val="20"/>
          <w:szCs w:val="20"/>
        </w:rPr>
        <w:t>AutoZooMS</w:t>
      </w:r>
      <w:proofErr w:type="spellEnd"/>
      <w:r w:rsidR="000240DB" w:rsidRPr="006C22C2">
        <w:rPr>
          <w:rFonts w:ascii="Arial" w:hAnsi="Arial" w:cs="Arial"/>
          <w:b/>
          <w:bCs/>
          <w:sz w:val="20"/>
          <w:szCs w:val="20"/>
        </w:rPr>
        <w:t xml:space="preserve"> run. </w:t>
      </w:r>
      <w:r w:rsidR="000240DB">
        <w:rPr>
          <w:rFonts w:ascii="Arial" w:hAnsi="Arial" w:cs="Arial"/>
          <w:b/>
          <w:bCs/>
          <w:sz w:val="20"/>
          <w:szCs w:val="20"/>
        </w:rPr>
        <w:t>The apparent</w:t>
      </w:r>
      <w:r w:rsidR="000240DB" w:rsidRPr="006C22C2">
        <w:rPr>
          <w:rFonts w:ascii="Arial" w:hAnsi="Arial" w:cs="Arial"/>
          <w:b/>
          <w:bCs/>
          <w:sz w:val="20"/>
          <w:szCs w:val="20"/>
        </w:rPr>
        <w:t xml:space="preserve"> total NISP (n) across all three </w:t>
      </w:r>
      <w:proofErr w:type="spellStart"/>
      <w:r w:rsidR="000240DB" w:rsidRPr="006C22C2">
        <w:rPr>
          <w:rFonts w:ascii="Arial" w:hAnsi="Arial" w:cs="Arial"/>
          <w:b/>
          <w:bCs/>
          <w:sz w:val="20"/>
          <w:szCs w:val="20"/>
        </w:rPr>
        <w:t>ZooMS</w:t>
      </w:r>
      <w:proofErr w:type="spellEnd"/>
      <w:r w:rsidR="000240DB" w:rsidRPr="006C22C2">
        <w:rPr>
          <w:rFonts w:ascii="Arial" w:hAnsi="Arial" w:cs="Arial"/>
          <w:b/>
          <w:bCs/>
          <w:sz w:val="20"/>
          <w:szCs w:val="20"/>
        </w:rPr>
        <w:t xml:space="preserve"> methodologies</w:t>
      </w:r>
      <w:r w:rsidR="000240DB" w:rsidRPr="000240DB">
        <w:rPr>
          <w:rFonts w:ascii="Arial" w:hAnsi="Arial" w:cs="Arial"/>
          <w:b/>
          <w:bCs/>
          <w:sz w:val="20"/>
          <w:szCs w:val="20"/>
        </w:rPr>
        <w:t xml:space="preserve"> </w:t>
      </w:r>
      <w:r w:rsidR="000240DB">
        <w:rPr>
          <w:rFonts w:ascii="Arial" w:hAnsi="Arial" w:cs="Arial"/>
          <w:b/>
          <w:bCs/>
          <w:sz w:val="20"/>
          <w:szCs w:val="20"/>
        </w:rPr>
        <w:t>is</w:t>
      </w:r>
      <w:r w:rsidR="000240DB" w:rsidRPr="009109ED">
        <w:rPr>
          <w:rFonts w:ascii="Arial" w:hAnsi="Arial" w:cs="Arial"/>
          <w:b/>
          <w:bCs/>
          <w:sz w:val="20"/>
          <w:szCs w:val="20"/>
        </w:rPr>
        <w:t xml:space="preserve"> 1275</w:t>
      </w:r>
      <w:r w:rsidR="000240DB">
        <w:rPr>
          <w:rFonts w:ascii="Arial" w:hAnsi="Arial" w:cs="Arial"/>
          <w:b/>
          <w:bCs/>
          <w:sz w:val="20"/>
          <w:szCs w:val="20"/>
        </w:rPr>
        <w:t xml:space="preserve">, where </w:t>
      </w:r>
      <w:r w:rsidR="000240DB" w:rsidRPr="006C22C2">
        <w:rPr>
          <w:rFonts w:ascii="Arial" w:hAnsi="Arial" w:cs="Arial"/>
          <w:b/>
          <w:bCs/>
          <w:sz w:val="20"/>
          <w:szCs w:val="20"/>
        </w:rPr>
        <w:t xml:space="preserve">the </w:t>
      </w:r>
      <w:r w:rsidR="000240DB">
        <w:rPr>
          <w:rFonts w:ascii="Arial" w:hAnsi="Arial" w:cs="Arial"/>
          <w:b/>
          <w:bCs/>
          <w:sz w:val="20"/>
          <w:szCs w:val="20"/>
        </w:rPr>
        <w:t>additional</w:t>
      </w:r>
      <w:r w:rsidR="000240DB" w:rsidRPr="006C22C2">
        <w:rPr>
          <w:rFonts w:ascii="Arial" w:hAnsi="Arial" w:cs="Arial"/>
          <w:b/>
          <w:bCs/>
          <w:sz w:val="20"/>
          <w:szCs w:val="20"/>
        </w:rPr>
        <w:t xml:space="preserve"> 60 identifications represent species identification overlaps of the same bone fragment between the methods.</w:t>
      </w:r>
    </w:p>
    <w:p w14:paraId="1FE37B4A" w14:textId="77777777" w:rsidR="005F6F2E" w:rsidRPr="006C22C2" w:rsidRDefault="005F6F2E" w:rsidP="006C22C2">
      <w:pPr>
        <w:spacing w:line="360" w:lineRule="auto"/>
        <w:jc w:val="center"/>
        <w:rPr>
          <w:rFonts w:ascii="Arial" w:hAnsi="Arial" w:cs="Arial"/>
          <w:b/>
          <w:bCs/>
          <w:sz w:val="8"/>
          <w:szCs w:val="8"/>
          <w:u w:val="single"/>
        </w:rPr>
      </w:pPr>
    </w:p>
    <w:tbl>
      <w:tblPr>
        <w:tblpPr w:leftFromText="180" w:rightFromText="180" w:vertAnchor="text" w:horzAnchor="margin" w:tblpXSpec="center" w:tblpY="22"/>
        <w:tblW w:w="9016" w:type="dxa"/>
        <w:tblLayout w:type="fixed"/>
        <w:tblLook w:val="04A0" w:firstRow="1" w:lastRow="0" w:firstColumn="1" w:lastColumn="0" w:noHBand="0" w:noVBand="1"/>
      </w:tblPr>
      <w:tblGrid>
        <w:gridCol w:w="2263"/>
        <w:gridCol w:w="921"/>
        <w:gridCol w:w="922"/>
        <w:gridCol w:w="1418"/>
        <w:gridCol w:w="1063"/>
        <w:gridCol w:w="1063"/>
        <w:gridCol w:w="1366"/>
      </w:tblGrid>
      <w:tr w:rsidR="005F6F2E" w:rsidRPr="000240DB" w14:paraId="76D07319" w14:textId="77777777" w:rsidTr="005F6F2E"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7CE74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816C6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22C2">
              <w:rPr>
                <w:rFonts w:ascii="Arial" w:hAnsi="Arial" w:cs="Arial"/>
                <w:b/>
                <w:bCs/>
                <w:sz w:val="20"/>
                <w:szCs w:val="20"/>
              </w:rPr>
              <w:t>NISP (n)</w:t>
            </w:r>
          </w:p>
        </w:tc>
        <w:tc>
          <w:tcPr>
            <w:tcW w:w="34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E9393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22C2">
              <w:rPr>
                <w:rFonts w:ascii="Arial" w:hAnsi="Arial" w:cs="Arial"/>
                <w:b/>
                <w:bCs/>
                <w:sz w:val="20"/>
                <w:szCs w:val="20"/>
              </w:rPr>
              <w:t>NISP (%)</w:t>
            </w:r>
          </w:p>
        </w:tc>
      </w:tr>
      <w:tr w:rsidR="005F6F2E" w:rsidRPr="000240DB" w14:paraId="394344B9" w14:textId="77777777" w:rsidTr="005F6F2E"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C7A4C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22C2">
              <w:rPr>
                <w:rFonts w:ascii="Arial" w:hAnsi="Arial" w:cs="Arial"/>
                <w:b/>
                <w:bCs/>
                <w:sz w:val="20"/>
                <w:szCs w:val="20"/>
              </w:rPr>
              <w:t>Taxonomy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664C84F5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22C2">
              <w:rPr>
                <w:rFonts w:ascii="Arial" w:hAnsi="Arial" w:cs="Arial"/>
                <w:b/>
                <w:bCs/>
                <w:sz w:val="20"/>
                <w:szCs w:val="20"/>
              </w:rPr>
              <w:t>LT</w:t>
            </w:r>
          </w:p>
        </w:tc>
        <w:tc>
          <w:tcPr>
            <w:tcW w:w="9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95928F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22C2">
              <w:rPr>
                <w:rFonts w:ascii="Arial" w:hAnsi="Arial" w:cs="Arial"/>
                <w:b/>
                <w:bCs/>
                <w:sz w:val="20"/>
                <w:szCs w:val="20"/>
              </w:rPr>
              <w:t>HT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25242C7A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C22C2">
              <w:rPr>
                <w:rFonts w:ascii="Arial" w:hAnsi="Arial" w:cs="Arial"/>
                <w:b/>
                <w:bCs/>
                <w:sz w:val="20"/>
                <w:szCs w:val="20"/>
              </w:rPr>
              <w:t>AutoZooMS</w:t>
            </w:r>
            <w:proofErr w:type="spellEnd"/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77CB0475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22C2">
              <w:rPr>
                <w:rFonts w:ascii="Arial" w:hAnsi="Arial" w:cs="Arial"/>
                <w:b/>
                <w:bCs/>
                <w:sz w:val="20"/>
                <w:szCs w:val="20"/>
              </w:rPr>
              <w:t>LT</w:t>
            </w:r>
          </w:p>
        </w:tc>
        <w:tc>
          <w:tcPr>
            <w:tcW w:w="10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76E8ED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22C2">
              <w:rPr>
                <w:rFonts w:ascii="Arial" w:hAnsi="Arial" w:cs="Arial"/>
                <w:b/>
                <w:bCs/>
                <w:sz w:val="20"/>
                <w:szCs w:val="20"/>
              </w:rPr>
              <w:t>HT</w:t>
            </w:r>
          </w:p>
        </w:tc>
        <w:tc>
          <w:tcPr>
            <w:tcW w:w="13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6D29FA4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C22C2">
              <w:rPr>
                <w:rFonts w:ascii="Arial" w:hAnsi="Arial" w:cs="Arial"/>
                <w:b/>
                <w:bCs/>
                <w:sz w:val="20"/>
                <w:szCs w:val="20"/>
              </w:rPr>
              <w:t>AutoZooMS</w:t>
            </w:r>
            <w:proofErr w:type="spellEnd"/>
          </w:p>
        </w:tc>
      </w:tr>
      <w:tr w:rsidR="005F6F2E" w:rsidRPr="000240DB" w14:paraId="36B0C2EE" w14:textId="77777777" w:rsidTr="005F6F2E">
        <w:trPr>
          <w:trHeight w:val="288"/>
        </w:trPr>
        <w:tc>
          <w:tcPr>
            <w:tcW w:w="22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0477E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Bovine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12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9B3A841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922" w:type="dxa"/>
            <w:tcBorders>
              <w:top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4AACA3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37CDE00D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70192FB5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9.38</w:t>
            </w:r>
          </w:p>
        </w:tc>
        <w:tc>
          <w:tcPr>
            <w:tcW w:w="1063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481C8E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5.76</w:t>
            </w:r>
          </w:p>
        </w:tc>
        <w:tc>
          <w:tcPr>
            <w:tcW w:w="136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167C3959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8.03</w:t>
            </w:r>
          </w:p>
        </w:tc>
      </w:tr>
      <w:tr w:rsidR="005F6F2E" w:rsidRPr="000240DB" w14:paraId="05643562" w14:textId="77777777" w:rsidTr="005F6F2E">
        <w:trPr>
          <w:trHeight w:val="288"/>
        </w:trPr>
        <w:tc>
          <w:tcPr>
            <w:tcW w:w="2263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2F5C2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Caprine</w:t>
            </w:r>
          </w:p>
        </w:tc>
        <w:tc>
          <w:tcPr>
            <w:tcW w:w="921" w:type="dxa"/>
            <w:tcBorders>
              <w:left w:val="single" w:sz="12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C0AF063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2" w:type="dxa"/>
            <w:shd w:val="clear" w:color="auto" w:fill="F2F2F2" w:themeFill="background1" w:themeFillShade="F2"/>
            <w:noWrap/>
            <w:vAlign w:val="center"/>
            <w:hideMark/>
          </w:tcPr>
          <w:p w14:paraId="2AB4E8CC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7953A3FC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063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18C6FE80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063" w:type="dxa"/>
            <w:shd w:val="clear" w:color="auto" w:fill="F2F2F2" w:themeFill="background1" w:themeFillShade="F2"/>
            <w:vAlign w:val="center"/>
          </w:tcPr>
          <w:p w14:paraId="251E2308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2.35</w:t>
            </w:r>
          </w:p>
        </w:tc>
        <w:tc>
          <w:tcPr>
            <w:tcW w:w="1366" w:type="dxa"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1032BC08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1.58</w:t>
            </w:r>
          </w:p>
        </w:tc>
      </w:tr>
      <w:tr w:rsidR="005F6F2E" w:rsidRPr="000240DB" w14:paraId="558D4EE0" w14:textId="77777777" w:rsidTr="005F6F2E">
        <w:trPr>
          <w:trHeight w:val="288"/>
        </w:trPr>
        <w:tc>
          <w:tcPr>
            <w:tcW w:w="2263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0A619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Rangifer tarandus</w:t>
            </w:r>
          </w:p>
        </w:tc>
        <w:tc>
          <w:tcPr>
            <w:tcW w:w="921" w:type="dxa"/>
            <w:tcBorders>
              <w:left w:val="single" w:sz="12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6D10172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922" w:type="dxa"/>
            <w:shd w:val="clear" w:color="auto" w:fill="F2F2F2" w:themeFill="background1" w:themeFillShade="F2"/>
            <w:noWrap/>
            <w:vAlign w:val="center"/>
            <w:hideMark/>
          </w:tcPr>
          <w:p w14:paraId="5B314FB3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0DCB6557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063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4EFB6FE1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4.17</w:t>
            </w:r>
          </w:p>
        </w:tc>
        <w:tc>
          <w:tcPr>
            <w:tcW w:w="1063" w:type="dxa"/>
            <w:shd w:val="clear" w:color="auto" w:fill="F2F2F2" w:themeFill="background1" w:themeFillShade="F2"/>
            <w:vAlign w:val="center"/>
          </w:tcPr>
          <w:p w14:paraId="1EFFEA33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1.92</w:t>
            </w:r>
          </w:p>
        </w:tc>
        <w:tc>
          <w:tcPr>
            <w:tcW w:w="1366" w:type="dxa"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5AC869BD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2.93</w:t>
            </w:r>
          </w:p>
        </w:tc>
      </w:tr>
      <w:tr w:rsidR="005F6F2E" w:rsidRPr="000240DB" w14:paraId="797B9AFF" w14:textId="77777777" w:rsidTr="005F6F2E">
        <w:trPr>
          <w:trHeight w:val="288"/>
        </w:trPr>
        <w:tc>
          <w:tcPr>
            <w:tcW w:w="2263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7D1B3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Cervid</w:t>
            </w:r>
          </w:p>
        </w:tc>
        <w:tc>
          <w:tcPr>
            <w:tcW w:w="921" w:type="dxa"/>
            <w:tcBorders>
              <w:left w:val="single" w:sz="12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1D49034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22" w:type="dxa"/>
            <w:shd w:val="clear" w:color="auto" w:fill="F2F2F2" w:themeFill="background1" w:themeFillShade="F2"/>
            <w:noWrap/>
            <w:vAlign w:val="center"/>
            <w:hideMark/>
          </w:tcPr>
          <w:p w14:paraId="22ACDC01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418" w:type="dxa"/>
            <w:tcBorders>
              <w:right w:val="single" w:sz="12" w:space="0" w:color="000000"/>
            </w:tcBorders>
            <w:shd w:val="clear" w:color="auto" w:fill="FDE9D9" w:themeFill="accent6" w:themeFillTint="33"/>
            <w:noWrap/>
            <w:vAlign w:val="center"/>
            <w:hideMark/>
          </w:tcPr>
          <w:p w14:paraId="5C80E648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1063" w:type="dxa"/>
            <w:tcBorders>
              <w:left w:val="single" w:sz="12" w:space="0" w:color="000000"/>
            </w:tcBorders>
            <w:shd w:val="clear" w:color="auto" w:fill="DBE5F1" w:themeFill="accent1" w:themeFillTint="33"/>
            <w:vAlign w:val="center"/>
          </w:tcPr>
          <w:p w14:paraId="580F42C7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16.67</w:t>
            </w:r>
          </w:p>
        </w:tc>
        <w:tc>
          <w:tcPr>
            <w:tcW w:w="1063" w:type="dxa"/>
            <w:shd w:val="clear" w:color="auto" w:fill="F2F2F2" w:themeFill="background1" w:themeFillShade="F2"/>
            <w:vAlign w:val="center"/>
          </w:tcPr>
          <w:p w14:paraId="5C81B857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11.94</w:t>
            </w:r>
          </w:p>
        </w:tc>
        <w:tc>
          <w:tcPr>
            <w:tcW w:w="1366" w:type="dxa"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7789B898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21.56</w:t>
            </w:r>
          </w:p>
        </w:tc>
      </w:tr>
      <w:tr w:rsidR="005F6F2E" w:rsidRPr="000240DB" w14:paraId="04D141A3" w14:textId="77777777" w:rsidTr="005F6F2E">
        <w:trPr>
          <w:trHeight w:val="288"/>
        </w:trPr>
        <w:tc>
          <w:tcPr>
            <w:tcW w:w="2263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62B8A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Equine</w:t>
            </w:r>
          </w:p>
        </w:tc>
        <w:tc>
          <w:tcPr>
            <w:tcW w:w="921" w:type="dxa"/>
            <w:tcBorders>
              <w:left w:val="single" w:sz="12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FF10D33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22" w:type="dxa"/>
            <w:shd w:val="clear" w:color="auto" w:fill="F2F2F2" w:themeFill="background1" w:themeFillShade="F2"/>
            <w:noWrap/>
            <w:vAlign w:val="center"/>
            <w:hideMark/>
          </w:tcPr>
          <w:p w14:paraId="7D941C9D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361AB0FE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063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3904C0CA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12.50</w:t>
            </w:r>
          </w:p>
        </w:tc>
        <w:tc>
          <w:tcPr>
            <w:tcW w:w="1063" w:type="dxa"/>
            <w:shd w:val="clear" w:color="auto" w:fill="F2F2F2" w:themeFill="background1" w:themeFillShade="F2"/>
            <w:vAlign w:val="center"/>
          </w:tcPr>
          <w:p w14:paraId="0664C7EC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13.43</w:t>
            </w:r>
          </w:p>
        </w:tc>
        <w:tc>
          <w:tcPr>
            <w:tcW w:w="1366" w:type="dxa"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3566799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11.42</w:t>
            </w:r>
          </w:p>
        </w:tc>
      </w:tr>
      <w:tr w:rsidR="005F6F2E" w:rsidRPr="000240DB" w14:paraId="655CD361" w14:textId="77777777" w:rsidTr="005F6F2E">
        <w:trPr>
          <w:trHeight w:val="288"/>
        </w:trPr>
        <w:tc>
          <w:tcPr>
            <w:tcW w:w="2263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FB0A7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Hominin</w:t>
            </w:r>
          </w:p>
        </w:tc>
        <w:tc>
          <w:tcPr>
            <w:tcW w:w="921" w:type="dxa"/>
            <w:tcBorders>
              <w:left w:val="single" w:sz="12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CB8D77A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22" w:type="dxa"/>
            <w:shd w:val="clear" w:color="auto" w:fill="F2F2F2" w:themeFill="background1" w:themeFillShade="F2"/>
            <w:noWrap/>
            <w:vAlign w:val="center"/>
            <w:hideMark/>
          </w:tcPr>
          <w:p w14:paraId="1A2F30E0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1F72B4C7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063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0E8E0100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2.08</w:t>
            </w:r>
          </w:p>
        </w:tc>
        <w:tc>
          <w:tcPr>
            <w:tcW w:w="1063" w:type="dxa"/>
            <w:shd w:val="clear" w:color="auto" w:fill="F2F2F2" w:themeFill="background1" w:themeFillShade="F2"/>
            <w:vAlign w:val="center"/>
          </w:tcPr>
          <w:p w14:paraId="78C91425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1366" w:type="dxa"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5516C3A7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2.87</w:t>
            </w:r>
          </w:p>
        </w:tc>
      </w:tr>
      <w:tr w:rsidR="005F6F2E" w:rsidRPr="000240DB" w14:paraId="595FC9F9" w14:textId="77777777" w:rsidTr="005F6F2E">
        <w:trPr>
          <w:trHeight w:val="288"/>
        </w:trPr>
        <w:tc>
          <w:tcPr>
            <w:tcW w:w="2263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617CA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Lagomorph</w:t>
            </w:r>
          </w:p>
        </w:tc>
        <w:tc>
          <w:tcPr>
            <w:tcW w:w="921" w:type="dxa"/>
            <w:tcBorders>
              <w:left w:val="single" w:sz="12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16B7B46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2" w:type="dxa"/>
            <w:shd w:val="clear" w:color="auto" w:fill="F2F2F2" w:themeFill="background1" w:themeFillShade="F2"/>
            <w:noWrap/>
            <w:vAlign w:val="center"/>
            <w:hideMark/>
          </w:tcPr>
          <w:p w14:paraId="6364EC91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31D46319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63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3BEA898D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063" w:type="dxa"/>
            <w:shd w:val="clear" w:color="auto" w:fill="F2F2F2" w:themeFill="background1" w:themeFillShade="F2"/>
            <w:vAlign w:val="center"/>
          </w:tcPr>
          <w:p w14:paraId="2FABCD66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1.92</w:t>
            </w:r>
          </w:p>
        </w:tc>
        <w:tc>
          <w:tcPr>
            <w:tcW w:w="1366" w:type="dxa"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CF3A076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0.76</w:t>
            </w:r>
          </w:p>
        </w:tc>
      </w:tr>
      <w:tr w:rsidR="005F6F2E" w:rsidRPr="000240DB" w14:paraId="3C49EE78" w14:textId="77777777" w:rsidTr="005F6F2E">
        <w:trPr>
          <w:trHeight w:val="288"/>
        </w:trPr>
        <w:tc>
          <w:tcPr>
            <w:tcW w:w="2263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44014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Suidae</w:t>
            </w:r>
          </w:p>
        </w:tc>
        <w:tc>
          <w:tcPr>
            <w:tcW w:w="921" w:type="dxa"/>
            <w:tcBorders>
              <w:left w:val="single" w:sz="12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BAB2B50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22" w:type="dxa"/>
            <w:shd w:val="clear" w:color="auto" w:fill="F2F2F2" w:themeFill="background1" w:themeFillShade="F2"/>
            <w:noWrap/>
            <w:vAlign w:val="center"/>
            <w:hideMark/>
          </w:tcPr>
          <w:p w14:paraId="00A9730F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7FAFB580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063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12D2F267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10.42</w:t>
            </w:r>
          </w:p>
        </w:tc>
        <w:tc>
          <w:tcPr>
            <w:tcW w:w="1063" w:type="dxa"/>
            <w:shd w:val="clear" w:color="auto" w:fill="F2F2F2" w:themeFill="background1" w:themeFillShade="F2"/>
            <w:vAlign w:val="center"/>
          </w:tcPr>
          <w:p w14:paraId="41AA2505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1.92</w:t>
            </w:r>
          </w:p>
        </w:tc>
        <w:tc>
          <w:tcPr>
            <w:tcW w:w="1366" w:type="dxa"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375B1539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8.14</w:t>
            </w:r>
          </w:p>
        </w:tc>
      </w:tr>
      <w:tr w:rsidR="005F6F2E" w:rsidRPr="000240DB" w14:paraId="66052714" w14:textId="77777777" w:rsidTr="005F6F2E">
        <w:trPr>
          <w:trHeight w:val="288"/>
        </w:trPr>
        <w:tc>
          <w:tcPr>
            <w:tcW w:w="2263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E455C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Ursidae</w:t>
            </w:r>
          </w:p>
        </w:tc>
        <w:tc>
          <w:tcPr>
            <w:tcW w:w="921" w:type="dxa"/>
            <w:tcBorders>
              <w:left w:val="single" w:sz="12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04C7DD7A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922" w:type="dxa"/>
            <w:shd w:val="clear" w:color="auto" w:fill="F2F2F2" w:themeFill="background1" w:themeFillShade="F2"/>
            <w:noWrap/>
            <w:vAlign w:val="center"/>
            <w:hideMark/>
          </w:tcPr>
          <w:p w14:paraId="028838F6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3EFDEC37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063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2E5BD253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3.13</w:t>
            </w:r>
          </w:p>
        </w:tc>
        <w:tc>
          <w:tcPr>
            <w:tcW w:w="1063" w:type="dxa"/>
            <w:shd w:val="clear" w:color="auto" w:fill="F2F2F2" w:themeFill="background1" w:themeFillShade="F2"/>
            <w:vAlign w:val="center"/>
          </w:tcPr>
          <w:p w14:paraId="13A08A8E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1366" w:type="dxa"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10F0193E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2.05</w:t>
            </w:r>
          </w:p>
        </w:tc>
      </w:tr>
      <w:tr w:rsidR="005F6F2E" w:rsidRPr="000240DB" w14:paraId="43EA8C39" w14:textId="77777777" w:rsidTr="005F6F2E">
        <w:trPr>
          <w:trHeight w:val="288"/>
        </w:trPr>
        <w:tc>
          <w:tcPr>
            <w:tcW w:w="2263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91603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C22C2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Coelodonta</w:t>
            </w:r>
            <w:proofErr w:type="spellEnd"/>
          </w:p>
        </w:tc>
        <w:tc>
          <w:tcPr>
            <w:tcW w:w="921" w:type="dxa"/>
            <w:tcBorders>
              <w:left w:val="single" w:sz="12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D8E5292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2" w:type="dxa"/>
            <w:shd w:val="clear" w:color="auto" w:fill="F2F2F2" w:themeFill="background1" w:themeFillShade="F2"/>
            <w:noWrap/>
            <w:vAlign w:val="center"/>
            <w:hideMark/>
          </w:tcPr>
          <w:p w14:paraId="68029104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45822876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63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2D5700D3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shd w:val="clear" w:color="auto" w:fill="F2F2F2" w:themeFill="background1" w:themeFillShade="F2"/>
            <w:vAlign w:val="center"/>
          </w:tcPr>
          <w:p w14:paraId="7DC75CD7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366" w:type="dxa"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4419B2A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0.64</w:t>
            </w:r>
          </w:p>
        </w:tc>
      </w:tr>
      <w:tr w:rsidR="005F6F2E" w:rsidRPr="000240DB" w14:paraId="7EFCEB0B" w14:textId="77777777" w:rsidTr="005F6F2E">
        <w:trPr>
          <w:trHeight w:val="288"/>
        </w:trPr>
        <w:tc>
          <w:tcPr>
            <w:tcW w:w="2263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24B1D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Mammuthus</w:t>
            </w:r>
          </w:p>
        </w:tc>
        <w:tc>
          <w:tcPr>
            <w:tcW w:w="921" w:type="dxa"/>
            <w:tcBorders>
              <w:left w:val="single" w:sz="12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0D85A4D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2" w:type="dxa"/>
            <w:shd w:val="clear" w:color="auto" w:fill="F2F2F2" w:themeFill="background1" w:themeFillShade="F2"/>
            <w:noWrap/>
            <w:vAlign w:val="center"/>
            <w:hideMark/>
          </w:tcPr>
          <w:p w14:paraId="570CE961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5620AED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3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3D49F406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3" w:type="dxa"/>
            <w:shd w:val="clear" w:color="auto" w:fill="F2F2F2" w:themeFill="background1" w:themeFillShade="F2"/>
            <w:vAlign w:val="center"/>
          </w:tcPr>
          <w:p w14:paraId="5923606C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6" w:type="dxa"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3D36EBB2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0.12</w:t>
            </w:r>
          </w:p>
        </w:tc>
      </w:tr>
      <w:tr w:rsidR="005F6F2E" w:rsidRPr="000240DB" w14:paraId="229746C4" w14:textId="77777777" w:rsidTr="005F6F2E">
        <w:tc>
          <w:tcPr>
            <w:tcW w:w="226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D20DF7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Uncertain</w:t>
            </w:r>
          </w:p>
        </w:tc>
        <w:tc>
          <w:tcPr>
            <w:tcW w:w="921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606E9811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922" w:type="dxa"/>
            <w:shd w:val="clear" w:color="auto" w:fill="F2F2F2" w:themeFill="background1" w:themeFillShade="F2"/>
            <w:vAlign w:val="center"/>
          </w:tcPr>
          <w:p w14:paraId="0DCCAE21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0040D553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63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52448082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14.58</w:t>
            </w:r>
          </w:p>
        </w:tc>
        <w:tc>
          <w:tcPr>
            <w:tcW w:w="1063" w:type="dxa"/>
            <w:shd w:val="clear" w:color="auto" w:fill="F2F2F2" w:themeFill="background1" w:themeFillShade="F2"/>
            <w:vAlign w:val="center"/>
          </w:tcPr>
          <w:p w14:paraId="2902CD47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10.02</w:t>
            </w:r>
          </w:p>
        </w:tc>
        <w:tc>
          <w:tcPr>
            <w:tcW w:w="1366" w:type="dxa"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B89DAAE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0.64</w:t>
            </w:r>
          </w:p>
        </w:tc>
      </w:tr>
      <w:tr w:rsidR="005F6F2E" w:rsidRPr="000240DB" w14:paraId="4B30B172" w14:textId="77777777" w:rsidTr="005F6F2E">
        <w:trPr>
          <w:trHeight w:val="288"/>
        </w:trPr>
        <w:tc>
          <w:tcPr>
            <w:tcW w:w="22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282EE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Fail</w:t>
            </w:r>
          </w:p>
        </w:tc>
        <w:tc>
          <w:tcPr>
            <w:tcW w:w="921" w:type="dxa"/>
            <w:tcBorders>
              <w:left w:val="single" w:sz="12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9E5A101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922" w:type="dxa"/>
            <w:shd w:val="clear" w:color="auto" w:fill="F2F2F2" w:themeFill="background1" w:themeFillShade="F2"/>
            <w:noWrap/>
            <w:vAlign w:val="center"/>
            <w:hideMark/>
          </w:tcPr>
          <w:p w14:paraId="095E7437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079D1516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670</w:t>
            </w:r>
          </w:p>
        </w:tc>
        <w:tc>
          <w:tcPr>
            <w:tcW w:w="106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303E9BD3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25.00</w:t>
            </w:r>
          </w:p>
        </w:tc>
        <w:tc>
          <w:tcPr>
            <w:tcW w:w="1063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CECB548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49.25</w:t>
            </w:r>
          </w:p>
        </w:tc>
        <w:tc>
          <w:tcPr>
            <w:tcW w:w="136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4FF37DDF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39.25</w:t>
            </w:r>
          </w:p>
        </w:tc>
      </w:tr>
      <w:tr w:rsidR="005F6F2E" w:rsidRPr="000240DB" w14:paraId="241FDAEB" w14:textId="77777777" w:rsidTr="005F6F2E"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44FA9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22C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7440D9C9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96</w:t>
            </w:r>
          </w:p>
        </w:tc>
        <w:tc>
          <w:tcPr>
            <w:tcW w:w="9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EFFA96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469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F6D5562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1707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50718B69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100.00</w:t>
            </w:r>
          </w:p>
        </w:tc>
        <w:tc>
          <w:tcPr>
            <w:tcW w:w="10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FE09E5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100.00</w:t>
            </w:r>
          </w:p>
        </w:tc>
        <w:tc>
          <w:tcPr>
            <w:tcW w:w="13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2CE6C5B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100.00</w:t>
            </w:r>
          </w:p>
        </w:tc>
      </w:tr>
      <w:tr w:rsidR="005F6F2E" w:rsidRPr="000240DB" w14:paraId="091BF3B3" w14:textId="77777777" w:rsidTr="005F6F2E">
        <w:trPr>
          <w:trHeight w:val="288"/>
        </w:trPr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E2682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Total Collagen Yielding</w:t>
            </w:r>
          </w:p>
        </w:tc>
        <w:tc>
          <w:tcPr>
            <w:tcW w:w="92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noWrap/>
            <w:vAlign w:val="center"/>
          </w:tcPr>
          <w:p w14:paraId="20B851D3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72</w:t>
            </w:r>
          </w:p>
        </w:tc>
        <w:tc>
          <w:tcPr>
            <w:tcW w:w="9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A27C439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noWrap/>
            <w:vAlign w:val="center"/>
          </w:tcPr>
          <w:p w14:paraId="429F9DDE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1037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00781B5A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75.00</w:t>
            </w:r>
          </w:p>
        </w:tc>
        <w:tc>
          <w:tcPr>
            <w:tcW w:w="10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BE0D09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50.75</w:t>
            </w:r>
          </w:p>
        </w:tc>
        <w:tc>
          <w:tcPr>
            <w:tcW w:w="13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0806D4BC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60.75</w:t>
            </w:r>
          </w:p>
        </w:tc>
      </w:tr>
      <w:tr w:rsidR="005F6F2E" w:rsidRPr="000240DB" w14:paraId="1DAAF6EA" w14:textId="77777777" w:rsidTr="005F6F2E">
        <w:trPr>
          <w:trHeight w:val="288"/>
        </w:trPr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0C91F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Total Successful Species Identification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noWrap/>
            <w:vAlign w:val="center"/>
          </w:tcPr>
          <w:p w14:paraId="6C107719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58</w:t>
            </w:r>
          </w:p>
        </w:tc>
        <w:tc>
          <w:tcPr>
            <w:tcW w:w="9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EB5F18E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noWrap/>
            <w:vAlign w:val="center"/>
          </w:tcPr>
          <w:p w14:paraId="3500B35F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1026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76EE14BB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60.42</w:t>
            </w:r>
          </w:p>
        </w:tc>
        <w:tc>
          <w:tcPr>
            <w:tcW w:w="10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69E463E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40.72</w:t>
            </w:r>
          </w:p>
        </w:tc>
        <w:tc>
          <w:tcPr>
            <w:tcW w:w="13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20F97930" w14:textId="77777777" w:rsidR="005F6F2E" w:rsidRPr="006C22C2" w:rsidRDefault="005F6F2E" w:rsidP="006C22C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22C2">
              <w:rPr>
                <w:rFonts w:ascii="Arial" w:hAnsi="Arial" w:cs="Arial"/>
                <w:color w:val="000000"/>
                <w:sz w:val="22"/>
                <w:szCs w:val="22"/>
              </w:rPr>
              <w:t>60.11</w:t>
            </w:r>
          </w:p>
        </w:tc>
      </w:tr>
    </w:tbl>
    <w:p w14:paraId="1A9997BE" w14:textId="77777777" w:rsidR="006476F3" w:rsidRPr="006C22C2" w:rsidRDefault="006476F3" w:rsidP="006C22C2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4FE33181" w14:textId="3C9C015B" w:rsidR="006476F3" w:rsidRPr="006C22C2" w:rsidRDefault="006476F3" w:rsidP="006C22C2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bookmarkStart w:id="4" w:name="[IMAGE-Fig9_Print.emf]"/>
      <w:r w:rsidRPr="006C22C2">
        <w:rPr>
          <w:rFonts w:ascii="Arial" w:hAnsi="Arial" w:cs="Arial"/>
          <w:b/>
          <w:bCs/>
          <w:noProof/>
          <w:sz w:val="20"/>
          <w:szCs w:val="20"/>
          <w:lang w:val="en-IN" w:eastAsia="en-IN"/>
        </w:rPr>
        <w:lastRenderedPageBreak/>
        <w:drawing>
          <wp:anchor distT="0" distB="0" distL="114300" distR="114300" simplePos="0" relativeHeight="251659264" behindDoc="0" locked="0" layoutInCell="1" allowOverlap="1" wp14:anchorId="3E60B1A4" wp14:editId="1E8BBAA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865380" cy="4657458"/>
            <wp:effectExtent l="0" t="0" r="0" b="0"/>
            <wp:wrapSquare wrapText="bothSides"/>
            <wp:docPr id="23135690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356902" name="Picture 23135690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5380" cy="4657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4"/>
      <w:r w:rsidRPr="006C22C2">
        <w:rPr>
          <w:rFonts w:ascii="Arial" w:hAnsi="Arial" w:cs="Arial"/>
          <w:b/>
          <w:bCs/>
          <w:sz w:val="20"/>
          <w:szCs w:val="20"/>
        </w:rPr>
        <w:t xml:space="preserve">Figure S5: </w:t>
      </w:r>
      <w:r w:rsidR="000240DB">
        <w:rPr>
          <w:rFonts w:ascii="Arial" w:hAnsi="Arial" w:cs="Arial"/>
          <w:b/>
          <w:bCs/>
          <w:sz w:val="20"/>
          <w:szCs w:val="20"/>
        </w:rPr>
        <w:t>Zoom in of five</w:t>
      </w:r>
      <w:r w:rsidR="000240DB" w:rsidRPr="006C22C2">
        <w:rPr>
          <w:rFonts w:ascii="Arial" w:hAnsi="Arial" w:cs="Arial"/>
          <w:b/>
          <w:bCs/>
          <w:sz w:val="20"/>
          <w:szCs w:val="20"/>
        </w:rPr>
        <w:t xml:space="preserve"> </w:t>
      </w:r>
      <w:r w:rsidRPr="006C22C2">
        <w:rPr>
          <w:rFonts w:ascii="Arial" w:hAnsi="Arial" w:cs="Arial"/>
          <w:b/>
          <w:bCs/>
          <w:sz w:val="20"/>
          <w:szCs w:val="20"/>
        </w:rPr>
        <w:t xml:space="preserve">collagen fingerprints acquired in the analysis of B2-ZT Grotte Mandrin </w:t>
      </w:r>
      <w:r w:rsidR="00C640E3">
        <w:rPr>
          <w:rFonts w:ascii="Arial" w:hAnsi="Arial" w:cs="Arial"/>
          <w:b/>
          <w:bCs/>
          <w:sz w:val="20"/>
          <w:szCs w:val="20"/>
        </w:rPr>
        <w:t>to show</w:t>
      </w:r>
      <w:r w:rsidRPr="006C22C2">
        <w:rPr>
          <w:rFonts w:ascii="Arial" w:hAnsi="Arial" w:cs="Arial"/>
          <w:b/>
          <w:bCs/>
          <w:sz w:val="20"/>
          <w:szCs w:val="20"/>
        </w:rPr>
        <w:t xml:space="preserve"> partially deamidated glutamine at </w:t>
      </w:r>
      <w:r w:rsidRPr="006C22C2">
        <w:rPr>
          <w:rFonts w:ascii="Arial" w:hAnsi="Arial" w:cs="Arial"/>
          <w:b/>
          <w:bCs/>
          <w:i/>
          <w:iCs/>
          <w:sz w:val="20"/>
          <w:szCs w:val="20"/>
        </w:rPr>
        <w:t>m/z</w:t>
      </w:r>
      <w:r w:rsidRPr="006C22C2">
        <w:rPr>
          <w:rFonts w:ascii="Arial" w:hAnsi="Arial" w:cs="Arial"/>
          <w:b/>
          <w:bCs/>
          <w:sz w:val="20"/>
          <w:szCs w:val="20"/>
        </w:rPr>
        <w:t xml:space="preserve"> 1105.6</w:t>
      </w:r>
      <w:r w:rsidR="00C640E3">
        <w:rPr>
          <w:rFonts w:ascii="Arial" w:hAnsi="Arial" w:cs="Arial"/>
          <w:b/>
          <w:bCs/>
          <w:sz w:val="20"/>
          <w:szCs w:val="20"/>
        </w:rPr>
        <w:t>.</w:t>
      </w:r>
    </w:p>
    <w:p w14:paraId="59EEFCAD" w14:textId="77777777" w:rsidR="006476F3" w:rsidRPr="006C22C2" w:rsidRDefault="006476F3" w:rsidP="006C22C2">
      <w:pPr>
        <w:spacing w:line="360" w:lineRule="auto"/>
        <w:rPr>
          <w:rFonts w:ascii="Arial" w:hAnsi="Arial" w:cs="Arial"/>
        </w:rPr>
      </w:pPr>
      <w:bookmarkStart w:id="5" w:name="[IMAGE-Fig10_Print.jpeg]"/>
      <w:r w:rsidRPr="006C22C2">
        <w:rPr>
          <w:rFonts w:ascii="Arial" w:hAnsi="Arial" w:cs="Arial"/>
          <w:noProof/>
          <w:lang w:val="en-IN" w:eastAsia="en-IN"/>
        </w:rPr>
        <w:lastRenderedPageBreak/>
        <w:drawing>
          <wp:inline distT="0" distB="0" distL="0" distR="0" wp14:anchorId="71840C27" wp14:editId="71D3278E">
            <wp:extent cx="5302250" cy="31457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0" cy="314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"/>
    </w:p>
    <w:p w14:paraId="40605862" w14:textId="01A7A292" w:rsidR="006476F3" w:rsidRPr="006C22C2" w:rsidRDefault="006476F3" w:rsidP="006C22C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C22C2">
        <w:rPr>
          <w:rFonts w:ascii="Arial" w:hAnsi="Arial" w:cs="Arial"/>
          <w:b/>
          <w:bCs/>
          <w:sz w:val="20"/>
          <w:szCs w:val="20"/>
        </w:rPr>
        <w:t xml:space="preserve">Figure S6: Species </w:t>
      </w:r>
      <w:r w:rsidR="00C640E3">
        <w:rPr>
          <w:rFonts w:ascii="Arial" w:hAnsi="Arial" w:cs="Arial"/>
          <w:b/>
          <w:bCs/>
          <w:sz w:val="20"/>
          <w:szCs w:val="20"/>
        </w:rPr>
        <w:t>a</w:t>
      </w:r>
      <w:r w:rsidRPr="006C22C2">
        <w:rPr>
          <w:rFonts w:ascii="Arial" w:hAnsi="Arial" w:cs="Arial"/>
          <w:b/>
          <w:bCs/>
          <w:sz w:val="20"/>
          <w:szCs w:val="20"/>
        </w:rPr>
        <w:t xml:space="preserve">bundance of Layer B2-ZT, Grotte Mandrin as measured by LT, HT and </w:t>
      </w:r>
      <w:proofErr w:type="spellStart"/>
      <w:r w:rsidRPr="006C22C2">
        <w:rPr>
          <w:rFonts w:ascii="Arial" w:hAnsi="Arial" w:cs="Arial"/>
          <w:b/>
          <w:bCs/>
          <w:sz w:val="20"/>
          <w:szCs w:val="20"/>
        </w:rPr>
        <w:t>AutoZooMS</w:t>
      </w:r>
      <w:proofErr w:type="spellEnd"/>
      <w:r w:rsidRPr="006C22C2">
        <w:rPr>
          <w:rFonts w:ascii="Arial" w:hAnsi="Arial" w:cs="Arial"/>
          <w:b/>
          <w:bCs/>
          <w:sz w:val="20"/>
          <w:szCs w:val="20"/>
        </w:rPr>
        <w:t>. This plot includes all samples that yielded collagen, including successful species identification and uncertain species identification, but excludes collagen-void (failed) samples.</w:t>
      </w:r>
    </w:p>
    <w:p w14:paraId="4B2B71C8" w14:textId="77777777" w:rsidR="007A74AD" w:rsidRPr="006C22C2" w:rsidRDefault="007A74AD" w:rsidP="006C22C2">
      <w:pPr>
        <w:spacing w:line="360" w:lineRule="auto"/>
        <w:rPr>
          <w:rFonts w:ascii="Arial" w:hAnsi="Arial" w:cs="Arial"/>
        </w:rPr>
      </w:pPr>
    </w:p>
    <w:sectPr w:rsidR="007A74AD" w:rsidRPr="006C22C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6F3"/>
    <w:rsid w:val="000240DB"/>
    <w:rsid w:val="000D5F98"/>
    <w:rsid w:val="00107528"/>
    <w:rsid w:val="002003EC"/>
    <w:rsid w:val="002A4A22"/>
    <w:rsid w:val="00562F57"/>
    <w:rsid w:val="005E5870"/>
    <w:rsid w:val="005F6F2E"/>
    <w:rsid w:val="00607C53"/>
    <w:rsid w:val="006476F3"/>
    <w:rsid w:val="006C22C2"/>
    <w:rsid w:val="006D6401"/>
    <w:rsid w:val="007A74AD"/>
    <w:rsid w:val="00856E8A"/>
    <w:rsid w:val="008E05A3"/>
    <w:rsid w:val="00A507FE"/>
    <w:rsid w:val="00AF26BC"/>
    <w:rsid w:val="00BB2606"/>
    <w:rsid w:val="00BC051D"/>
    <w:rsid w:val="00C1367D"/>
    <w:rsid w:val="00C640E3"/>
    <w:rsid w:val="00D47779"/>
    <w:rsid w:val="00D568BC"/>
    <w:rsid w:val="00F2772F"/>
    <w:rsid w:val="00FF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DC6A6"/>
  <w15:docId w15:val="{AA2050FA-BADD-40C9-8602-AF459E0A6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6F3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6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6F3"/>
    <w:rPr>
      <w:rFonts w:ascii="Tahoma" w:eastAsia="Arial Unicode MS" w:hAnsi="Tahoma" w:cs="Tahoma"/>
      <w:sz w:val="16"/>
      <w:szCs w:val="16"/>
      <w:lang w:val="en-US"/>
    </w:rPr>
  </w:style>
  <w:style w:type="paragraph" w:styleId="Revision">
    <w:name w:val="Revision"/>
    <w:hidden/>
    <w:uiPriority w:val="99"/>
    <w:semiHidden/>
    <w:rsid w:val="000240DB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Michael Buckley</cp:lastModifiedBy>
  <cp:revision>3</cp:revision>
  <dcterms:created xsi:type="dcterms:W3CDTF">2024-12-14T18:40:00Z</dcterms:created>
  <dcterms:modified xsi:type="dcterms:W3CDTF">2024-12-18T16:56:00Z</dcterms:modified>
</cp:coreProperties>
</file>