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E5CE0" w14:textId="5AE3BE25" w:rsidR="00756656" w:rsidRDefault="00B035F4">
      <w:pPr>
        <w:pStyle w:val="berschrift2"/>
      </w:pPr>
      <w:r>
        <w:t>Studies included in the meta-analysis</w:t>
      </w:r>
    </w:p>
    <w:p w14:paraId="0C9DD738" w14:textId="4C89548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Aeron, P., Jain, S., &amp; Kumar, A. (2019). Revisiting Trust toward E-Retailers among Indian Online Consumers. </w:t>
      </w:r>
      <w:r>
        <w:rPr>
          <w:i/>
          <w:iCs/>
          <w:color w:val="000000"/>
          <w:lang w:val="en-US" w:eastAsia="de-DE"/>
        </w:rPr>
        <w:t>Journal of Internet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(1), 45–72. https://doi.org/10.1080/15332861.2019.1567186</w:t>
      </w:r>
    </w:p>
    <w:p w14:paraId="1E562AA8" w14:textId="4B7BA17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Agag, G. M., &amp; El-Masry, A. A. (2017). Why Do Consumers Trust Online Travel Websites? Drivers and Outcomes of Consumer Trust toward Online Travel Websites. </w:t>
      </w:r>
      <w:r>
        <w:rPr>
          <w:i/>
          <w:iCs/>
          <w:color w:val="000000"/>
          <w:lang w:val="en-US" w:eastAsia="de-DE"/>
        </w:rPr>
        <w:t>Journal of Travel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56</w:t>
      </w:r>
      <w:r>
        <w:rPr>
          <w:color w:val="000000"/>
          <w:lang w:val="en-US" w:eastAsia="de-DE"/>
        </w:rPr>
        <w:t>(3), 347–369. https://doi.org/10.1177/0047287516643185</w:t>
      </w:r>
      <w:bookmarkStart w:id="0" w:name="RANGE!B5"/>
    </w:p>
    <w:bookmarkEnd w:id="0"/>
    <w:p w14:paraId="6AAF220E" w14:textId="60EE52C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Agyei, J., Sun, S., Penney, E. K., Abrokwah, E., Boadi, E. K., &amp; Fiifi, D. D. (2022). Internet Banking Services User Adoption in Ghana: An Empirical Study. </w:t>
      </w:r>
      <w:r>
        <w:rPr>
          <w:i/>
          <w:iCs/>
          <w:color w:val="000000"/>
          <w:lang w:val="en-US" w:eastAsia="de-DE"/>
        </w:rPr>
        <w:t>Journal of African Business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(3), 599–616. https://doi.org/10.1080/15228916.2021.1904756</w:t>
      </w:r>
    </w:p>
    <w:p w14:paraId="5BBA67AC" w14:textId="31EB9D5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Ahn, T., Ik Suh, Y., Lee, J. K., &amp; Pedersen, P. M. (2014). Understanding purchasing intentions in secondary sports ticket websites. </w:t>
      </w:r>
      <w:r>
        <w:rPr>
          <w:i/>
          <w:iCs/>
          <w:color w:val="000000"/>
          <w:lang w:val="en-US" w:eastAsia="de-DE"/>
        </w:rPr>
        <w:t>International Journal of Sports Marketing and Sponsorship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16</w:t>
      </w:r>
      <w:r>
        <w:rPr>
          <w:color w:val="000000"/>
          <w:lang w:val="en-US" w:eastAsia="de-DE"/>
        </w:rPr>
        <w:t>(1), 35–49. https://doi.org/10.1108/IJSMS-16-01-2014-B004</w:t>
      </w:r>
    </w:p>
    <w:p w14:paraId="1928239A" w14:textId="37004A7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Akter, S., D’Ambra, J., &amp; Ray, P. (2010). </w:t>
      </w:r>
      <w:r>
        <w:rPr>
          <w:color w:val="000000"/>
          <w:lang w:val="en-US" w:eastAsia="de-DE"/>
        </w:rPr>
        <w:t xml:space="preserve">Service quality of mHealth platforms: development and validation of a hierarchical model using PLS. </w:t>
      </w:r>
      <w:r>
        <w:rPr>
          <w:i/>
          <w:iCs/>
          <w:color w:val="000000"/>
          <w:lang w:val="en-US" w:eastAsia="de-DE"/>
        </w:rPr>
        <w:t>Electronic Markets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</w:t>
      </w:r>
      <w:r>
        <w:rPr>
          <w:color w:val="000000"/>
          <w:lang w:val="en-US" w:eastAsia="de-DE"/>
        </w:rPr>
        <w:t>(3-4), 209–227. https://doi.org/10.1007/s12525-010-0043-x</w:t>
      </w:r>
    </w:p>
    <w:p w14:paraId="33EA96EC" w14:textId="213620C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Akter, S., D’Ambra, J., &amp; Ray, P. (2011). Trustworthiness in mHealth information services: An assessment of a hierarchical model with mediating and moderating effects using partial least squares (PLS). </w:t>
      </w:r>
      <w:r>
        <w:rPr>
          <w:i/>
          <w:iCs/>
          <w:color w:val="000000"/>
          <w:lang w:val="en-US" w:eastAsia="de-DE"/>
        </w:rPr>
        <w:t>Journal of the American Society for Information Science and Technology, 62(1),</w:t>
      </w:r>
      <w:r>
        <w:rPr>
          <w:color w:val="000000"/>
          <w:lang w:val="en-US" w:eastAsia="de-DE"/>
        </w:rPr>
        <w:t xml:space="preserve"> 100–116. https://doi.org/10.1002/asi.21442</w:t>
      </w:r>
    </w:p>
    <w:p w14:paraId="49ACBC9E" w14:textId="3494792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Akter, S., Ray, P., &amp; D’Ambra, J. (2013). </w:t>
      </w:r>
      <w:r>
        <w:rPr>
          <w:color w:val="000000"/>
          <w:lang w:val="en-US" w:eastAsia="de-DE"/>
        </w:rPr>
        <w:t xml:space="preserve">Continuance of mHealth services at the bottom of the pyramid: the roles of service quality and trust. </w:t>
      </w:r>
      <w:r>
        <w:rPr>
          <w:i/>
          <w:iCs/>
          <w:color w:val="000000"/>
          <w:lang w:val="en-US" w:eastAsia="de-DE"/>
        </w:rPr>
        <w:t>Electronic Markets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(1), 29–47. https://doi.org/10.1007/s12525-012-0091-5</w:t>
      </w:r>
    </w:p>
    <w:p w14:paraId="02CCCDEC" w14:textId="3EF9184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Al-Adwan, A. S., &amp; Al-Horani, M. A. (2019). Boosting Customer E-Loyalty: An Extended Scale of Online Service Quality. </w:t>
      </w:r>
      <w:r>
        <w:rPr>
          <w:i/>
          <w:iCs/>
          <w:color w:val="000000"/>
          <w:lang w:val="en-US" w:eastAsia="de-DE"/>
        </w:rPr>
        <w:t>Information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10</w:t>
      </w:r>
      <w:r>
        <w:rPr>
          <w:color w:val="000000"/>
          <w:lang w:val="en-US" w:eastAsia="de-DE"/>
        </w:rPr>
        <w:t>(12), Article 380. https://doi.org/10.3390/info10120380</w:t>
      </w:r>
    </w:p>
    <w:p w14:paraId="0604860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" w:name="RANGE!B12"/>
      <w:r>
        <w:rPr>
          <w:color w:val="000000"/>
          <w:lang w:val="en-US" w:eastAsia="de-DE"/>
        </w:rPr>
        <w:t xml:space="preserve">Alalwan, A. A., Dwivedi, Y. K., &amp; Rana, N. P. (2017). Factors influencing adoption of mobile banking by Jordanian bank customers: Extending UTAUT2 with trust. </w:t>
      </w:r>
      <w:r>
        <w:rPr>
          <w:i/>
          <w:iCs/>
          <w:color w:val="000000"/>
          <w:lang w:val="en-US" w:eastAsia="de-DE"/>
        </w:rPr>
        <w:t>International Journal of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37</w:t>
      </w:r>
      <w:r>
        <w:rPr>
          <w:color w:val="000000"/>
          <w:lang w:val="en-US" w:eastAsia="de-DE"/>
        </w:rPr>
        <w:t>(3), 99–110. https://doi.org/10.1016/j.ijinfomgt.2017.01.002</w:t>
      </w:r>
    </w:p>
    <w:bookmarkEnd w:id="1"/>
    <w:p w14:paraId="76961288" w14:textId="752605D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Alam, M. Z., Hu, W., Kaium, M. A., Hoque, M. R., &amp; Alam, M. M. D. (2020). Understanding the determinants of mHealth apps adoption in Bangladesh: A SEM-Neural network approach. </w:t>
      </w:r>
      <w:r>
        <w:rPr>
          <w:i/>
          <w:iCs/>
          <w:color w:val="000000"/>
          <w:lang w:val="en-US" w:eastAsia="de-DE"/>
        </w:rPr>
        <w:t>Technology in Society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61</w:t>
      </w:r>
      <w:r>
        <w:rPr>
          <w:color w:val="000000"/>
          <w:lang w:val="en-US" w:eastAsia="de-DE"/>
        </w:rPr>
        <w:t>, Article 101255. https://doi.org/10.1016/j.techsoc.2020.101255</w:t>
      </w:r>
    </w:p>
    <w:p w14:paraId="7651DC63" w14:textId="4EBB922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Alboqami, H. (2020). Understanding the Drivers and Consequences of Trust Toward Hotel Websites Under Different Cultural Contexts. </w:t>
      </w:r>
      <w:r>
        <w:rPr>
          <w:i/>
          <w:iCs/>
          <w:color w:val="000000"/>
          <w:lang w:val="en-US" w:eastAsia="de-DE"/>
        </w:rPr>
        <w:t>International Journal of Customer Relationship Marketing and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(3), 1–24. https://doi.org/10.4018/IJCRMM.2020070101</w:t>
      </w:r>
    </w:p>
    <w:p w14:paraId="3D80AFBC" w14:textId="0CE1C14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Al-Jabri, I. M. (2015). The intention to use mobile banking: Further evidence from Saudi Arabia. </w:t>
      </w:r>
      <w:r>
        <w:rPr>
          <w:i/>
          <w:iCs/>
          <w:color w:val="000000"/>
          <w:lang w:val="en-US" w:eastAsia="de-DE"/>
        </w:rPr>
        <w:t>South African Journal of 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46</w:t>
      </w:r>
      <w:r>
        <w:rPr>
          <w:color w:val="000000"/>
          <w:lang w:val="en-US" w:eastAsia="de-DE"/>
        </w:rPr>
        <w:t>(1), 23–34.</w:t>
      </w:r>
    </w:p>
    <w:p w14:paraId="0CE29D2F" w14:textId="4BC15B1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Amin, M., Rezaei, S., &amp; Tavana, F. S. (2015). Gender differences and consumer's repurchase intention: the impact of trust propensity, </w:t>
      </w:r>
      <w:proofErr w:type="gramStart"/>
      <w:r>
        <w:rPr>
          <w:color w:val="000000"/>
          <w:lang w:val="en-US" w:eastAsia="de-DE"/>
        </w:rPr>
        <w:t>usefulness</w:t>
      </w:r>
      <w:proofErr w:type="gramEnd"/>
      <w:r>
        <w:rPr>
          <w:color w:val="000000"/>
          <w:lang w:val="en-US" w:eastAsia="de-DE"/>
        </w:rPr>
        <w:t xml:space="preserve"> and ease of use for implication of innovative online retail. International Journal of Innovation and Learning, 17(2), 217–233. https://doi.org/10.1504/IJIL.2015.067409</w:t>
      </w:r>
    </w:p>
    <w:p w14:paraId="6CB4DE67" w14:textId="53D19E4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Anderson, C. L., &amp; Agarwal, R. (2011). The Digitization of Healthcare: Boundary Risks, Emotion, and Consumer Willingness to Disclose Personal Health Information. </w:t>
      </w:r>
      <w:r>
        <w:rPr>
          <w:i/>
          <w:iCs/>
          <w:color w:val="000000"/>
          <w:lang w:val="en-US" w:eastAsia="de-DE"/>
        </w:rPr>
        <w:t>Information Systems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(3), 469–490. https://doi.org/10.1287/isre.1100.0335</w:t>
      </w:r>
    </w:p>
    <w:p w14:paraId="71C4F673" w14:textId="2BB2312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Andreev, P., Pliskin, N., &amp; Rafaeli, S. (2012). Drivers and Inhibitors of Mobile-Payment Adoption by Smartphone Users. </w:t>
      </w:r>
      <w:r>
        <w:rPr>
          <w:i/>
          <w:iCs/>
          <w:color w:val="000000"/>
          <w:lang w:val="en-US" w:eastAsia="de-DE"/>
        </w:rPr>
        <w:t>International Journal of E-Business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</w:t>
      </w:r>
      <w:r>
        <w:rPr>
          <w:color w:val="000000"/>
          <w:lang w:val="en-US" w:eastAsia="de-DE"/>
        </w:rPr>
        <w:t>(3), 50–67. https://doi.org/10.4018/jebr.2012070104</w:t>
      </w:r>
    </w:p>
    <w:p w14:paraId="2C2F7C4F" w14:textId="6E15A9A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Aren, S., Güzel, M., Kabadayı, E., &amp; Alpkan, L. (2013). </w:t>
      </w:r>
      <w:r>
        <w:rPr>
          <w:color w:val="000000"/>
          <w:lang w:val="en-US" w:eastAsia="de-DE"/>
        </w:rPr>
        <w:t xml:space="preserve">Factors Affecting Repurchase Intention to Shop at the Same Website. </w:t>
      </w:r>
      <w:r>
        <w:rPr>
          <w:i/>
          <w:iCs/>
          <w:color w:val="000000"/>
          <w:lang w:val="en-US" w:eastAsia="de-DE"/>
        </w:rPr>
        <w:t>Procedia - Social and Behavioral Sciences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99</w:t>
      </w:r>
      <w:r>
        <w:rPr>
          <w:color w:val="000000"/>
          <w:lang w:val="en-US" w:eastAsia="de-DE"/>
        </w:rPr>
        <w:t>, 536–544. https://doi.org/10.1016/j.sbspro.2013.10.523</w:t>
      </w:r>
    </w:p>
    <w:p w14:paraId="34C0B725" w14:textId="501AFDE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Ashraf, A. R., Thongpapanl, N., &amp; Auh, S. (2014). The Application of the Technology Acceptance Model under Different Cultural Contexts: The Case of Online Shopping Adoption. </w:t>
      </w:r>
      <w:r>
        <w:rPr>
          <w:i/>
          <w:iCs/>
          <w:color w:val="000000"/>
          <w:lang w:val="en-US" w:eastAsia="de-DE"/>
        </w:rPr>
        <w:t>Journal of International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(3), 68–93. https://doi.org/10.1509/jim.14.0065</w:t>
      </w:r>
    </w:p>
    <w:p w14:paraId="603ED51D" w14:textId="368B7FA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Asnakew, Z. S. (2020). Customers’ Continuance Intention to Use Mobile Banking: Development and Testing of an Integrated Model. </w:t>
      </w:r>
      <w:r>
        <w:rPr>
          <w:i/>
          <w:iCs/>
          <w:color w:val="000000"/>
          <w:lang w:val="en-US" w:eastAsia="de-DE"/>
        </w:rPr>
        <w:t>The Review of Socionetwork Strategies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14</w:t>
      </w:r>
      <w:r>
        <w:rPr>
          <w:color w:val="000000"/>
          <w:lang w:val="en-US" w:eastAsia="de-DE"/>
        </w:rPr>
        <w:t>(1), 123–146. https://doi.org/10.1007/s12626-020-00060-7</w:t>
      </w:r>
    </w:p>
    <w:p w14:paraId="6582AF18" w14:textId="20AC0ED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Azam, A. (2015). Investigation of psychological dimensions of trust on e-loyalty: A case of Saudi Arabia consumers. </w:t>
      </w:r>
      <w:r>
        <w:rPr>
          <w:i/>
          <w:iCs/>
          <w:color w:val="000000"/>
          <w:lang w:val="en-US" w:eastAsia="de-DE"/>
        </w:rPr>
        <w:t>Journal of Islamic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(2), 224–249. https://doi.org/10.1108/JIMA-12-2013-0083</w:t>
      </w:r>
    </w:p>
    <w:p w14:paraId="61842BB2" w14:textId="03C32A2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Baganzi, R., &amp; Lau, A. K. W. (2017). Examining Trust and Risk in Mobile Money Acceptance in Uganda. </w:t>
      </w:r>
      <w:r>
        <w:rPr>
          <w:i/>
          <w:iCs/>
          <w:color w:val="000000"/>
          <w:lang w:val="en-US" w:eastAsia="de-DE"/>
        </w:rPr>
        <w:t>Sustainability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9</w:t>
      </w:r>
      <w:r>
        <w:rPr>
          <w:color w:val="000000"/>
          <w:lang w:val="en-US" w:eastAsia="de-DE"/>
        </w:rPr>
        <w:t>(12), Article 2233. https://doi.org/10.3390/su9122233</w:t>
      </w:r>
    </w:p>
    <w:p w14:paraId="268D2ECC" w14:textId="7134C2E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Bansal, G., Zahedi, F. M., &amp; Gefen, D. (2015). The role of privacy assurance mechanisms in building trust and the moderating role of privacy concern. </w:t>
      </w:r>
      <w:r>
        <w:rPr>
          <w:i/>
          <w:iCs/>
          <w:color w:val="000000"/>
          <w:lang w:val="en-US" w:eastAsia="de-DE"/>
        </w:rPr>
        <w:t>European Journal of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24</w:t>
      </w:r>
      <w:r>
        <w:rPr>
          <w:color w:val="000000"/>
          <w:lang w:val="en-US" w:eastAsia="de-DE"/>
        </w:rPr>
        <w:t>(6), 624–644. https://doi.org/10.1057/ejis.2014.41</w:t>
      </w:r>
    </w:p>
    <w:p w14:paraId="11490780" w14:textId="1026F71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Bansal, G., Zahedi, F. M., &amp; Gefen, D. (2016). Do context and personality matter? Trust and privacy concerns in disclosing private information online. </w:t>
      </w:r>
      <w:r>
        <w:rPr>
          <w:i/>
          <w:iCs/>
          <w:color w:val="000000"/>
          <w:lang w:val="en-US" w:eastAsia="de-DE"/>
        </w:rPr>
        <w:t>Information &amp;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53</w:t>
      </w:r>
      <w:r>
        <w:rPr>
          <w:color w:val="000000"/>
          <w:lang w:val="en-US" w:eastAsia="de-DE"/>
        </w:rPr>
        <w:t>(1), 1–21. https://doi.org/10.1016/j.im.2015.08.001</w:t>
      </w:r>
    </w:p>
    <w:p w14:paraId="39B1869A" w14:textId="41E2AE2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Bao, Y., Hoque, M. R., &amp; Wang, S. (2017). Investigating the determinants of Chinese adult children's intention to use online health information for their aged parents. International Journal of Medical Informatics, 102, 12–20. https://doi.org/10.1016/j.ijmedinf.2017.01.003</w:t>
      </w:r>
    </w:p>
    <w:p w14:paraId="6A859843" w14:textId="303F3AB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Benlian, A., Titah, R., &amp; Hess, T. (2012). Differential Effects of Provider Recommendations and Consumer Reviews in E-Commerce Transactions: An Experimental Study. </w:t>
      </w:r>
      <w:r>
        <w:rPr>
          <w:i/>
          <w:iCs/>
          <w:color w:val="000000"/>
          <w:lang w:val="en-US" w:eastAsia="de-DE"/>
        </w:rPr>
        <w:t>Journal of Management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(1), 237–272. https://doi.org/10.2753/MIS0742-1222290107</w:t>
      </w:r>
    </w:p>
    <w:p w14:paraId="222F25C6" w14:textId="04BBB18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Bianchi, C., &amp; Andrews, L. (2012). Risk, trust, and consumer online purchasing behaviour: a Chilean perspective. </w:t>
      </w:r>
      <w:r>
        <w:rPr>
          <w:i/>
          <w:iCs/>
          <w:color w:val="000000"/>
          <w:lang w:val="en-US" w:eastAsia="de-DE"/>
        </w:rPr>
        <w:t>International Marketing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(3), 253–275. https://doi.org/10.1108/02651331211229750</w:t>
      </w:r>
    </w:p>
    <w:p w14:paraId="05C8D1D5" w14:textId="2F96735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Brown, I., &amp; Jayakody, R. (2008). B2c e</w:t>
      </w:r>
      <w:r>
        <w:rPr>
          <w:color w:val="000000"/>
          <w:lang w:val="en-US" w:eastAsia="de-DE"/>
        </w:rPr>
        <w:noBreakHyphen/>
        <w:t xml:space="preserve">Commerce Success: A Test and Validation of a Revised Conceptual Model. </w:t>
      </w:r>
      <w:r>
        <w:rPr>
          <w:i/>
          <w:iCs/>
          <w:color w:val="000000"/>
          <w:lang w:val="en-US" w:eastAsia="de-DE"/>
        </w:rPr>
        <w:t>Electronic Journal of Information Systems Evaluation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(3), 109</w:t>
      </w:r>
      <w:r>
        <w:rPr>
          <w:color w:val="000000"/>
          <w:lang w:val="en-US" w:eastAsia="de-DE"/>
        </w:rPr>
        <w:noBreakHyphen/>
        <w:t>126. https://academic-publishing.org/index.php/ejise/article/view/372</w:t>
      </w:r>
    </w:p>
    <w:p w14:paraId="04269500" w14:textId="39D3AEA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Cabrera-Sánchez, J.-P., Ramos-de-Luna, I., Carvajal-Trujillo, E., &amp; Villarejo-Ramos, Á. F. (2020). Online Recommendation Systems: Factors Influencing Use in E-Commerce. </w:t>
      </w:r>
      <w:r>
        <w:rPr>
          <w:i/>
          <w:iCs/>
          <w:color w:val="000000"/>
          <w:lang w:val="en-US" w:eastAsia="de-DE"/>
        </w:rPr>
        <w:t>Sustainability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12</w:t>
      </w:r>
      <w:r>
        <w:rPr>
          <w:color w:val="000000"/>
          <w:lang w:val="en-US" w:eastAsia="de-DE"/>
        </w:rPr>
        <w:t>(21), Article 8888. https://doi.org/10.3390/su12218888</w:t>
      </w:r>
    </w:p>
    <w:p w14:paraId="572ED274" w14:textId="08DFA1D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Campbell, D. (2019). A Relational Build-up Model of Consumer Intention to Self-disclose Personal Information in E-commerce B2C Relationships. </w:t>
      </w:r>
      <w:r>
        <w:rPr>
          <w:i/>
          <w:iCs/>
          <w:color w:val="000000"/>
          <w:lang w:val="en-US" w:eastAsia="de-DE"/>
        </w:rPr>
        <w:t>AIS Transactions on Human-Computer Interaction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(1), 33–53. https://doi.org/10.17705/1thci.00112</w:t>
      </w:r>
    </w:p>
    <w:p w14:paraId="3A4C817C" w14:textId="0650B443" w:rsidR="00756656" w:rsidRDefault="00000000">
      <w:pPr>
        <w:spacing w:afterLines="60" w:after="144" w:line="240" w:lineRule="auto"/>
        <w:ind w:left="709" w:hanging="709"/>
        <w:rPr>
          <w:color w:val="000000"/>
          <w:lang w:val="de-DE" w:eastAsia="de-DE"/>
        </w:rPr>
      </w:pPr>
      <w:r>
        <w:rPr>
          <w:color w:val="000000"/>
          <w:lang w:val="en-US" w:eastAsia="de-DE"/>
        </w:rPr>
        <w:t xml:space="preserve">Cao, X., Yu, L., Liu, Z., Gong, M., &amp; Adeel, L. (2018). Understanding mobile payment users’ continuance intention: a trust transfer perspective. </w:t>
      </w:r>
      <w:proofErr w:type="gramStart"/>
      <w:r>
        <w:rPr>
          <w:i/>
          <w:iCs/>
          <w:color w:val="000000"/>
          <w:lang w:val="de-DE" w:eastAsia="de-DE"/>
        </w:rPr>
        <w:t>Internet Research</w:t>
      </w:r>
      <w:proofErr w:type="gramEnd"/>
      <w:r>
        <w:rPr>
          <w:color w:val="000000"/>
          <w:lang w:val="de-DE" w:eastAsia="de-DE"/>
        </w:rPr>
        <w:t xml:space="preserve">, </w:t>
      </w:r>
      <w:r>
        <w:rPr>
          <w:i/>
          <w:iCs/>
          <w:color w:val="000000"/>
          <w:lang w:val="de-DE" w:eastAsia="de-DE"/>
        </w:rPr>
        <w:t>28</w:t>
      </w:r>
      <w:r>
        <w:rPr>
          <w:color w:val="000000"/>
          <w:lang w:val="de-DE" w:eastAsia="de-DE"/>
        </w:rPr>
        <w:t>(2), 456–476. https://doi.org/10.1108/IntR-11-2016-0359</w:t>
      </w:r>
    </w:p>
    <w:p w14:paraId="2410479E" w14:textId="61202B2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Cao, Y., Zhang, J., Ma, L., Qin, X., &amp; Li, J. (2020). </w:t>
      </w:r>
      <w:r>
        <w:rPr>
          <w:color w:val="000000"/>
          <w:lang w:val="en-US" w:eastAsia="de-DE"/>
        </w:rPr>
        <w:t>Examining User's Initial Trust Building in Mobile Online Health Community Adopting. International Journal of Environmental Research and Public Health, 17(11), Article 3945. https://doi.org/10.3390/ijerph17113945</w:t>
      </w:r>
    </w:p>
    <w:p w14:paraId="1F983C83" w14:textId="2A25706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Casaló, L. V., Flavián, C., &amp; Guinalíu, M. (2007). The role of security, privacy, </w:t>
      </w:r>
      <w:proofErr w:type="gramStart"/>
      <w:r>
        <w:rPr>
          <w:color w:val="000000"/>
          <w:lang w:val="en-US" w:eastAsia="de-DE"/>
        </w:rPr>
        <w:t>usability</w:t>
      </w:r>
      <w:proofErr w:type="gramEnd"/>
      <w:r>
        <w:rPr>
          <w:color w:val="000000"/>
          <w:lang w:val="en-US" w:eastAsia="de-DE"/>
        </w:rPr>
        <w:t xml:space="preserve"> and reputation in the development of online banking. </w:t>
      </w:r>
      <w:r>
        <w:rPr>
          <w:i/>
          <w:iCs/>
          <w:color w:val="000000"/>
          <w:lang w:val="en-US" w:eastAsia="de-DE"/>
        </w:rPr>
        <w:t>Online Information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(5), 583–603. https://doi.org/10.1108/14684520710832315</w:t>
      </w:r>
    </w:p>
    <w:p w14:paraId="2E562557" w14:textId="79571B4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Casaló, L. V., Flavián, C., &amp; Guinalíu, M. (2011). The generation of trust in the online services and product distribution: the case of Spanish electronic commerce. </w:t>
      </w:r>
      <w:r>
        <w:rPr>
          <w:i/>
          <w:iCs/>
          <w:color w:val="000000"/>
          <w:lang w:val="en-US" w:eastAsia="de-DE"/>
        </w:rPr>
        <w:t>Journal of Electronic Commerce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12</w:t>
      </w:r>
      <w:r>
        <w:rPr>
          <w:color w:val="000000"/>
          <w:lang w:val="en-US" w:eastAsia="de-DE"/>
        </w:rPr>
        <w:t>(3), 199–213.</w:t>
      </w:r>
    </w:p>
    <w:p w14:paraId="39E3337A" w14:textId="1DBF560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Chandra, S., Srivastava, S. C., &amp; Theng, Y.-L. (2010). Evaluating the Role of Trust in Consumer Adoption of Mobile Payment Systems: An Empirical Analysis. </w:t>
      </w:r>
      <w:r>
        <w:rPr>
          <w:i/>
          <w:iCs/>
          <w:color w:val="000000"/>
          <w:lang w:val="en-US" w:eastAsia="de-DE"/>
        </w:rPr>
        <w:t>Communications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27</w:t>
      </w:r>
      <w:r>
        <w:rPr>
          <w:color w:val="000000"/>
          <w:lang w:val="en-US" w:eastAsia="de-DE"/>
        </w:rPr>
        <w:t>, Article 29, 561–588. https://doi.org/10.17705/1CAIS.02729</w:t>
      </w:r>
    </w:p>
    <w:p w14:paraId="5C3AA3FD" w14:textId="50542A8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Chang, H. H., Wong, K. H., &amp; Ho, P. W. (2019). The determinants of trust transfer on mobile shopping decision: flow experience as a moderator. </w:t>
      </w:r>
      <w:r>
        <w:rPr>
          <w:i/>
          <w:iCs/>
          <w:color w:val="000000"/>
          <w:lang w:val="en-US" w:eastAsia="de-DE"/>
        </w:rPr>
        <w:t>International Journal of Mobile Communications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17</w:t>
      </w:r>
      <w:r>
        <w:rPr>
          <w:color w:val="000000"/>
          <w:lang w:val="en-US" w:eastAsia="de-DE"/>
        </w:rPr>
        <w:t>(2), Article 98064, 213–248. https://doi.org/10.1504/IJMC.2019.098064</w:t>
      </w:r>
    </w:p>
    <w:p w14:paraId="50B2047D" w14:textId="47F04AA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Chang, S.-H., Chih, W.-H., Liou, D.-K., &amp; Yang, Y.-T. (2016). The mediation of cognitive attitude for online shopping. </w:t>
      </w:r>
      <w:r>
        <w:rPr>
          <w:i/>
          <w:iCs/>
          <w:color w:val="000000"/>
          <w:lang w:val="en-US" w:eastAsia="de-DE"/>
        </w:rPr>
        <w:t>Information Technology &amp; People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(3), 618–646. https://doi.org/10.1108/ITP-08-2014-0172</w:t>
      </w:r>
    </w:p>
    <w:p w14:paraId="5863189C" w14:textId="686D62D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Chang, S.-C., &amp; Chou, C.-M. (2012). The roles of constraint-based and dedication-based influences on user's continued online shopping behavior. The Spanish Journal of Psychology, 15(3), 1177–1200. https://doi.org/10.5209/rev_SJOP.2012.v15.n3.39406</w:t>
      </w:r>
    </w:p>
    <w:p w14:paraId="6CB3F368" w14:textId="4776322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Chang, Y.-W., Hsu, P.-Y., &amp; Lan, Y.-C. (2019). </w:t>
      </w:r>
      <w:r>
        <w:rPr>
          <w:color w:val="000000"/>
          <w:lang w:val="en-US" w:eastAsia="de-DE"/>
        </w:rPr>
        <w:t xml:space="preserve">Cooperation and competition between online travel agencies and hotels. </w:t>
      </w:r>
      <w:r>
        <w:rPr>
          <w:i/>
          <w:iCs/>
          <w:color w:val="000000"/>
          <w:lang w:val="en-US" w:eastAsia="de-DE"/>
        </w:rPr>
        <w:t>Tourism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71</w:t>
      </w:r>
      <w:r>
        <w:rPr>
          <w:color w:val="000000"/>
          <w:lang w:val="en-US" w:eastAsia="de-DE"/>
        </w:rPr>
        <w:t>, 187–196. https://doi.org/10.1016/j.tourman.2018.08.026</w:t>
      </w:r>
    </w:p>
    <w:p w14:paraId="4E8DDBB6" w14:textId="1C6E6CF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Chaouali, W., &amp; El Hedhli, K. (2019). Toward a contagion-based model of mobile banking adoption. </w:t>
      </w:r>
      <w:r>
        <w:rPr>
          <w:i/>
          <w:iCs/>
          <w:color w:val="000000"/>
          <w:lang w:val="en-US" w:eastAsia="de-DE"/>
        </w:rPr>
        <w:t>International Journal of Bank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37</w:t>
      </w:r>
      <w:r>
        <w:rPr>
          <w:color w:val="000000"/>
          <w:lang w:val="en-US" w:eastAsia="de-DE"/>
        </w:rPr>
        <w:t>(1), 69–96. https://doi.org/10.1108/IJBM-05-2017-0096</w:t>
      </w:r>
    </w:p>
    <w:p w14:paraId="3332A391" w14:textId="53570A0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Chen, J., &amp; Dibb, S. (2010). Consumer trust in the online retail context: Exploring the antecedents and consequences. </w:t>
      </w:r>
      <w:r>
        <w:rPr>
          <w:i/>
          <w:iCs/>
          <w:color w:val="000000"/>
          <w:lang w:val="en-US" w:eastAsia="de-DE"/>
        </w:rPr>
        <w:t>Psychology &amp;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27</w:t>
      </w:r>
      <w:r>
        <w:rPr>
          <w:color w:val="000000"/>
          <w:lang w:val="en-US" w:eastAsia="de-DE"/>
        </w:rPr>
        <w:t>(4), 323–346. https://doi.org/10.1002/mar.20334</w:t>
      </w:r>
    </w:p>
    <w:p w14:paraId="38B9D256" w14:textId="4D29C27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Chen, Y.-T., &amp; Chou, T.-Y. (2012). Exploring the continuance intentions of consumers for B2C online shopping. </w:t>
      </w:r>
      <w:r>
        <w:rPr>
          <w:i/>
          <w:iCs/>
          <w:color w:val="000000"/>
          <w:lang w:val="en-US" w:eastAsia="de-DE"/>
        </w:rPr>
        <w:t>Online Information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(1), 104–125. https://doi.org/10.1108/14684521211209572</w:t>
      </w:r>
    </w:p>
    <w:p w14:paraId="4BC6ECDB" w14:textId="5616CB2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Chen, Y., Yang, L., Zhang, M., &amp; Yang, J. (2018). Central or peripheral? Cognition elaboration cues' effect on users' continuance intention of mobile health applications in the developing markets. International Journal of Medical Informatics, 116, 33–45. https://doi.org/10.1016/j.ijmedinf.2018.04.008</w:t>
      </w:r>
    </w:p>
    <w:p w14:paraId="29796F91" w14:textId="437BF17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de-DE" w:eastAsia="de-DE"/>
        </w:rPr>
        <w:t xml:space="preserve">Cheung, C. M. K., &amp; Lee, M. K. O. (2006). </w:t>
      </w:r>
      <w:r>
        <w:rPr>
          <w:color w:val="000000"/>
          <w:lang w:val="en-US" w:eastAsia="de-DE"/>
        </w:rPr>
        <w:t xml:space="preserve">Understanding Consumer Trust in Internet Shopping: A Multidisciplinary Approach. </w:t>
      </w:r>
      <w:r>
        <w:rPr>
          <w:i/>
          <w:iCs/>
          <w:color w:val="000000"/>
          <w:lang w:val="en-US" w:eastAsia="de-DE"/>
        </w:rPr>
        <w:t>Journal of the American Society for Information Science and Technology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57</w:t>
      </w:r>
      <w:r>
        <w:rPr>
          <w:color w:val="000000"/>
          <w:lang w:val="en-US" w:eastAsia="de-DE"/>
        </w:rPr>
        <w:t>(4), 479–492. https://doi.org/10.1002/asi.20312</w:t>
      </w:r>
    </w:p>
    <w:p w14:paraId="32B9D7A2" w14:textId="04EBC78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Chih, W.-H., Liou, D.-K., &amp; Hsu, L.-C. (2015). From positive and negative cognition perspectives to explore e-shoppers’ real purchase behavior: an application of tricomponent attitude model. </w:t>
      </w:r>
      <w:r>
        <w:rPr>
          <w:i/>
          <w:iCs/>
          <w:color w:val="000000"/>
          <w:lang w:val="en-US" w:eastAsia="de-DE"/>
        </w:rPr>
        <w:t>Information Systems and E-Business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(3), 495–526. https://doi.org/10.1007/s10257-014-0249-0</w:t>
      </w:r>
    </w:p>
    <w:p w14:paraId="1E92200B" w14:textId="6451BF8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Chiu, C.-M., Hsu, M.-H., Lai, H., &amp; Chang, C.-M. (2012). </w:t>
      </w:r>
      <w:r>
        <w:rPr>
          <w:color w:val="000000"/>
          <w:lang w:val="en-US" w:eastAsia="de-DE"/>
        </w:rPr>
        <w:t xml:space="preserve">Re-examining the influence of trust on online repeat purchase intention: The moderating role of habit and its antecedents. </w:t>
      </w:r>
      <w:r>
        <w:rPr>
          <w:i/>
          <w:iCs/>
          <w:color w:val="000000"/>
          <w:lang w:val="en-US" w:eastAsia="de-DE"/>
        </w:rPr>
        <w:t>Decision Support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53</w:t>
      </w:r>
      <w:r>
        <w:rPr>
          <w:color w:val="000000"/>
          <w:lang w:val="en-US" w:eastAsia="de-DE"/>
        </w:rPr>
        <w:t>(4), 835–845. https://doi.org/10.1016/j.dss.2012.05.021</w:t>
      </w:r>
    </w:p>
    <w:p w14:paraId="66E416B1" w14:textId="2F2DC78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Chiu, C.-M., Lin, H.-Y., Sun, S.-Y., &amp; Hsu, M.-H. (2009). Understanding customers' loyalty intentions towards online shopping: an integration of technology acceptance model and fairness theory. Behaviour &amp; Information Technology, 28(4), 347–360. https://doi.org/10.1080/01449290801892492</w:t>
      </w:r>
    </w:p>
    <w:p w14:paraId="57477631" w14:textId="0A4C814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Chiu, C.-M., Chang, C.-C., Cheng, H.-L., &amp; Fang, Y.-H. (2009). Determinants of customer repurchase intention in online shopping. </w:t>
      </w:r>
      <w:r>
        <w:rPr>
          <w:i/>
          <w:iCs/>
          <w:color w:val="000000"/>
          <w:lang w:val="en-US" w:eastAsia="de-DE"/>
        </w:rPr>
        <w:t>Online Information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33</w:t>
      </w:r>
      <w:r>
        <w:rPr>
          <w:color w:val="000000"/>
          <w:lang w:val="en-US" w:eastAsia="de-DE"/>
        </w:rPr>
        <w:t>(4), 761–784. https://doi.org/10.1108/14684520910985710</w:t>
      </w:r>
    </w:p>
    <w:p w14:paraId="6B8E133C" w14:textId="3409391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Dabholkar, P. A., van Dolen, W. M., &amp; Ruyter, K. de (2009). A dual-sequence framework for B2C relationship formation: Moderating effects of employee communication style in online group chat. </w:t>
      </w:r>
      <w:r>
        <w:rPr>
          <w:i/>
          <w:iCs/>
          <w:color w:val="000000"/>
          <w:lang w:val="en-US" w:eastAsia="de-DE"/>
        </w:rPr>
        <w:t>Psychology &amp;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26</w:t>
      </w:r>
      <w:r>
        <w:rPr>
          <w:color w:val="000000"/>
          <w:lang w:val="en-US" w:eastAsia="de-DE"/>
        </w:rPr>
        <w:t>(2), 145–174. https://doi.org/10.1002/mar.20265</w:t>
      </w:r>
    </w:p>
    <w:p w14:paraId="4484D20B" w14:textId="60E02A8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Dai, H., &amp; King, R. C. (2008). Are Chinese online consumers different? An investigation of online consumers' repeat purchase intention in China. AMCIS 2008 Proceedings, Article 399.</w:t>
      </w:r>
    </w:p>
    <w:p w14:paraId="367AC38B" w14:textId="12CD657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Dakduk, S., Santalla-Banderali, Z., &amp; Siqueira, J. R. (2020). Acceptance of mobile commerce in low-income consumers: Evidence from an emerging economy. </w:t>
      </w:r>
      <w:r>
        <w:rPr>
          <w:i/>
          <w:iCs/>
          <w:color w:val="000000"/>
          <w:lang w:val="en-US" w:eastAsia="de-DE"/>
        </w:rPr>
        <w:t>Heliyon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(11), Article e05451. https://doi.org/10.1016/j.heliyon.2020.e05451</w:t>
      </w:r>
    </w:p>
    <w:p w14:paraId="1EAC7348" w14:textId="6CB9BAC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Delgado-Ballester, E., &amp; Hernández-Espallardo, M. (2008). Effect of Brand Associations on Consumer Reactions to Unknown On-Line Brands. </w:t>
      </w:r>
      <w:r>
        <w:rPr>
          <w:i/>
          <w:iCs/>
          <w:color w:val="000000"/>
          <w:lang w:val="en-US" w:eastAsia="de-DE"/>
        </w:rPr>
        <w:t>International Journal of Electronic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12</w:t>
      </w:r>
      <w:r>
        <w:rPr>
          <w:color w:val="000000"/>
          <w:lang w:val="en-US" w:eastAsia="de-DE"/>
        </w:rPr>
        <w:t>(3), 81–113. https://doi.org/10.2753/JEC1086-4415120305</w:t>
      </w:r>
    </w:p>
    <w:p w14:paraId="58CF4515" w14:textId="2C3F418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Dinev, T., Albano, V., Xu, H., D’Atri, A., &amp; Hart, P. (2016). Individuals’ Attitudes Towards Electronic Health Records: A Privacy Calculus Perspective. In A. Gupta, V. L. Patel, &amp; R. A. Greenes (Eds.), </w:t>
      </w:r>
      <w:r>
        <w:rPr>
          <w:i/>
          <w:iCs/>
          <w:color w:val="000000"/>
          <w:lang w:val="en-US" w:eastAsia="de-DE"/>
        </w:rPr>
        <w:t xml:space="preserve">Advances in Healthcare Informatics and Analytics </w:t>
      </w:r>
      <w:r>
        <w:rPr>
          <w:color w:val="000000"/>
          <w:lang w:val="en-US" w:eastAsia="de-DE"/>
        </w:rPr>
        <w:t>(Vol. 19, pp. 19–50). Springer International Publishing. https://doi.org/10.1007/978-3-319-23294-2_2</w:t>
      </w:r>
    </w:p>
    <w:p w14:paraId="229A0BC0" w14:textId="11C0CA3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Dinev, T., Bellotto, M., Hart, P., Russo, V., Serra, I., &amp; Colautti, C. (2006). Privacy calculus model in e-commerce – a study of Italy and the United States. </w:t>
      </w:r>
      <w:r>
        <w:rPr>
          <w:i/>
          <w:iCs/>
          <w:color w:val="000000"/>
          <w:lang w:val="en-US" w:eastAsia="de-DE"/>
        </w:rPr>
        <w:t>European Journal of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15</w:t>
      </w:r>
      <w:r>
        <w:rPr>
          <w:color w:val="000000"/>
          <w:lang w:val="en-US" w:eastAsia="de-DE"/>
        </w:rPr>
        <w:t xml:space="preserve">(4), 389–402. </w:t>
      </w:r>
      <w:r>
        <w:rPr>
          <w:lang w:val="en-US" w:eastAsia="de-DE"/>
        </w:rPr>
        <w:t>https://doi.org/10.1057/palgrave.ejis.3000590</w:t>
      </w:r>
    </w:p>
    <w:p w14:paraId="0AC1856B" w14:textId="2C1A0CA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Donmaz, A., Akyol, A., &amp; Simsek, G. G. (2021). The role of e-service quality dimensions on customer behavioral intentions in e-retailing. </w:t>
      </w:r>
      <w:r>
        <w:rPr>
          <w:i/>
          <w:iCs/>
          <w:color w:val="000000"/>
          <w:lang w:val="en-US" w:eastAsia="de-DE"/>
        </w:rPr>
        <w:t>Disiplinlerarası Yenilik Araştırmaları Dergisi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</w:t>
      </w:r>
      <w:r>
        <w:rPr>
          <w:color w:val="000000"/>
          <w:lang w:val="en-US" w:eastAsia="de-DE"/>
        </w:rPr>
        <w:t>(1), 112–129.</w:t>
      </w:r>
    </w:p>
    <w:p w14:paraId="3D2803FB" w14:textId="7E641B6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Doong, H.-S., Wang, H.-C., &amp; Foxall, G. R. (2011). An investigation of consumers’ webstore shopping: A view of click-and-mortar company. </w:t>
      </w:r>
      <w:r>
        <w:rPr>
          <w:i/>
          <w:iCs/>
          <w:color w:val="000000"/>
          <w:lang w:val="en-US" w:eastAsia="de-DE"/>
        </w:rPr>
        <w:t>International Journal of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(3), 210–216. https://doi.org/10.1016/j.ijinfomgt.2010.06.006</w:t>
      </w:r>
    </w:p>
    <w:p w14:paraId="432D912B" w14:textId="617B920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Eastlick, M. A., &amp; Lotz, S. (2011). Cognitive and institutional predictors of initial trust toward an online retailer". </w:t>
      </w:r>
      <w:r>
        <w:rPr>
          <w:i/>
          <w:iCs/>
          <w:color w:val="000000"/>
          <w:lang w:val="en-US" w:eastAsia="de-DE"/>
        </w:rPr>
        <w:t>International Journal of Retail &amp; Distribution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39</w:t>
      </w:r>
      <w:r>
        <w:rPr>
          <w:color w:val="000000"/>
          <w:lang w:val="en-US" w:eastAsia="de-DE"/>
        </w:rPr>
        <w:t>(4), 234–255. https://doi.org/10.1108/09590551111117527</w:t>
      </w:r>
    </w:p>
    <w:p w14:paraId="4627086B" w14:textId="5C9F354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Elseidi, R. I. (2018). Understanding Egyptian Consumers' Intentions in Online Shopping. International Journal of Online Marketing, 8(3), 1–18. https://doi.org/10.4018/IJOM.2018070101</w:t>
      </w:r>
    </w:p>
    <w:p w14:paraId="627ADCFE" w14:textId="62CB808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Escobar-Rodríguez, T., &amp; Bonsón-Fernández, R. (2017). Analysing online purchase intention in Spain: fashion e-commerce. </w:t>
      </w:r>
      <w:r>
        <w:rPr>
          <w:i/>
          <w:iCs/>
          <w:color w:val="000000"/>
          <w:lang w:val="en-US" w:eastAsia="de-DE"/>
        </w:rPr>
        <w:t>Information Systems and E-Business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15</w:t>
      </w:r>
      <w:r>
        <w:rPr>
          <w:color w:val="000000"/>
          <w:lang w:val="en-US" w:eastAsia="de-DE"/>
        </w:rPr>
        <w:t>(3), 599–622. https://doi.org/10.1007/s10257-016-0319-6</w:t>
      </w:r>
    </w:p>
    <w:p w14:paraId="1E7CDA3C" w14:textId="340E29B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Esmaeilzadeh, P. (2019). The Impacts of the Perceived Transparency of Privacy Policies and Trust in Providers for Building Trust in Health Information Exchange: Empirical Study. </w:t>
      </w:r>
      <w:r>
        <w:rPr>
          <w:i/>
          <w:iCs/>
          <w:color w:val="000000"/>
          <w:lang w:val="en-US" w:eastAsia="de-DE"/>
        </w:rPr>
        <w:t>JMIR Medical Informatics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(4), Article e14050. https://doi.org/10.2196/14050</w:t>
      </w:r>
    </w:p>
    <w:p w14:paraId="36CD0118" w14:textId="1E63ECB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Faqih, K. M. S., &amp; Jaradat, M. I. R. M. (2015). Mobile Healthcare Adoption among Patients in a Developing Country Environment: Exploring the Influence of Age and Gender Differences. </w:t>
      </w:r>
      <w:r>
        <w:rPr>
          <w:i/>
          <w:iCs/>
          <w:color w:val="000000"/>
          <w:lang w:val="en-US" w:eastAsia="de-DE"/>
        </w:rPr>
        <w:t>International Business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</w:t>
      </w:r>
      <w:r>
        <w:rPr>
          <w:color w:val="000000"/>
          <w:lang w:val="en-US" w:eastAsia="de-DE"/>
        </w:rPr>
        <w:t>(9), 142–174. https://doi.org/10.5539/ibr.v8n9p142</w:t>
      </w:r>
    </w:p>
    <w:p w14:paraId="71AFD2A1" w14:textId="7A7CCCA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Farah, M. F., Hasni, M. J. S., &amp; Abbas, A. K. (2018). Mobile-banking adoption: empirical evidence from the banking sector in Pakistan. </w:t>
      </w:r>
      <w:r>
        <w:rPr>
          <w:i/>
          <w:iCs/>
          <w:color w:val="000000"/>
          <w:lang w:val="en-US" w:eastAsia="de-DE"/>
        </w:rPr>
        <w:t>International Journal of Bank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(7), 1386–1413. https://doi.org/10.1108/IJBM-10-2017-0215</w:t>
      </w:r>
    </w:p>
    <w:p w14:paraId="01304D53" w14:textId="20C4B20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Fortes, N., &amp; Rita, P. (2016). Privacy concerns and online purchasing behaviour: Towards an integrated model. </w:t>
      </w:r>
      <w:r>
        <w:rPr>
          <w:i/>
          <w:iCs/>
          <w:color w:val="000000"/>
          <w:lang w:val="en-US" w:eastAsia="de-DE"/>
        </w:rPr>
        <w:t>European Research on Management and Business Economics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(3), 167–176. https://doi.org/10.1016/j.iedeen.2016.04.002</w:t>
      </w:r>
    </w:p>
    <w:p w14:paraId="35130CBF" w14:textId="34EFBFB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Fox, G., &amp; James, T. L. (2021). Toward an Understanding of the Antecedents to Health Information Privacy Concern: A Mixed Methods Study. </w:t>
      </w:r>
      <w:r>
        <w:rPr>
          <w:i/>
          <w:iCs/>
          <w:color w:val="000000"/>
          <w:lang w:val="en-US" w:eastAsia="de-DE"/>
        </w:rPr>
        <w:t>Information Systems Frontiers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(6), 1537–1562. https://doi.org/10.1007/s10796-020-10053-0</w:t>
      </w:r>
    </w:p>
    <w:p w14:paraId="36DCB994" w14:textId="6C99C5C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Gao, L., &amp; Waechter, K. A. (2017). Examining the role of initial trust in user adoption of mobile payment services: an empirical investigation. </w:t>
      </w:r>
      <w:r>
        <w:rPr>
          <w:i/>
          <w:iCs/>
          <w:color w:val="000000"/>
          <w:lang w:val="en-US" w:eastAsia="de-DE"/>
        </w:rPr>
        <w:t>Information Systems Frontiers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(3), 525–548. https://doi.org/10.1007/s10796-015-9611-0</w:t>
      </w:r>
    </w:p>
    <w:p w14:paraId="4CC83EF7" w14:textId="6244A93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Gao, L., Waechter, K. A., &amp; Bai, X. (2015). Understanding consumers’ continuance intention towards mobile purchase: A theoretical framework and empirical study – A case of China.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53</w:t>
      </w:r>
      <w:r>
        <w:rPr>
          <w:color w:val="000000"/>
          <w:lang w:val="en-US" w:eastAsia="de-DE"/>
        </w:rPr>
        <w:t>, 249–262. https://doi.org/10.1016/j.chb.2015.07.014</w:t>
      </w:r>
    </w:p>
    <w:p w14:paraId="392463F2" w14:textId="7F1CD26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Garrouch, K. (2021). Does the reputation of the provider matter? A model explaining the continuance intention of mobile wallet applications. </w:t>
      </w:r>
      <w:r>
        <w:rPr>
          <w:i/>
          <w:iCs/>
          <w:color w:val="000000"/>
          <w:lang w:val="en-US" w:eastAsia="de-DE"/>
        </w:rPr>
        <w:t>Journal of Decision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30</w:t>
      </w:r>
      <w:r>
        <w:rPr>
          <w:color w:val="000000"/>
          <w:lang w:val="en-US" w:eastAsia="de-DE"/>
        </w:rPr>
        <w:t>(2-3), 150–171. https://doi.org/10.1080/12460125.2020.1870261</w:t>
      </w:r>
    </w:p>
    <w:p w14:paraId="441B0910" w14:textId="0FC0024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Gbongli, K., Xu, Y., Amedjonekou, K. M., &amp; Kovács, L. (2020). Evaluation and Classification of Mobile Financial Services Sustainability Using Structural Equation Modeling and Multiple Criteria Decision-Making Methods. </w:t>
      </w:r>
      <w:r>
        <w:rPr>
          <w:i/>
          <w:iCs/>
          <w:color w:val="000000"/>
          <w:lang w:val="en-US" w:eastAsia="de-DE"/>
        </w:rPr>
        <w:t>Sustainability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12</w:t>
      </w:r>
      <w:r>
        <w:rPr>
          <w:color w:val="000000"/>
          <w:lang w:val="en-US" w:eastAsia="de-DE"/>
        </w:rPr>
        <w:t>(4), Article 1288. https://doi.org/10.3390/su12041288</w:t>
      </w:r>
    </w:p>
    <w:p w14:paraId="5C3795F5" w14:textId="5423F6E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Gefen, D., &amp; Heart, T. H. (2006). On the Need to Include National Culture as a Central Issue in E-Commerce Trust Beliefs. </w:t>
      </w:r>
      <w:r>
        <w:rPr>
          <w:i/>
          <w:iCs/>
          <w:color w:val="000000"/>
          <w:lang w:val="en-US" w:eastAsia="de-DE"/>
        </w:rPr>
        <w:t>Journal of Global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14</w:t>
      </w:r>
      <w:r>
        <w:rPr>
          <w:color w:val="000000"/>
          <w:lang w:val="en-US" w:eastAsia="de-DE"/>
        </w:rPr>
        <w:t>(4), 1–30. https://doi.org/10.4018/jgim.2006100101</w:t>
      </w:r>
    </w:p>
    <w:p w14:paraId="5B80CE77" w14:textId="02C3834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Gefen, D., Karahanna, E., &amp; Straub, D. W. (2003b). Trust and TAM in Online Shopping: An Integrated Model. </w:t>
      </w:r>
      <w:r>
        <w:rPr>
          <w:i/>
          <w:iCs/>
          <w:color w:val="000000"/>
          <w:lang w:val="en-US" w:eastAsia="de-DE"/>
        </w:rPr>
        <w:t>MIS Quarterly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27</w:t>
      </w:r>
      <w:r>
        <w:rPr>
          <w:color w:val="000000"/>
          <w:lang w:val="en-US" w:eastAsia="de-DE"/>
        </w:rPr>
        <w:t>(1), 51–90. https://doi.org/10.2307/30036519</w:t>
      </w:r>
    </w:p>
    <w:p w14:paraId="777D8BBC" w14:textId="218F738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Gefen, D., &amp; Straub, D. W. (2004). Consumer Trust in B2C E-Commerce and the Importance of Social Presence: Experiments in E-Products and E-Services. </w:t>
      </w:r>
      <w:r>
        <w:rPr>
          <w:i/>
          <w:iCs/>
          <w:color w:val="000000"/>
          <w:lang w:val="en-US" w:eastAsia="de-DE"/>
        </w:rPr>
        <w:t>Omega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32</w:t>
      </w:r>
      <w:r>
        <w:rPr>
          <w:color w:val="000000"/>
          <w:lang w:val="en-US" w:eastAsia="de-DE"/>
        </w:rPr>
        <w:t>(6), 407–424. https://doi.org/10.1016/j.omega.2004.01.006</w:t>
      </w:r>
    </w:p>
    <w:p w14:paraId="2666A9B4" w14:textId="1750329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Ghazali, E. M., Mutum, D. S., Chong, J. H., &amp; Nguyen, B. (2018). Do consumers want mobile commerce? A closer look at M-shopping and technology adoption in Malaysia. </w:t>
      </w:r>
      <w:r>
        <w:rPr>
          <w:i/>
          <w:iCs/>
          <w:color w:val="000000"/>
          <w:lang w:val="en-US" w:eastAsia="de-DE"/>
        </w:rPr>
        <w:t>Asia Pacific Journal of Marketing and Logistics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30</w:t>
      </w:r>
      <w:r>
        <w:rPr>
          <w:color w:val="000000"/>
          <w:lang w:val="en-US" w:eastAsia="de-DE"/>
        </w:rPr>
        <w:t>(4), 1064–1086. https://doi.org/10.1108/APJML-05-2017-0093</w:t>
      </w:r>
    </w:p>
    <w:p w14:paraId="4B89225A" w14:textId="7AB1202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Gong, Z., Han, Z., Li, X., Yu, C., &amp; Reinhardt, J. D. (2019). </w:t>
      </w:r>
      <w:r>
        <w:rPr>
          <w:color w:val="000000"/>
          <w:lang w:val="en-US" w:eastAsia="de-DE"/>
        </w:rPr>
        <w:t xml:space="preserve">Factors Influencing the Adoption of Online Health Consultation Services: The Role of Subjective Norm, Trust, Perceived Benefit, and Offline Habit. </w:t>
      </w:r>
      <w:r>
        <w:rPr>
          <w:i/>
          <w:iCs/>
          <w:color w:val="000000"/>
          <w:lang w:val="en-US" w:eastAsia="de-DE"/>
        </w:rPr>
        <w:t>Frontiers in Public Health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, Article 286. https://doi.org/10.3389/fpubh.2019.00286</w:t>
      </w:r>
    </w:p>
    <w:p w14:paraId="66F7A6DE" w14:textId="782B171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Gu, J.-C., Lee, S.-C., &amp; Suh, Y.-H. (2009). Determinants of Behavioral Intention to Mobile Banking. </w:t>
      </w:r>
      <w:r>
        <w:rPr>
          <w:i/>
          <w:iCs/>
          <w:color w:val="000000"/>
          <w:lang w:val="en-US" w:eastAsia="de-DE"/>
        </w:rPr>
        <w:t>Expert Systems with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(9), 11605–11616. https://doi.org/10.1016/j.eswa.2009.03.024</w:t>
      </w:r>
    </w:p>
    <w:p w14:paraId="45C97A20" w14:textId="28228E2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Guo, X., Chen, S., Zhang, X., Ju, X., &amp; Wang, X. (2020). Exploring Patients' Intentions for Continuous Usage of mHealth Services: Elaboration-Likelihood Perspective Study. JMIR MHealth and UHealth, 8(4), Article e17258. https://doi.org/10.2196/17258</w:t>
      </w:r>
    </w:p>
    <w:p w14:paraId="5D5EF18B" w14:textId="50B32C5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Guo, X., Sun, Y., Yan, Z., &amp; Wang, N. (2012). Privacy-personalization paradox in adoption of mobile health service: the mediating role of trust. </w:t>
      </w:r>
      <w:r>
        <w:rPr>
          <w:i/>
          <w:iCs/>
          <w:color w:val="000000"/>
          <w:lang w:val="en-US" w:eastAsia="de-DE"/>
        </w:rPr>
        <w:t>PACIS 2012 Proceedings</w:t>
      </w:r>
      <w:r>
        <w:rPr>
          <w:color w:val="000000"/>
          <w:lang w:val="en-US" w:eastAsia="de-DE"/>
        </w:rPr>
        <w:t>, Article 27.</w:t>
      </w:r>
    </w:p>
    <w:p w14:paraId="1E654C1F" w14:textId="04B8700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en-US" w:eastAsia="de-DE"/>
        </w:rPr>
        <w:t xml:space="preserve">Guo, X., Zhang, X., &amp; Sun, Y. (2016). </w:t>
      </w:r>
      <w:r>
        <w:rPr>
          <w:color w:val="000000"/>
          <w:lang w:val="en-US" w:eastAsia="de-DE"/>
        </w:rPr>
        <w:t xml:space="preserve">The privacy–personalization paradox in mHealth services acceptance of different age groups. </w:t>
      </w:r>
      <w:r>
        <w:rPr>
          <w:i/>
          <w:iCs/>
          <w:color w:val="000000"/>
          <w:lang w:val="en-US" w:eastAsia="de-DE"/>
        </w:rPr>
        <w:t>Electronic Commerce Research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16</w:t>
      </w:r>
      <w:r>
        <w:rPr>
          <w:color w:val="000000"/>
          <w:lang w:val="en-US" w:eastAsia="de-DE"/>
        </w:rPr>
        <w:t>, 55–65. https://doi.org/10.1016/j.elerap.2015.11.001</w:t>
      </w:r>
    </w:p>
    <w:p w14:paraId="2F2606F2" w14:textId="32AE8A6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Gupta, S., Chopra, R., Tanwar, S., &amp; Manjhi, S. K. (2021). Consumer Trust in Mobile Food Delivery Apps. </w:t>
      </w:r>
      <w:r>
        <w:rPr>
          <w:i/>
          <w:iCs/>
          <w:color w:val="000000"/>
          <w:lang w:val="en-US" w:eastAsia="de-DE"/>
        </w:rPr>
        <w:t>International Journal of Mobile Human Computer Interaction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(1), 33–55. https://doi.org/10.4018/IJMHCI.2021010103</w:t>
      </w:r>
    </w:p>
    <w:p w14:paraId="60E548E7" w14:textId="6D0013F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Gurung, A., Luo, X., &amp; Raja, M. K. (2008). </w:t>
      </w:r>
      <w:r>
        <w:rPr>
          <w:color w:val="000000"/>
          <w:lang w:val="en-US" w:eastAsia="de-DE"/>
        </w:rPr>
        <w:t xml:space="preserve">An Empirical Investigation on Customer’s Privacy Perceptions, </w:t>
      </w:r>
      <w:proofErr w:type="gramStart"/>
      <w:r>
        <w:rPr>
          <w:color w:val="000000"/>
          <w:lang w:val="en-US" w:eastAsia="de-DE"/>
        </w:rPr>
        <w:t>Trust</w:t>
      </w:r>
      <w:proofErr w:type="gramEnd"/>
      <w:r>
        <w:rPr>
          <w:color w:val="000000"/>
          <w:lang w:val="en-US" w:eastAsia="de-DE"/>
        </w:rPr>
        <w:t xml:space="preserve"> and Security Awareness in E-commerce Environment. </w:t>
      </w:r>
      <w:r>
        <w:rPr>
          <w:i/>
          <w:iCs/>
          <w:color w:val="000000"/>
          <w:lang w:val="en-US" w:eastAsia="de-DE"/>
        </w:rPr>
        <w:t>Journal of Information Privacy and Security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</w:t>
      </w:r>
      <w:r>
        <w:rPr>
          <w:color w:val="000000"/>
          <w:lang w:val="en-US" w:eastAsia="de-DE"/>
        </w:rPr>
        <w:t>(1), 42–60. https://doi.org/10.1080/2333696X.2008.10855833</w:t>
      </w:r>
    </w:p>
    <w:p w14:paraId="572AC1B3" w14:textId="370ACB5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Gurung, A., &amp; Raja, M. K. (2016). Online privacy and security concerns of consumers. </w:t>
      </w:r>
      <w:r>
        <w:rPr>
          <w:i/>
          <w:iCs/>
          <w:color w:val="000000"/>
          <w:lang w:val="en-US" w:eastAsia="de-DE"/>
        </w:rPr>
        <w:t>Information &amp; Computer Security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24</w:t>
      </w:r>
      <w:r>
        <w:rPr>
          <w:color w:val="000000"/>
          <w:lang w:val="en-US" w:eastAsia="de-DE"/>
        </w:rPr>
        <w:t>(4), 348–371. https://doi.org/10.1108/ICS-05-2015-0020</w:t>
      </w:r>
    </w:p>
    <w:p w14:paraId="1E55CC91" w14:textId="34269B2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Ha, H.-Y., Janda, S., &amp; Muthaly, S. K. (2010). A new understanding of satisfaction model in e‐re‐purchase situation. </w:t>
      </w:r>
      <w:r>
        <w:rPr>
          <w:i/>
          <w:iCs/>
          <w:color w:val="000000"/>
          <w:lang w:val="en-US" w:eastAsia="de-DE"/>
        </w:rPr>
        <w:t>European Journal of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44</w:t>
      </w:r>
      <w:r>
        <w:rPr>
          <w:color w:val="000000"/>
          <w:lang w:val="en-US" w:eastAsia="de-DE"/>
        </w:rPr>
        <w:t>(7/8), 997–1016. https://doi.org/10.1108/03090561011047490</w:t>
      </w:r>
    </w:p>
    <w:p w14:paraId="5C9596AA" w14:textId="481AC78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Hallikainen, H., &amp; Laukkanen, T. (2018). National culture and consumer trust in e-commerce. </w:t>
      </w:r>
      <w:r>
        <w:rPr>
          <w:i/>
          <w:iCs/>
          <w:color w:val="000000"/>
          <w:lang w:val="en-US" w:eastAsia="de-DE"/>
        </w:rPr>
        <w:t>International Journal of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38</w:t>
      </w:r>
      <w:r>
        <w:rPr>
          <w:color w:val="000000"/>
          <w:lang w:val="en-US" w:eastAsia="de-DE"/>
        </w:rPr>
        <w:t>(1), 97–106. https://doi.org/10.1016/j.ijinfomgt.2017.07.002</w:t>
      </w:r>
    </w:p>
    <w:p w14:paraId="71C1D63D" w14:textId="4665BE9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Hampton-Sosa, W., &amp; Koufaris, M. (2005). The Effect of Web Site Perceptions on Initial Trust in the Owner Company. </w:t>
      </w:r>
      <w:r>
        <w:rPr>
          <w:i/>
          <w:iCs/>
          <w:color w:val="000000"/>
          <w:lang w:val="en-US" w:eastAsia="de-DE"/>
        </w:rPr>
        <w:t>International Journal of Electronic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10</w:t>
      </w:r>
      <w:r>
        <w:rPr>
          <w:color w:val="000000"/>
          <w:lang w:val="en-US" w:eastAsia="de-DE"/>
        </w:rPr>
        <w:t>(1), 55–81. https://doi.org/10.1080/10864415.2005.11043965</w:t>
      </w:r>
    </w:p>
    <w:p w14:paraId="3444E43D" w14:textId="484D8F4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Handarkho, Y. D. (2021). Understanding mobile payment continuance usage in physical store through social impact theory and trust transfer. </w:t>
      </w:r>
      <w:r>
        <w:rPr>
          <w:i/>
          <w:iCs/>
          <w:color w:val="000000"/>
          <w:lang w:val="en-US" w:eastAsia="de-DE"/>
        </w:rPr>
        <w:t>Asia Pacific Journal of Marketing and Logistics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33</w:t>
      </w:r>
      <w:r>
        <w:rPr>
          <w:color w:val="000000"/>
          <w:lang w:val="en-US" w:eastAsia="de-DE"/>
        </w:rPr>
        <w:t>(4), 1071–1087. https://doi.org/10.1108/APJML-01-2020-0018</w:t>
      </w:r>
    </w:p>
    <w:p w14:paraId="51F4B839" w14:textId="627F851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Hao Suan Samuel, L., Balaji, M. S., &amp; Kok Wei, K. (2015). An Investigation of Online Shopping Experience on Trust and Behavioral Intentions. </w:t>
      </w:r>
      <w:r>
        <w:rPr>
          <w:i/>
          <w:iCs/>
          <w:color w:val="000000"/>
          <w:lang w:val="en-US" w:eastAsia="de-DE"/>
        </w:rPr>
        <w:t>Journal of Internet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14</w:t>
      </w:r>
      <w:r>
        <w:rPr>
          <w:color w:val="000000"/>
          <w:lang w:val="en-US" w:eastAsia="de-DE"/>
        </w:rPr>
        <w:t>(2), 233–254. https://doi.org/10.1080/15332861.2015.1028250</w:t>
      </w:r>
    </w:p>
    <w:p w14:paraId="344C4829" w14:textId="5122AB4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Ho, K. K., &amp; See-To, E. W. K. (2010). An Exploratory Study on the Impact of Trust on Different E-Payment Gateways: Octopus Card Vs. Credit Card. </w:t>
      </w:r>
      <w:r>
        <w:rPr>
          <w:i/>
          <w:iCs/>
          <w:color w:val="000000"/>
          <w:lang w:val="en-US" w:eastAsia="de-DE"/>
        </w:rPr>
        <w:t>PACIS 2010 Proceedings</w:t>
      </w:r>
      <w:r>
        <w:rPr>
          <w:color w:val="000000"/>
          <w:lang w:val="en-US" w:eastAsia="de-DE"/>
        </w:rPr>
        <w:t>, Article 42.</w:t>
      </w:r>
    </w:p>
    <w:p w14:paraId="6D79247C" w14:textId="3A12E69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Hoque, M. R., Ali, M. A., &amp; Mahfuz, M. A. (2015). An Empirical Investigation on the Adoption of E-Commerce in Bangladesh. </w:t>
      </w:r>
      <w:r>
        <w:rPr>
          <w:i/>
          <w:iCs/>
          <w:color w:val="000000"/>
          <w:lang w:val="en-US" w:eastAsia="de-DE"/>
        </w:rPr>
        <w:t>Asia Pacific Journal of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25</w:t>
      </w:r>
      <w:r>
        <w:rPr>
          <w:color w:val="000000"/>
          <w:lang w:val="en-US" w:eastAsia="de-DE"/>
        </w:rPr>
        <w:t>(1), 1–24. https://doi.org/10.14329/apjis.2015.25.1.001</w:t>
      </w:r>
    </w:p>
    <w:p w14:paraId="5B798FD9" w14:textId="02260AF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Hoque, M. R., Bao, Y., &amp; Sorwar, G. (2017). Investigating Factors Influencing the Adoption of E-Health in Developing Countries: A Patient's Perspective. Informatics for Health &amp; Social Care, 42(1), 1–17. https://doi.org/10.3109/17538157.2015.1075541</w:t>
      </w:r>
    </w:p>
    <w:p w14:paraId="619059C3" w14:textId="087FC88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Hsiao, K.-L., Chuan‐Chuan Lin, J., Wang, X.-Y., Lu, H.-P., &amp; Yu, H. (2010). Antecedents and consequences of trust in online product recommendations. </w:t>
      </w:r>
      <w:r>
        <w:rPr>
          <w:i/>
          <w:iCs/>
          <w:color w:val="000000"/>
          <w:lang w:val="en-US" w:eastAsia="de-DE"/>
        </w:rPr>
        <w:t>Online Information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34</w:t>
      </w:r>
      <w:r>
        <w:rPr>
          <w:color w:val="000000"/>
          <w:lang w:val="en-US" w:eastAsia="de-DE"/>
        </w:rPr>
        <w:t>(6), 935–953. https://doi.org/10.1108/14684521011099414</w:t>
      </w:r>
    </w:p>
    <w:p w14:paraId="79D07730" w14:textId="293D97C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Huang, L.-T., Farn, C.-K., &amp; Yin, K.-L. (2005). On initial trust building for ecommerce: Revisiting from the perspective of signal theory and trust transference. </w:t>
      </w:r>
      <w:r>
        <w:rPr>
          <w:i/>
          <w:iCs/>
          <w:color w:val="000000"/>
          <w:lang w:val="en-US" w:eastAsia="de-DE"/>
        </w:rPr>
        <w:t>ECIS 2005 Proceedings</w:t>
      </w:r>
      <w:r>
        <w:rPr>
          <w:color w:val="000000"/>
          <w:lang w:val="en-US" w:eastAsia="de-DE"/>
        </w:rPr>
        <w:t>, Article 94.</w:t>
      </w:r>
    </w:p>
    <w:p w14:paraId="4D79551D" w14:textId="3AF3790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Human, G., Ungerer, M., &amp; Azémia, J.-A. J. C. (2020). Mauritian consumer intentions to adopt online grocery shopping: An extended decomposition of UTAUT2 with moderation. </w:t>
      </w:r>
      <w:r>
        <w:rPr>
          <w:i/>
          <w:iCs/>
          <w:color w:val="000000"/>
          <w:lang w:val="en-US" w:eastAsia="de-DE"/>
        </w:rPr>
        <w:t>Management Dynamics: Journal of the Southern African Institute for Management Scientists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(3), 15–37.</w:t>
      </w:r>
    </w:p>
    <w:p w14:paraId="42C309EF" w14:textId="29760B4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Hwang, Y., &amp; Lee, K. C. (2012). </w:t>
      </w:r>
      <w:r>
        <w:rPr>
          <w:color w:val="000000"/>
          <w:lang w:val="en-US" w:eastAsia="de-DE"/>
        </w:rPr>
        <w:t xml:space="preserve">Investigating the moderating role of uncertainty avoidance cultural values on multidimensional online trust. </w:t>
      </w:r>
      <w:r>
        <w:rPr>
          <w:i/>
          <w:iCs/>
          <w:color w:val="000000"/>
          <w:lang w:val="en-US" w:eastAsia="de-DE"/>
        </w:rPr>
        <w:t>Information &amp;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49</w:t>
      </w:r>
      <w:r>
        <w:rPr>
          <w:color w:val="000000"/>
          <w:lang w:val="en-US" w:eastAsia="de-DE"/>
        </w:rPr>
        <w:t>(3-4), 171–176. https://doi.org/10.1016/j.im.2012.02.003</w:t>
      </w:r>
    </w:p>
    <w:p w14:paraId="4F60EBD7" w14:textId="309B277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Jamieson, R., &amp; Lui, H. (2003). TriTAM: a model for integrating trust and risk perceptions in business-to-consumer electronic commerce. </w:t>
      </w:r>
      <w:r>
        <w:rPr>
          <w:i/>
          <w:iCs/>
          <w:color w:val="000000"/>
          <w:lang w:val="en-US" w:eastAsia="de-DE"/>
        </w:rPr>
        <w:t>BLED 2003 Proceedings</w:t>
      </w:r>
      <w:r>
        <w:rPr>
          <w:color w:val="000000"/>
          <w:lang w:val="en-US" w:eastAsia="de-DE"/>
        </w:rPr>
        <w:t>, Article 60.</w:t>
      </w:r>
    </w:p>
    <w:p w14:paraId="54448506" w14:textId="4B44D79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Jammoul, K. A. (2016). </w:t>
      </w:r>
      <w:r>
        <w:rPr>
          <w:i/>
          <w:iCs/>
          <w:color w:val="000000"/>
          <w:lang w:val="en-US" w:eastAsia="de-DE"/>
        </w:rPr>
        <w:t>Online banking operations management: security concerns on trust in mobile banking system</w:t>
      </w:r>
      <w:r>
        <w:rPr>
          <w:color w:val="000000"/>
          <w:lang w:val="en-US" w:eastAsia="de-DE"/>
        </w:rPr>
        <w:t xml:space="preserve"> [Dissertation]. Brunel University London, London, United Kingdom. </w:t>
      </w:r>
    </w:p>
    <w:p w14:paraId="63B022ED" w14:textId="2B0EB46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Jamshidi, D., &amp; Hussin, N. (2016). Forecasting patronage factors of Islamic credit card as a new e-commerce banking service. </w:t>
      </w:r>
      <w:r>
        <w:rPr>
          <w:i/>
          <w:iCs/>
          <w:color w:val="000000"/>
          <w:lang w:val="en-US" w:eastAsia="de-DE"/>
        </w:rPr>
        <w:t>Journal of Islamic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(4), 378–404. https://doi.org/10.1108/JIMA-07-2014-0050</w:t>
      </w:r>
    </w:p>
    <w:p w14:paraId="7738BF94" w14:textId="6E2B043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Jamshidi, D., Keshavarz, Y., Kazemi, F., &amp; Mohammadian, M. (2018). Mobile banking behavior and flow experience. </w:t>
      </w:r>
      <w:r>
        <w:rPr>
          <w:i/>
          <w:iCs/>
          <w:color w:val="000000"/>
          <w:lang w:val="en-US" w:eastAsia="de-DE"/>
        </w:rPr>
        <w:t>International Journal of Social Economics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45</w:t>
      </w:r>
      <w:r>
        <w:rPr>
          <w:color w:val="000000"/>
          <w:lang w:val="en-US" w:eastAsia="de-DE"/>
        </w:rPr>
        <w:t>(1), 57–81. https://doi.org/10.1108/IJSE-10-2016-0283</w:t>
      </w:r>
    </w:p>
    <w:p w14:paraId="571A76AB" w14:textId="034DB26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Jaradat, M. I. R. M., Moh', Z., &amp; Smadi, d. A. (2013). Applying the technology acceptance model to the introduction of mobile healthcare information systems. International Journal of Behavioural and Healthcare Research, 4(2), 123–143. https://doi.org/10.1504/IJBHR.2013.057363</w:t>
      </w:r>
    </w:p>
    <w:p w14:paraId="2D475929" w14:textId="56C2268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Jarvenpaa, S. L., Tractinsky, N., &amp; Saarinen, L. (1999). Consumer Trust in an Internet Store: A Cross-Cultural Validation. </w:t>
      </w:r>
      <w:r>
        <w:rPr>
          <w:i/>
          <w:iCs/>
          <w:color w:val="000000"/>
          <w:lang w:val="en-US" w:eastAsia="de-DE"/>
        </w:rPr>
        <w:t>Journal of Computer-Mediated Communication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</w:t>
      </w:r>
      <w:r>
        <w:rPr>
          <w:color w:val="000000"/>
          <w:lang w:val="en-US" w:eastAsia="de-DE"/>
        </w:rPr>
        <w:t>(2), Article JCMC526. https://doi.org/10.1111/j.1083-6101.1999.tb00337.x</w:t>
      </w:r>
    </w:p>
    <w:p w14:paraId="253447F9" w14:textId="714C243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Javed, M. K., Wu, M., Qadeer, T., Manzoor, A., Nadeem, A. H., &amp; Shouse, R. C. (2020). Role of Online Retailers' Post-</w:t>
      </w:r>
      <w:proofErr w:type="gramStart"/>
      <w:r>
        <w:rPr>
          <w:color w:val="000000"/>
          <w:lang w:val="en-US" w:eastAsia="de-DE"/>
        </w:rPr>
        <w:t>sale</w:t>
      </w:r>
      <w:proofErr w:type="gramEnd"/>
      <w:r>
        <w:rPr>
          <w:color w:val="000000"/>
          <w:lang w:val="en-US" w:eastAsia="de-DE"/>
        </w:rPr>
        <w:t xml:space="preserve"> Services in Building Relationships and Developing Repurchases: A Comparison-Based Analysis Among Male and Female Customers. Frontiers in Psychology, 11, Article 594132. https://doi.org/10.3389/fpsyg.2020.594132</w:t>
      </w:r>
    </w:p>
    <w:p w14:paraId="61B9D945" w14:textId="111549E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Jeon, H., Jang, J., &amp; Barrett, E. B. (2017). Linking Website Interactivity to Consumer Behavioral Intention in an Online Travel Community: The Mediating Role of Utilitarian Value and Online Trust. </w:t>
      </w:r>
      <w:r>
        <w:rPr>
          <w:i/>
          <w:iCs/>
          <w:color w:val="000000"/>
          <w:lang w:val="en-US" w:eastAsia="de-DE"/>
        </w:rPr>
        <w:t>Journal of Quality Assurance in Hospitality &amp; Tourism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(2), 125–148. https://doi.org/10.1080/1528008X.2016.1169473</w:t>
      </w:r>
    </w:p>
    <w:p w14:paraId="31D126A6" w14:textId="78C14EE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Kaabachi, S., Ben Mrad, S., &amp; Petrescu, M. (2017). Consumer initial trust toward internet-only banks in France. </w:t>
      </w:r>
      <w:r>
        <w:rPr>
          <w:i/>
          <w:iCs/>
          <w:color w:val="000000"/>
          <w:lang w:val="en-US" w:eastAsia="de-DE"/>
        </w:rPr>
        <w:t>International Journal of Bank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35</w:t>
      </w:r>
      <w:r>
        <w:rPr>
          <w:color w:val="000000"/>
          <w:lang w:val="en-US" w:eastAsia="de-DE"/>
        </w:rPr>
        <w:t>(6), 903–924. https://doi.org/10.1108/IJBM-09-2016-0140</w:t>
      </w:r>
    </w:p>
    <w:p w14:paraId="3FC48E70" w14:textId="2AFBE26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Katos, V. (2012). An integrated model for online transactions: illuminating the black box. </w:t>
      </w:r>
      <w:r>
        <w:rPr>
          <w:i/>
          <w:iCs/>
          <w:color w:val="000000"/>
          <w:lang w:val="en-US" w:eastAsia="de-DE"/>
        </w:rPr>
        <w:t>Information Management &amp; Computer Security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</w:t>
      </w:r>
      <w:r>
        <w:rPr>
          <w:color w:val="000000"/>
          <w:lang w:val="en-US" w:eastAsia="de-DE"/>
        </w:rPr>
        <w:t>(3), 184–206. https://doi.org/10.1108/09685221211247299</w:t>
      </w:r>
    </w:p>
    <w:p w14:paraId="72993A3F" w14:textId="1C29938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Kaushik, A. K., Mohan, G., &amp; Kumar, V. (2020). Examining the Antecedents and Consequences of Customers’ Trust Toward Mobile Retail Apps in India. </w:t>
      </w:r>
      <w:r>
        <w:rPr>
          <w:i/>
          <w:iCs/>
          <w:color w:val="000000"/>
          <w:lang w:val="en-US" w:eastAsia="de-DE"/>
        </w:rPr>
        <w:t>Journal of Internet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(1), 1–31. https://doi.org/10.1080/15332861.2019.1686333</w:t>
      </w:r>
    </w:p>
    <w:p w14:paraId="7B5C81BD" w14:textId="020CD95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Khalilzadeh, J., Ozturk, A. B., &amp; Bilgihan, A. (2017). Security-related factors in extended UTAUT model for NFC based mobile payment in the restaurant industry.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70</w:t>
      </w:r>
      <w:r>
        <w:rPr>
          <w:color w:val="000000"/>
          <w:lang w:val="en-US" w:eastAsia="de-DE"/>
        </w:rPr>
        <w:t>, 460–474. https://doi.org/10.1016/j.chb.2017.01.001</w:t>
      </w:r>
    </w:p>
    <w:p w14:paraId="26EA1D6F" w14:textId="41FB974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Khan, I. U., Hameed, Z., &amp; Hamayun, M. (2019). Investigating the Acceptance of Electronic Banking in the Rural Areas of Pakistan: An Application of the Unified Model. </w:t>
      </w:r>
      <w:r>
        <w:rPr>
          <w:i/>
          <w:iCs/>
          <w:color w:val="000000"/>
          <w:lang w:val="en-US" w:eastAsia="de-DE"/>
        </w:rPr>
        <w:t>Business &amp; Economic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(3), 57–88. https://doi.org/10.22547/BER/11.3.3</w:t>
      </w:r>
    </w:p>
    <w:p w14:paraId="7E77E2D8" w14:textId="6BE77E7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Khan, I., Xitong, G., Ahmad, Z., &amp; Shahzad, F. (2019). Investigating Factors Impelling the Adoption of e-Health: A Perspective of African Expats in China. </w:t>
      </w:r>
      <w:r>
        <w:rPr>
          <w:i/>
          <w:iCs/>
          <w:color w:val="000000"/>
          <w:lang w:val="en-US" w:eastAsia="de-DE"/>
        </w:rPr>
        <w:t>SAGE Open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9</w:t>
      </w:r>
      <w:r>
        <w:rPr>
          <w:color w:val="000000"/>
          <w:lang w:val="en-US" w:eastAsia="de-DE"/>
        </w:rPr>
        <w:t>(3), 215824401986580. https://doi.org/10.1177/2158244019865803</w:t>
      </w:r>
    </w:p>
    <w:p w14:paraId="58466929" w14:textId="2AEBC63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Kim, D. J. (2005). Cognition-Based Versus Affect-Based Trust Determinants in E-Commerce: Cross-Cultural Comparison Study. </w:t>
      </w:r>
      <w:r>
        <w:rPr>
          <w:i/>
          <w:iCs/>
          <w:color w:val="000000"/>
          <w:lang w:val="en-US" w:eastAsia="de-DE"/>
        </w:rPr>
        <w:t>ICIS 2005 Proceedings</w:t>
      </w:r>
      <w:r>
        <w:rPr>
          <w:color w:val="000000"/>
          <w:lang w:val="en-US" w:eastAsia="de-DE"/>
        </w:rPr>
        <w:t>, Article 59.</w:t>
      </w:r>
    </w:p>
    <w:p w14:paraId="203D2AEE" w14:textId="3220194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Kim, D. J. (2012). An investigation of the effect of online consumer trust on expectation, satisfaction, and post-expectation. </w:t>
      </w:r>
      <w:r>
        <w:rPr>
          <w:i/>
          <w:iCs/>
          <w:color w:val="000000"/>
          <w:lang w:val="en-US" w:eastAsia="de-DE"/>
        </w:rPr>
        <w:t>Information Systems and E-Business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10</w:t>
      </w:r>
      <w:r>
        <w:rPr>
          <w:color w:val="000000"/>
          <w:lang w:val="en-US" w:eastAsia="de-DE"/>
        </w:rPr>
        <w:t>(2), 219–240. https://doi.org/10.1007/s10257-010-0136-2</w:t>
      </w:r>
    </w:p>
    <w:p w14:paraId="65A4A88D" w14:textId="1477795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Kim, D. J. (2014). A Study of the Multilevel and Dynamic Nature of Trust in E-Commerce from a Cross-Stage Perspective. </w:t>
      </w:r>
      <w:r>
        <w:rPr>
          <w:i/>
          <w:iCs/>
          <w:color w:val="000000"/>
          <w:lang w:val="en-US" w:eastAsia="de-DE"/>
        </w:rPr>
        <w:t>International Journal of Electronic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(1), 11–64. https://doi.org/10.2753/JEC1086-4415190101</w:t>
      </w:r>
    </w:p>
    <w:p w14:paraId="78E31CFC" w14:textId="4676B45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Kim, D. J., Ferrin, D. L., &amp; Rao, H. R. (2008). A trust-based consumer decision-making model in electronic commerce: The role of trust, perceived risk, and their antecedents. </w:t>
      </w:r>
      <w:r>
        <w:rPr>
          <w:i/>
          <w:iCs/>
          <w:color w:val="000000"/>
          <w:lang w:val="en-US" w:eastAsia="de-DE"/>
        </w:rPr>
        <w:t>Decision Support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44</w:t>
      </w:r>
      <w:r>
        <w:rPr>
          <w:color w:val="000000"/>
          <w:lang w:val="en-US" w:eastAsia="de-DE"/>
        </w:rPr>
        <w:t>(2), 544–564. https://doi.org/10.1016/j.dss.2007.07.001</w:t>
      </w:r>
    </w:p>
    <w:p w14:paraId="3BDBE1BD" w14:textId="52F0DD6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Kim, G., &amp; Koo, H. (2016). The causal relationship between risk and trust in the online marketplace: A bidirectional perspective.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55</w:t>
      </w:r>
      <w:r>
        <w:rPr>
          <w:color w:val="000000"/>
          <w:lang w:val="en-US" w:eastAsia="de-DE"/>
        </w:rPr>
        <w:t>, 1020–1029. https://doi.org/10.1016/j.chb.2015.11.005</w:t>
      </w:r>
    </w:p>
    <w:p w14:paraId="7D6FE29A" w14:textId="7D6B491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en-US" w:eastAsia="de-DE"/>
        </w:rPr>
        <w:t xml:space="preserve">Kim, H.-W., Xu, Y., &amp; Koh, J. (2004). </w:t>
      </w:r>
      <w:r>
        <w:rPr>
          <w:color w:val="000000"/>
          <w:lang w:val="en-US" w:eastAsia="de-DE"/>
        </w:rPr>
        <w:t xml:space="preserve">A Comparison of Online Trust Building Factors betweeen Potential Customers and Repeat Customers. </w:t>
      </w:r>
      <w:r>
        <w:rPr>
          <w:i/>
          <w:iCs/>
          <w:color w:val="000000"/>
          <w:lang w:val="en-US" w:eastAsia="de-DE"/>
        </w:rPr>
        <w:t>Journal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</w:t>
      </w:r>
      <w:r>
        <w:rPr>
          <w:color w:val="000000"/>
          <w:lang w:val="en-US" w:eastAsia="de-DE"/>
        </w:rPr>
        <w:t>(10), 392–420. https://doi.org/10.17705/1jais.00056</w:t>
      </w:r>
    </w:p>
    <w:p w14:paraId="48553112" w14:textId="17DF841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Kim, H., Kim, T., &amp; Shin, S. W. (2009). Modeling Roles of Subjective Norms and eTrust in Customers' Acceptance of Airline B2C eCommerce Websites. Tourism Management, 30(2), 266–277. https://doi.org/10.1016/j.tourman.2008.07.001</w:t>
      </w:r>
    </w:p>
    <w:p w14:paraId="07485496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" w:name="RANGE!B147"/>
      <w:r>
        <w:rPr>
          <w:color w:val="000000"/>
          <w:lang w:val="en-US" w:eastAsia="de-DE"/>
        </w:rPr>
        <w:t xml:space="preserve">Kim, K. K., &amp; Prabhakar, B. (2004). Initial trust and the adoption of B2C e-commerce. </w:t>
      </w:r>
      <w:r>
        <w:rPr>
          <w:i/>
          <w:iCs/>
          <w:color w:val="000000"/>
          <w:lang w:val="en-US" w:eastAsia="de-DE"/>
        </w:rPr>
        <w:t>ACM SIGMIS Database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35</w:t>
      </w:r>
      <w:r>
        <w:rPr>
          <w:color w:val="000000"/>
          <w:lang w:val="en-US" w:eastAsia="de-DE"/>
        </w:rPr>
        <w:t>(2), 50–64. https://doi.org/10.1145/1007965.1007970</w:t>
      </w:r>
    </w:p>
    <w:p w14:paraId="7CE1B82F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" w:name="RANGE!B148"/>
      <w:bookmarkEnd w:id="2"/>
      <w:r>
        <w:rPr>
          <w:color w:val="000000"/>
          <w:lang w:val="en-US" w:eastAsia="de-DE"/>
        </w:rPr>
        <w:t xml:space="preserve">Kim, S., &amp; Jones, C. (2009). Online shopping and moderating role of offline brand trust. </w:t>
      </w:r>
      <w:r>
        <w:rPr>
          <w:i/>
          <w:iCs/>
          <w:color w:val="000000"/>
          <w:lang w:val="en-US" w:eastAsia="de-DE"/>
        </w:rPr>
        <w:t>Direct Marketing: An International Journal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</w:t>
      </w:r>
      <w:r>
        <w:rPr>
          <w:color w:val="000000"/>
          <w:lang w:val="en-US" w:eastAsia="de-DE"/>
        </w:rPr>
        <w:t>(4), 282–300. https://doi.org/10.1108/17505930911000874</w:t>
      </w:r>
    </w:p>
    <w:p w14:paraId="7A63DE07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4" w:name="RANGE!B149"/>
      <w:bookmarkEnd w:id="3"/>
      <w:r>
        <w:rPr>
          <w:color w:val="000000"/>
          <w:lang w:val="en-US" w:eastAsia="de-DE"/>
        </w:rPr>
        <w:t xml:space="preserve">Kim, Y., &amp; Peterson, R. A. (2017). A Meta-Analysis of Online Trust Relationships in E-Commerce. </w:t>
      </w:r>
      <w:r>
        <w:rPr>
          <w:i/>
          <w:iCs/>
          <w:color w:val="000000"/>
          <w:lang w:val="en-US" w:eastAsia="de-DE"/>
        </w:rPr>
        <w:t>Journal of Interactive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38</w:t>
      </w:r>
      <w:r>
        <w:rPr>
          <w:color w:val="000000"/>
          <w:lang w:val="en-US" w:eastAsia="de-DE"/>
        </w:rPr>
        <w:t>, 44–54. https://doi.org/10.1016/j.intmar.2017.01.001</w:t>
      </w:r>
    </w:p>
    <w:bookmarkEnd w:id="4"/>
    <w:p w14:paraId="6449B597" w14:textId="74DB620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Kim, Y. H., &amp; Kim, D. J. (2005). A Study of Online Transaction Self-Efficacy, Consumer Trust, and Uncertainty Reduction in Electronic Commerce Transaction. </w:t>
      </w:r>
      <w:r>
        <w:rPr>
          <w:i/>
          <w:iCs/>
          <w:color w:val="000000"/>
          <w:lang w:val="en-US" w:eastAsia="de-DE"/>
        </w:rPr>
        <w:t xml:space="preserve">Proceedings of the 38th Annual Hawaii International Conference on System Sciences. </w:t>
      </w:r>
      <w:r>
        <w:rPr>
          <w:color w:val="000000"/>
          <w:lang w:val="en-US" w:eastAsia="de-DE"/>
        </w:rPr>
        <w:t>Advance online publication. https://doi.org/10.1109/HICSS.2005.52</w:t>
      </w:r>
    </w:p>
    <w:p w14:paraId="7AC85637" w14:textId="1F4DD56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Klein, R. (2007). Internet-Based Patient-Physician Electronic Communication Applications: Patient Acceptance and Trust. </w:t>
      </w:r>
      <w:r>
        <w:rPr>
          <w:i/>
          <w:iCs/>
          <w:color w:val="000000"/>
          <w:lang w:val="en-US" w:eastAsia="de-DE"/>
        </w:rPr>
        <w:t>E-Service Journal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</w:t>
      </w:r>
      <w:r>
        <w:rPr>
          <w:color w:val="000000"/>
          <w:lang w:val="en-US" w:eastAsia="de-DE"/>
        </w:rPr>
        <w:t>(2), 27–52. https://doi.org/10.2979/esj.2007.5.2.27</w:t>
      </w:r>
    </w:p>
    <w:p w14:paraId="72A07F8D" w14:textId="07FFD4DD" w:rsidR="00756656" w:rsidRDefault="00000000">
      <w:pPr>
        <w:spacing w:afterLines="60" w:after="144" w:line="240" w:lineRule="auto"/>
        <w:ind w:left="709" w:hanging="709"/>
        <w:rPr>
          <w:color w:val="000000"/>
          <w:lang w:val="de-DE" w:eastAsia="de-DE"/>
        </w:rPr>
      </w:pPr>
      <w:r>
        <w:rPr>
          <w:color w:val="000000"/>
          <w:lang w:val="en-US" w:eastAsia="de-DE"/>
        </w:rPr>
        <w:t xml:space="preserve">Komiak, S. X., &amp; Benbasat, I. (2006). The Effects of Personalization and Familiarity on Trust and Adoption of Recommendation Agents. </w:t>
      </w:r>
      <w:r>
        <w:rPr>
          <w:i/>
          <w:iCs/>
          <w:color w:val="000000"/>
          <w:lang w:val="de-DE" w:eastAsia="de-DE"/>
        </w:rPr>
        <w:t>MIS Quarterly</w:t>
      </w:r>
      <w:r>
        <w:rPr>
          <w:color w:val="000000"/>
          <w:lang w:val="de-DE" w:eastAsia="de-DE"/>
        </w:rPr>
        <w:t xml:space="preserve">, </w:t>
      </w:r>
      <w:r>
        <w:rPr>
          <w:i/>
          <w:iCs/>
          <w:color w:val="000000"/>
          <w:lang w:val="de-DE" w:eastAsia="de-DE"/>
        </w:rPr>
        <w:t>30</w:t>
      </w:r>
      <w:r>
        <w:rPr>
          <w:color w:val="000000"/>
          <w:lang w:val="de-DE" w:eastAsia="de-DE"/>
        </w:rPr>
        <w:t xml:space="preserve">(4), 941–960. </w:t>
      </w:r>
      <w:hyperlink r:id="rId8" w:history="1">
        <w:r>
          <w:rPr>
            <w:rStyle w:val="Hyperlink"/>
            <w:lang w:val="de-DE" w:eastAsia="de-DE"/>
          </w:rPr>
          <w:t>https://doi.org/10.2307/25148760</w:t>
        </w:r>
      </w:hyperlink>
    </w:p>
    <w:p w14:paraId="124A42EE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Kuen, L., Schürmann, F., Westmattelmann, D., Hartwig, S., Tzafrir, S., &amp; Schewe, G. (2023). </w:t>
      </w:r>
      <w:r>
        <w:rPr>
          <w:color w:val="000000"/>
          <w:lang w:val="en-US" w:eastAsia="de-DE"/>
        </w:rPr>
        <w:t>Trust transfer effects and associated risks in telemedicine adoption. Electronic Markets, 33(1), Article 35. https://doi.org/10.1007/s12525-023-00657-0</w:t>
      </w:r>
    </w:p>
    <w:p w14:paraId="45F65DEE" w14:textId="7C95E7F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Kumar, A., Adlakaha, A., &amp; Mukherjee, K. (2018). </w:t>
      </w:r>
      <w:r>
        <w:rPr>
          <w:color w:val="000000"/>
          <w:lang w:val="en-US" w:eastAsia="de-DE"/>
        </w:rPr>
        <w:t xml:space="preserve">The effect of perceived security and grievance redressal on continuance intention to use M-wallets in a developing country. </w:t>
      </w:r>
      <w:r>
        <w:rPr>
          <w:i/>
          <w:iCs/>
          <w:color w:val="000000"/>
          <w:lang w:val="en-US" w:eastAsia="de-DE"/>
        </w:rPr>
        <w:t>International Journal of Bank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(7), 1170–1189. https://doi.org/10.1108/IJBM-04-2017-0077</w:t>
      </w:r>
    </w:p>
    <w:p w14:paraId="177E5984" w14:textId="1DF0EC1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en-US" w:eastAsia="de-DE"/>
        </w:rPr>
        <w:t xml:space="preserve">Kwahk, K.-Y., &amp; Kim, B. (2017). </w:t>
      </w:r>
      <w:r>
        <w:rPr>
          <w:color w:val="000000"/>
          <w:lang w:val="en-US" w:eastAsia="de-DE"/>
        </w:rPr>
        <w:t xml:space="preserve">Effects of social media on consumers’ purchase decisions: evidence from Taobao. </w:t>
      </w:r>
      <w:r>
        <w:rPr>
          <w:i/>
          <w:iCs/>
          <w:color w:val="000000"/>
          <w:lang w:val="en-US" w:eastAsia="de-DE"/>
        </w:rPr>
        <w:t>Service Business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(4), 803–829. https://doi.org/10.1007/s11628-016-0331-4</w:t>
      </w:r>
    </w:p>
    <w:p w14:paraId="653CDF90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5" w:name="RANGE!B155"/>
      <w:r>
        <w:rPr>
          <w:color w:val="000000"/>
          <w:lang w:val="en-US" w:eastAsia="de-DE"/>
        </w:rPr>
        <w:t xml:space="preserve">Lankton, N. K., McKnight, D. H., &amp; Tripp, J. (2015). Technology, humanness, and trust: Rethinking trust in technology. </w:t>
      </w:r>
      <w:r>
        <w:rPr>
          <w:i/>
          <w:iCs/>
          <w:color w:val="000000"/>
          <w:lang w:val="en-US" w:eastAsia="de-DE"/>
        </w:rPr>
        <w:t>Journal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16</w:t>
      </w:r>
      <w:r>
        <w:rPr>
          <w:color w:val="000000"/>
          <w:lang w:val="en-US" w:eastAsia="de-DE"/>
        </w:rPr>
        <w:t>(10), 880–918. https://doi.org/10.17705/1jais.00411</w:t>
      </w:r>
    </w:p>
    <w:bookmarkEnd w:id="5"/>
    <w:p w14:paraId="6B598382" w14:textId="3E9DDD7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Lee, C., &amp; Wan, G. (2010). Including Subjective Norm and Technology Trust in the Technology Acceptance Model. </w:t>
      </w:r>
      <w:r>
        <w:rPr>
          <w:i/>
          <w:iCs/>
          <w:color w:val="000000"/>
          <w:lang w:val="en-US" w:eastAsia="de-DE"/>
        </w:rPr>
        <w:t>ACM SIGMIS Database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41</w:t>
      </w:r>
      <w:r>
        <w:rPr>
          <w:color w:val="000000"/>
          <w:lang w:val="en-US" w:eastAsia="de-DE"/>
        </w:rPr>
        <w:t>(4), 40–51. https://doi.org/10.1145/1899639.1899642</w:t>
      </w:r>
    </w:p>
    <w:p w14:paraId="6416F727" w14:textId="4946C18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Lee, M.-C. (2009). Predicting and Explaining the Adoption of Online Trading: An Empirical Study in Taiwan. </w:t>
      </w:r>
      <w:r>
        <w:rPr>
          <w:i/>
          <w:iCs/>
          <w:color w:val="000000"/>
          <w:lang w:val="en-US" w:eastAsia="de-DE"/>
        </w:rPr>
        <w:t>Decision Support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47</w:t>
      </w:r>
      <w:r>
        <w:rPr>
          <w:color w:val="000000"/>
          <w:lang w:val="en-US" w:eastAsia="de-DE"/>
        </w:rPr>
        <w:t>(2), 133–142. https://doi.org/10.1016/j.dss.2009.02.003</w:t>
      </w:r>
    </w:p>
    <w:p w14:paraId="601486C8" w14:textId="3A7C207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Lee, T. (2005). The impact of perceptions of interactivity on customer trust and transaction intentions in mobile commerce. </w:t>
      </w:r>
      <w:r>
        <w:rPr>
          <w:i/>
          <w:iCs/>
          <w:color w:val="000000"/>
          <w:lang w:val="en-US" w:eastAsia="de-DE"/>
        </w:rPr>
        <w:t>Journal of Electronic Commerce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(3), 165–180.</w:t>
      </w:r>
    </w:p>
    <w:p w14:paraId="0E838AEA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6" w:name="RANGE!B159"/>
      <w:r>
        <w:rPr>
          <w:color w:val="000000"/>
          <w:lang w:val="en-US" w:eastAsia="de-DE"/>
        </w:rPr>
        <w:t xml:space="preserve">Lewicki, R. J., &amp; Bunker, B. B. (1996). Developing and Maintaining Trust in Work Relationships. In R. M. Kramer &amp; T. R. Tyler (Eds.), </w:t>
      </w:r>
      <w:r>
        <w:rPr>
          <w:i/>
          <w:iCs/>
          <w:color w:val="000000"/>
          <w:lang w:val="en-US" w:eastAsia="de-DE"/>
        </w:rPr>
        <w:t xml:space="preserve">Trust in organizations: Frontiers of theory and research </w:t>
      </w:r>
      <w:r>
        <w:rPr>
          <w:color w:val="000000"/>
          <w:lang w:val="en-US" w:eastAsia="de-DE"/>
        </w:rPr>
        <w:t>(114-139). https://doi.org/10.4135/9781452243610.n7</w:t>
      </w:r>
    </w:p>
    <w:p w14:paraId="6774E7D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7" w:name="RANGE!B160"/>
      <w:bookmarkEnd w:id="6"/>
      <w:r>
        <w:rPr>
          <w:color w:val="000000"/>
          <w:lang w:val="de-DE" w:eastAsia="de-DE"/>
        </w:rPr>
        <w:t xml:space="preserve">Lewicki, R. J., Tomlinson, E. C., &amp; Gillespie, N. (2006). </w:t>
      </w:r>
      <w:r>
        <w:rPr>
          <w:color w:val="000000"/>
          <w:lang w:val="en-US" w:eastAsia="de-DE"/>
        </w:rPr>
        <w:t xml:space="preserve">Models of interpersonal trust development: Theoretical approaches, empirical evidence, and future directions. </w:t>
      </w:r>
      <w:r>
        <w:rPr>
          <w:i/>
          <w:iCs/>
          <w:color w:val="000000"/>
          <w:lang w:val="en-US" w:eastAsia="de-DE"/>
        </w:rPr>
        <w:t>Journal of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32</w:t>
      </w:r>
      <w:r>
        <w:rPr>
          <w:color w:val="000000"/>
          <w:lang w:val="en-US" w:eastAsia="de-DE"/>
        </w:rPr>
        <w:t>(6), 991–1022. https://doi.org/10.1177/0149206306294405</w:t>
      </w:r>
    </w:p>
    <w:bookmarkEnd w:id="7"/>
    <w:p w14:paraId="0AEEB265" w14:textId="46F5E10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en-US" w:eastAsia="de-DE"/>
        </w:rPr>
        <w:t xml:space="preserve">Li, J., Liu, M., Liu, X., &amp; Ma, L. (2018). </w:t>
      </w:r>
      <w:r>
        <w:rPr>
          <w:color w:val="000000"/>
          <w:lang w:val="en-US" w:eastAsia="de-DE"/>
        </w:rPr>
        <w:t xml:space="preserve">Why and When do Patients Use e-Consultation Services? The Trust and Resource Supplementary Perspectives. </w:t>
      </w:r>
      <w:r>
        <w:rPr>
          <w:i/>
          <w:iCs/>
          <w:color w:val="000000"/>
          <w:lang w:val="en-US" w:eastAsia="de-DE"/>
        </w:rPr>
        <w:t>Telemedicine Journal and E-</w:t>
      </w:r>
      <w:proofErr w:type="gramStart"/>
      <w:r>
        <w:rPr>
          <w:i/>
          <w:iCs/>
          <w:color w:val="000000"/>
          <w:lang w:val="en-US" w:eastAsia="de-DE"/>
        </w:rPr>
        <w:t>Health :</w:t>
      </w:r>
      <w:proofErr w:type="gramEnd"/>
      <w:r>
        <w:rPr>
          <w:i/>
          <w:iCs/>
          <w:color w:val="000000"/>
          <w:lang w:val="en-US" w:eastAsia="de-DE"/>
        </w:rPr>
        <w:t xml:space="preserve"> The Official Journal of the American Telemedicine Association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24</w:t>
      </w:r>
      <w:r>
        <w:rPr>
          <w:color w:val="000000"/>
          <w:lang w:val="en-US" w:eastAsia="de-DE"/>
        </w:rPr>
        <w:t>(1), 77–85. https://doi.org/10.1089/tmj.2016.0268</w:t>
      </w:r>
    </w:p>
    <w:p w14:paraId="023E8245" w14:textId="61C5953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Li, Q. (2020). Healthcare at Your Fingertips: The Acceptance and Adoption of Mobile Medical Treatment Services among Chinese Users. </w:t>
      </w:r>
      <w:r>
        <w:rPr>
          <w:i/>
          <w:iCs/>
          <w:color w:val="000000"/>
          <w:lang w:val="en-US" w:eastAsia="de-DE"/>
        </w:rPr>
        <w:t>International Journal of Environmental Research and Public Health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17</w:t>
      </w:r>
      <w:r>
        <w:rPr>
          <w:color w:val="000000"/>
          <w:lang w:val="en-US" w:eastAsia="de-DE"/>
        </w:rPr>
        <w:t>(18), Article 6895. https://doi.org/10.3390/ijerph17186895</w:t>
      </w:r>
    </w:p>
    <w:p w14:paraId="33183FAC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8" w:name="RANGE!B163"/>
      <w:r>
        <w:rPr>
          <w:color w:val="000000"/>
          <w:lang w:val="en-US" w:eastAsia="de-DE"/>
        </w:rPr>
        <w:t xml:space="preserve">Li, X., Hess, T. J., &amp; Valacich, J. S. (2008). Why Do We Trust New Technology? A Study of Initial Trust Formation with Organizational Information Systems. </w:t>
      </w:r>
      <w:r>
        <w:rPr>
          <w:i/>
          <w:iCs/>
          <w:color w:val="000000"/>
          <w:lang w:val="en-US" w:eastAsia="de-DE"/>
        </w:rPr>
        <w:t>The Journal of Strategic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17</w:t>
      </w:r>
      <w:r>
        <w:rPr>
          <w:color w:val="000000"/>
          <w:lang w:val="en-US" w:eastAsia="de-DE"/>
        </w:rPr>
        <w:t>(1), 39–71. https://doi.org/10.1016/j.jsis.2008.01.001</w:t>
      </w:r>
    </w:p>
    <w:p w14:paraId="444F8294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9" w:name="RANGE!B164"/>
      <w:bookmarkEnd w:id="8"/>
      <w:r>
        <w:rPr>
          <w:color w:val="000000"/>
          <w:lang w:val="en-US" w:eastAsia="de-DE"/>
        </w:rPr>
        <w:t>Li, X., Rong, G., &amp; Thatcher, J. B. (2012). Does Technology Trust Substitute Interpersonal Trust? Examining Technology Trust's Influence on Individual Decision-Making. Journal of Organizational and End User Computing, 24(2), 18–38. https://doi.org/10.4018/joeuc.2012040102</w:t>
      </w:r>
    </w:p>
    <w:bookmarkEnd w:id="9"/>
    <w:p w14:paraId="3951311F" w14:textId="73F94A9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Liang, H., Xue, Y., Laosethakul, K., &amp; Lloyd, S. J. (2005). Information Systems and Health Care-I: Trust, Uncertainty, and Online Prescription Filling. </w:t>
      </w:r>
      <w:r>
        <w:rPr>
          <w:i/>
          <w:iCs/>
          <w:color w:val="000000"/>
          <w:lang w:val="en-US" w:eastAsia="de-DE"/>
        </w:rPr>
        <w:t>Communications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15</w:t>
      </w:r>
      <w:r>
        <w:rPr>
          <w:color w:val="000000"/>
          <w:lang w:val="en-US" w:eastAsia="de-DE"/>
        </w:rPr>
        <w:t>, 41–60. https://doi.org/10.17705/1CAIS.01502</w:t>
      </w:r>
    </w:p>
    <w:p w14:paraId="7AD6456E" w14:textId="3DB09D1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Liao, C., Liu, C.-C., &amp; Chen, K. (2011). Examining the Impact of Privacy, </w:t>
      </w:r>
      <w:proofErr w:type="gramStart"/>
      <w:r>
        <w:rPr>
          <w:color w:val="000000"/>
          <w:lang w:val="en-US" w:eastAsia="de-DE"/>
        </w:rPr>
        <w:t>Trust</w:t>
      </w:r>
      <w:proofErr w:type="gramEnd"/>
      <w:r>
        <w:rPr>
          <w:color w:val="000000"/>
          <w:lang w:val="en-US" w:eastAsia="de-DE"/>
        </w:rPr>
        <w:t xml:space="preserve"> and Risk Perceptions beyond Monetary Transactions: An Integrated Model. </w:t>
      </w:r>
      <w:r>
        <w:rPr>
          <w:i/>
          <w:iCs/>
          <w:color w:val="000000"/>
          <w:lang w:val="en-US" w:eastAsia="de-DE"/>
        </w:rPr>
        <w:t>Electronic Commerce Research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10</w:t>
      </w:r>
      <w:r>
        <w:rPr>
          <w:color w:val="000000"/>
          <w:lang w:val="en-US" w:eastAsia="de-DE"/>
        </w:rPr>
        <w:t>(6), 702–715. https://doi.org/10.1016/j.elerap.2011.07.003</w:t>
      </w:r>
    </w:p>
    <w:p w14:paraId="09327EA1" w14:textId="3B87416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Liébana-Cabanillas, F., Singh, N., Kalinic, Z., &amp; Carvajal-Trujillo, E. (2021). Examining the determinants of continuance intention to use and the moderating effect of the gender and age of users of NFC mobile payments: a multi-analytical approach. </w:t>
      </w:r>
      <w:r>
        <w:rPr>
          <w:i/>
          <w:iCs/>
          <w:color w:val="000000"/>
          <w:lang w:val="en-US" w:eastAsia="de-DE"/>
        </w:rPr>
        <w:t>Information Technology and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(2), 133–161. https://doi.org/10.1007/s10799-021-00328-6</w:t>
      </w:r>
    </w:p>
    <w:p w14:paraId="7130AF17" w14:textId="4EE552F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Lim, A. C. G. (2019). </w:t>
      </w:r>
      <w:r>
        <w:rPr>
          <w:i/>
          <w:iCs/>
          <w:color w:val="000000"/>
          <w:lang w:val="en-US" w:eastAsia="de-DE"/>
        </w:rPr>
        <w:t>Generation Y’s Behavioural Usage of Small Businesses’ Retail Websites in Canada: Generation Y’s Behavioural Usage of Small Businesses’ Retail Websites in Canada</w:t>
      </w:r>
      <w:r>
        <w:rPr>
          <w:color w:val="000000"/>
          <w:lang w:val="en-US" w:eastAsia="de-DE"/>
        </w:rPr>
        <w:t xml:space="preserve"> [Dissertation]. Curtin University, Perth, Australia. </w:t>
      </w:r>
    </w:p>
    <w:p w14:paraId="73BA05EE" w14:textId="4EAD27F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Lim, K. H., Sia, C. L., Lee, M. K. O., &amp; Benbasat, I. (2006). Do I Trust You Online, and If So, Will I Buy? An Empirical Study of Two Trust-Building Strategies. </w:t>
      </w:r>
      <w:r>
        <w:rPr>
          <w:i/>
          <w:iCs/>
          <w:color w:val="000000"/>
          <w:lang w:val="en-US" w:eastAsia="de-DE"/>
        </w:rPr>
        <w:t>Journal of Management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(2), 233–266. https://doi.org/10.2753/MIS0742-1222230210</w:t>
      </w:r>
    </w:p>
    <w:p w14:paraId="42826FF9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0" w:name="RANGE!B170"/>
      <w:r>
        <w:rPr>
          <w:color w:val="000000"/>
          <w:lang w:val="de-DE" w:eastAsia="de-DE"/>
        </w:rPr>
        <w:t xml:space="preserve">Lim, K.-S., Lim, J.-S., &amp; Heinrichs, J. H. (2008). </w:t>
      </w:r>
      <w:r>
        <w:rPr>
          <w:color w:val="000000"/>
          <w:lang w:val="en-US" w:eastAsia="de-DE"/>
        </w:rPr>
        <w:t xml:space="preserve">Testing an Integrated Model of E-Shopping Web Site Usage. </w:t>
      </w:r>
      <w:r>
        <w:rPr>
          <w:i/>
          <w:iCs/>
          <w:color w:val="000000"/>
          <w:lang w:val="en-US" w:eastAsia="de-DE"/>
        </w:rPr>
        <w:t>Journal of Internet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(3), 291–312. https://doi.org/10.1080/15332860802250336</w:t>
      </w:r>
    </w:p>
    <w:bookmarkEnd w:id="10"/>
    <w:p w14:paraId="210E8EAE" w14:textId="63E4400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Limbu, Y. B., Wolf, M., &amp; Lunsford, D. (2012). Perceived ethics of online retailers and consumer behavioral intentions. </w:t>
      </w:r>
      <w:r>
        <w:rPr>
          <w:i/>
          <w:iCs/>
          <w:color w:val="000000"/>
          <w:lang w:val="en-US" w:eastAsia="de-DE"/>
        </w:rPr>
        <w:t>Journal of Research in Interactive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(2), 133–154. https://doi.org/10.1108/17505931211265435</w:t>
      </w:r>
    </w:p>
    <w:p w14:paraId="46848047" w14:textId="4679E11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Lin, J., Lu, Y., Wang, B., &amp; Wei, K. K. (2011). The Role of Inter-Channel Trust Transfer in Establishing Mobile Commerce Trust. </w:t>
      </w:r>
      <w:r>
        <w:rPr>
          <w:i/>
          <w:iCs/>
          <w:color w:val="000000"/>
          <w:lang w:val="en-US" w:eastAsia="de-DE"/>
        </w:rPr>
        <w:t>Electronic Commerce Research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10</w:t>
      </w:r>
      <w:r>
        <w:rPr>
          <w:color w:val="000000"/>
          <w:lang w:val="en-US" w:eastAsia="de-DE"/>
        </w:rPr>
        <w:t>(6), 615–625. https://doi.org/10.1016/j.elerap.2011.07.008</w:t>
      </w:r>
    </w:p>
    <w:p w14:paraId="643A002D" w14:textId="4CBD8CF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Lin, M.-J., &amp; Wang, W.-T. (2015). </w:t>
      </w:r>
      <w:r>
        <w:rPr>
          <w:color w:val="000000"/>
          <w:lang w:val="en-US" w:eastAsia="de-DE"/>
        </w:rPr>
        <w:t xml:space="preserve">Explaining Online Customer Repurchase Intentions from a Relationship-Marketing Perspective. </w:t>
      </w:r>
      <w:r>
        <w:rPr>
          <w:i/>
          <w:iCs/>
          <w:color w:val="000000"/>
          <w:lang w:val="en-US" w:eastAsia="de-DE"/>
        </w:rPr>
        <w:t>Journal of Organizational and End User Computing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27</w:t>
      </w:r>
      <w:r>
        <w:rPr>
          <w:color w:val="000000"/>
          <w:lang w:val="en-US" w:eastAsia="de-DE"/>
        </w:rPr>
        <w:t>(3), 1–26. https://doi.org/10.4018/joeuc.2015070101</w:t>
      </w:r>
    </w:p>
    <w:p w14:paraId="2025BD21" w14:textId="1ED6D15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Lu, Y., Yang, S., Chau, P. Y., &amp; Cao, Y. (2011). Dynamics between the trust transfer process and intention to use mobile payment services: A cross-environment perspective. </w:t>
      </w:r>
      <w:r>
        <w:rPr>
          <w:i/>
          <w:iCs/>
          <w:color w:val="000000"/>
          <w:lang w:val="en-US" w:eastAsia="de-DE"/>
        </w:rPr>
        <w:t>Information &amp;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48</w:t>
      </w:r>
      <w:r>
        <w:rPr>
          <w:color w:val="000000"/>
          <w:lang w:val="en-US" w:eastAsia="de-DE"/>
        </w:rPr>
        <w:t>(8), 393–403. https://doi.org/10.1016/j.im.2011.09.006</w:t>
      </w:r>
    </w:p>
    <w:p w14:paraId="62D55B5A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1" w:name="RANGE!B175"/>
      <w:r>
        <w:rPr>
          <w:color w:val="000000"/>
          <w:lang w:val="en-US" w:eastAsia="de-DE"/>
        </w:rPr>
        <w:t xml:space="preserve">Luhmann, N. (1979). </w:t>
      </w:r>
      <w:r>
        <w:rPr>
          <w:i/>
          <w:iCs/>
          <w:color w:val="000000"/>
          <w:lang w:val="en-US" w:eastAsia="de-DE"/>
        </w:rPr>
        <w:t>Trust and Power</w:t>
      </w:r>
      <w:r>
        <w:rPr>
          <w:color w:val="000000"/>
          <w:lang w:val="en-US" w:eastAsia="de-DE"/>
        </w:rPr>
        <w:t xml:space="preserve">. John Wiley &amp; Sons. </w:t>
      </w:r>
    </w:p>
    <w:bookmarkEnd w:id="11"/>
    <w:p w14:paraId="2E1E66A9" w14:textId="322A44C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Lui, H. K., &amp; Jamieson, R. (2003). Integrating trust and risk perceptions in business to consumer electronic commerce with technology acceptance model. </w:t>
      </w:r>
      <w:r>
        <w:rPr>
          <w:i/>
          <w:iCs/>
          <w:color w:val="000000"/>
          <w:lang w:val="en-US" w:eastAsia="de-DE"/>
        </w:rPr>
        <w:t>ECIS 2003</w:t>
      </w:r>
      <w:r>
        <w:rPr>
          <w:color w:val="000000"/>
          <w:lang w:val="en-US" w:eastAsia="de-DE"/>
        </w:rPr>
        <w:t>, Article 60.</w:t>
      </w:r>
    </w:p>
    <w:p w14:paraId="5F552880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2" w:name="RANGE!B177"/>
      <w:r>
        <w:rPr>
          <w:color w:val="000000"/>
          <w:lang w:val="en-US" w:eastAsia="de-DE"/>
        </w:rPr>
        <w:t xml:space="preserve">Luo, X. (2002). Trust Production and Privacy Concerns on the Internet: A Framework based on Relationship Marketing and Social Exchange Theory. </w:t>
      </w:r>
      <w:r>
        <w:rPr>
          <w:i/>
          <w:iCs/>
          <w:color w:val="000000"/>
          <w:lang w:val="en-US" w:eastAsia="de-DE"/>
        </w:rPr>
        <w:t>Industrial Marketing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(2), 111–118. https://doi.org/10.1016/S0019-8501(01)00182-1</w:t>
      </w:r>
    </w:p>
    <w:bookmarkEnd w:id="12"/>
    <w:p w14:paraId="60FF9ECC" w14:textId="1A9E8E3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Lwoga, E. T., &amp; Lwoga, N. B. (2017). User Acceptance of Mobile Payment: The Effects of User-Centric Security, System Characteristics and Gender. </w:t>
      </w:r>
      <w:r>
        <w:rPr>
          <w:i/>
          <w:iCs/>
          <w:color w:val="000000"/>
          <w:lang w:val="en-US" w:eastAsia="de-DE"/>
        </w:rPr>
        <w:t>The Electronic Journal of Information Systems in Developing Countries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81</w:t>
      </w:r>
      <w:r>
        <w:rPr>
          <w:color w:val="000000"/>
          <w:lang w:val="en-US" w:eastAsia="de-DE"/>
        </w:rPr>
        <w:t>(3), 1–24. https://doi.org/10.1002/j.1681-4835.2017.tb00595.x</w:t>
      </w:r>
    </w:p>
    <w:p w14:paraId="497BF251" w14:textId="4FC3C09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Malaquias, R. F., Malaquias, F. F. d. O., Ha, Y. M., &amp; Hwang, Y. (2021). </w:t>
      </w:r>
      <w:r>
        <w:rPr>
          <w:color w:val="000000"/>
          <w:lang w:val="en-US" w:eastAsia="de-DE"/>
        </w:rPr>
        <w:t xml:space="preserve">A Cross-Country Study on Intention to Use Mobile Banking. </w:t>
      </w:r>
      <w:r>
        <w:rPr>
          <w:i/>
          <w:iCs/>
          <w:color w:val="000000"/>
          <w:lang w:val="en-US" w:eastAsia="de-DE"/>
        </w:rPr>
        <w:t>Journal of Global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(2), 102–117. https://doi.org/10.4018/JGIM.2021030106</w:t>
      </w:r>
    </w:p>
    <w:p w14:paraId="330BF115" w14:textId="23BFE8B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Malhotra, N., Sahadev, S., Leeflang, P. S. H., &amp; Purani, K. (2021). New Insights into e-Loyalty of Internet Banking Users in an Emerging Market Context: A Multilevel Analysis. </w:t>
      </w:r>
      <w:r>
        <w:rPr>
          <w:i/>
          <w:iCs/>
          <w:color w:val="000000"/>
          <w:lang w:val="en-US" w:eastAsia="de-DE"/>
        </w:rPr>
        <w:t>Information Systems Frontiers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(6), 1521–1536. https://doi.org/10.1007/s10796-020-10046-z</w:t>
      </w:r>
    </w:p>
    <w:p w14:paraId="6C2C7C6E" w14:textId="144FDDD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Malhotra, N., Sahadev, S., &amp; Purani, K. (2017). Psychological contract violation and customer intention to reuse online retailers: Exploring mediating and moderating mechanisms. </w:t>
      </w:r>
      <w:r>
        <w:rPr>
          <w:i/>
          <w:iCs/>
          <w:color w:val="000000"/>
          <w:lang w:val="en-US" w:eastAsia="de-DE"/>
        </w:rPr>
        <w:t>Journal of Business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75</w:t>
      </w:r>
      <w:r>
        <w:rPr>
          <w:color w:val="000000"/>
          <w:lang w:val="en-US" w:eastAsia="de-DE"/>
        </w:rPr>
        <w:t>, 17–28. https://doi.org/10.1016/j.jbusres.2017.01.013</w:t>
      </w:r>
    </w:p>
    <w:p w14:paraId="01AE84F2" w14:textId="56FD883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Mannan, M., Ahamed, R., &amp; Zaman, S. B. (2019). Consumers' willingness to purchase online mental health services. Journal of Services Marketing, 33(5), 557–571. https://doi.org/10.1108/JSM-05-2018-0163</w:t>
      </w:r>
    </w:p>
    <w:p w14:paraId="1F2EEA7E" w14:textId="5760B34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Martínez-López, F. J., Esteban-Millat, I., Cabal, C. C., &amp; Gengler, C. (2015). Psychological Factors Explaining Consumer Adoption of an E-Vendor’s Recommender. </w:t>
      </w:r>
      <w:r>
        <w:rPr>
          <w:i/>
          <w:iCs/>
          <w:color w:val="000000"/>
          <w:lang w:val="en-US" w:eastAsia="de-DE"/>
        </w:rPr>
        <w:t>Industrial Management &amp; Data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115</w:t>
      </w:r>
      <w:r>
        <w:rPr>
          <w:color w:val="000000"/>
          <w:lang w:val="en-US" w:eastAsia="de-DE"/>
        </w:rPr>
        <w:t>(2), 284–310. https://doi.org/10.1108/IMDS-10-2014-0306</w:t>
      </w:r>
    </w:p>
    <w:p w14:paraId="65E6AE8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3" w:name="RANGE!B184"/>
      <w:r>
        <w:rPr>
          <w:color w:val="000000"/>
          <w:lang w:val="en-US" w:eastAsia="de-DE"/>
        </w:rPr>
        <w:t xml:space="preserve">Maruping, L. M., Bala, H., Venkatesh, V., &amp; Brown, S. A. (2017). Going beyond intention: Integrating behavioral expectation into the unified theory of acceptance and use of technology. </w:t>
      </w:r>
      <w:r>
        <w:rPr>
          <w:i/>
          <w:iCs/>
          <w:color w:val="000000"/>
          <w:lang w:val="en-US" w:eastAsia="de-DE"/>
        </w:rPr>
        <w:t>Journal of the Association for Information Science and Technology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68</w:t>
      </w:r>
      <w:r>
        <w:rPr>
          <w:color w:val="000000"/>
          <w:lang w:val="en-US" w:eastAsia="de-DE"/>
        </w:rPr>
        <w:t>(3), 623–637. https://doi.org/10.1002/asi.23699</w:t>
      </w:r>
    </w:p>
    <w:bookmarkEnd w:id="13"/>
    <w:p w14:paraId="5DC352B4" w14:textId="33C97A5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Masri, N. W., You, J.-J., Ruangkanjanases, A., &amp; Chen, S.-C. (2021). The Effects of Customer Learning and Shopping Value on Intention Purchase and Reuse in a Digital Market: The Institutional Trust–Commitment Perspective. </w:t>
      </w:r>
      <w:r>
        <w:rPr>
          <w:i/>
          <w:iCs/>
          <w:color w:val="000000"/>
          <w:lang w:val="en-US" w:eastAsia="de-DE"/>
        </w:rPr>
        <w:t>Sustainability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(8), 4318. https://doi.org/10.3390/su13084318</w:t>
      </w:r>
    </w:p>
    <w:p w14:paraId="2948AA6B" w14:textId="5367182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Matute, J., Polo-Redondo, Y., &amp; Utrillas, A. (2016). The influence of EWOM characteristics on online </w:t>
      </w:r>
      <w:proofErr w:type="gramStart"/>
      <w:r>
        <w:rPr>
          <w:color w:val="000000"/>
          <w:lang w:val="en-US" w:eastAsia="de-DE"/>
        </w:rPr>
        <w:t>repurchase</w:t>
      </w:r>
      <w:proofErr w:type="gramEnd"/>
      <w:r>
        <w:rPr>
          <w:color w:val="000000"/>
          <w:lang w:val="en-US" w:eastAsia="de-DE"/>
        </w:rPr>
        <w:t xml:space="preserve"> intention. </w:t>
      </w:r>
      <w:r>
        <w:rPr>
          <w:i/>
          <w:iCs/>
          <w:color w:val="000000"/>
          <w:lang w:val="en-US" w:eastAsia="de-DE"/>
        </w:rPr>
        <w:t>Online Information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40</w:t>
      </w:r>
      <w:r>
        <w:rPr>
          <w:color w:val="000000"/>
          <w:lang w:val="en-US" w:eastAsia="de-DE"/>
        </w:rPr>
        <w:t>(7), 1090–1110. https://doi.org/10.1108/OIR-11-2015-0373</w:t>
      </w:r>
    </w:p>
    <w:p w14:paraId="63BE9B58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4" w:name="RANGE!B187"/>
      <w:r>
        <w:rPr>
          <w:color w:val="000000"/>
          <w:lang w:val="en-US" w:eastAsia="de-DE"/>
        </w:rPr>
        <w:t xml:space="preserve">Mayer, R. C., Davis, J. H., &amp; Schoorman, F. D. (1995). An Integrative Model of Organizational Trust. </w:t>
      </w:r>
      <w:r>
        <w:rPr>
          <w:i/>
          <w:iCs/>
          <w:color w:val="000000"/>
          <w:lang w:val="en-US" w:eastAsia="de-DE"/>
        </w:rPr>
        <w:t>The Academy of Management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</w:t>
      </w:r>
      <w:r>
        <w:rPr>
          <w:color w:val="000000"/>
          <w:lang w:val="en-US" w:eastAsia="de-DE"/>
        </w:rPr>
        <w:t>(3), 709–734. https://doi.org/10.2307/258792</w:t>
      </w:r>
    </w:p>
    <w:p w14:paraId="225A5BF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5" w:name="RANGE!B188"/>
      <w:bookmarkEnd w:id="14"/>
      <w:r>
        <w:rPr>
          <w:color w:val="000000"/>
          <w:lang w:val="en-US" w:eastAsia="de-DE"/>
        </w:rPr>
        <w:t xml:space="preserve">McKnight, D. H., Carter, M., Thatcher, J. B., &amp; Clay, P. F. (2011). Trust in a Specific Technology. </w:t>
      </w:r>
      <w:r>
        <w:rPr>
          <w:i/>
          <w:iCs/>
          <w:color w:val="000000"/>
          <w:lang w:val="en-US" w:eastAsia="de-DE"/>
        </w:rPr>
        <w:t>ACM Transactions on Management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</w:t>
      </w:r>
      <w:r>
        <w:rPr>
          <w:color w:val="000000"/>
          <w:lang w:val="en-US" w:eastAsia="de-DE"/>
        </w:rPr>
        <w:t>(2), 1–25. https://doi.org/10.1145/1985347.1985353</w:t>
      </w:r>
    </w:p>
    <w:p w14:paraId="7F868970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6" w:name="RANGE!B189"/>
      <w:bookmarkEnd w:id="15"/>
      <w:r>
        <w:rPr>
          <w:color w:val="000000"/>
          <w:lang w:val="en-US" w:eastAsia="de-DE"/>
        </w:rPr>
        <w:t xml:space="preserve">McKnight, D. H., Choudhury, V., &amp; Kacmar, C. J. (2002a). Developing and Validating Trust Measures for E-Commerce: An Integrative Typology. </w:t>
      </w:r>
      <w:r>
        <w:rPr>
          <w:i/>
          <w:iCs/>
          <w:color w:val="000000"/>
          <w:lang w:val="en-US" w:eastAsia="de-DE"/>
        </w:rPr>
        <w:t>Information Systems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(3), 334–359. https://doi.org/10.1287/isre.13.3.334.81</w:t>
      </w:r>
    </w:p>
    <w:p w14:paraId="675379CF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7" w:name="RANGE!B190"/>
      <w:bookmarkEnd w:id="16"/>
      <w:r>
        <w:rPr>
          <w:color w:val="000000"/>
          <w:lang w:val="en-US" w:eastAsia="de-DE"/>
        </w:rPr>
        <w:t xml:space="preserve">McKnight, D. H., Choudhury, V., &amp; Kacmar, C. J. (2002b). The impact of initial consumer trust on intentions to transact with a web site: a trust building model. </w:t>
      </w:r>
      <w:r>
        <w:rPr>
          <w:i/>
          <w:iCs/>
          <w:color w:val="000000"/>
          <w:lang w:val="en-US" w:eastAsia="de-DE"/>
        </w:rPr>
        <w:t>The Journal of Strategic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(3-4), 297–323. https://doi.org/10.1016/S0963-8687(02)00020-3</w:t>
      </w:r>
    </w:p>
    <w:p w14:paraId="0874D83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8" w:name="RANGE!B191"/>
      <w:bookmarkEnd w:id="17"/>
      <w:r>
        <w:rPr>
          <w:color w:val="000000"/>
          <w:lang w:val="en-US" w:eastAsia="de-DE"/>
        </w:rPr>
        <w:t xml:space="preserve">McKnight, D. H., Cummings, L. L., &amp; Chervany, N. L. (1998). Initial Trust Formation in New Organizational Relationships. </w:t>
      </w:r>
      <w:r>
        <w:rPr>
          <w:i/>
          <w:iCs/>
          <w:color w:val="000000"/>
          <w:lang w:val="en-US" w:eastAsia="de-DE"/>
        </w:rPr>
        <w:t>The Academy of Management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(3), 473–490. https://doi.org/10.2307/259290</w:t>
      </w:r>
    </w:p>
    <w:p w14:paraId="05984E11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19" w:name="RANGE!B192"/>
      <w:bookmarkEnd w:id="18"/>
      <w:r>
        <w:rPr>
          <w:color w:val="000000"/>
          <w:lang w:val="en-US" w:eastAsia="de-DE"/>
        </w:rPr>
        <w:lastRenderedPageBreak/>
        <w:t xml:space="preserve">McShane, B. B., &amp; Böckenholt, U. (2017). Single Paper Meta-analysis: Benefits for Study Summary, Theory-testing, and Replicability. </w:t>
      </w:r>
      <w:r>
        <w:rPr>
          <w:i/>
          <w:iCs/>
          <w:color w:val="000000"/>
          <w:lang w:val="en-US" w:eastAsia="de-DE"/>
        </w:rPr>
        <w:t>Journal of Consumer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43</w:t>
      </w:r>
      <w:r>
        <w:rPr>
          <w:color w:val="000000"/>
          <w:lang w:val="en-US" w:eastAsia="de-DE"/>
        </w:rPr>
        <w:t>(8), 1048-1063. https://doi.org/10.1093/jcr/ucw085</w:t>
      </w:r>
    </w:p>
    <w:bookmarkEnd w:id="19"/>
    <w:p w14:paraId="3EF7949A" w14:textId="35163AA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Meng, F., Guo, X., Peng, Z., Zhang, X., &amp; Vogel, D. (2019). The routine use of mobile health services in the presence of health consciousness. </w:t>
      </w:r>
      <w:r>
        <w:rPr>
          <w:i/>
          <w:iCs/>
          <w:color w:val="000000"/>
          <w:lang w:val="en-US" w:eastAsia="de-DE"/>
        </w:rPr>
        <w:t>Electronic Commerce Research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35</w:t>
      </w:r>
      <w:r>
        <w:rPr>
          <w:color w:val="000000"/>
          <w:lang w:val="en-US" w:eastAsia="de-DE"/>
        </w:rPr>
        <w:t>, Article 100847. https://doi.org/10.1016/j.elerap.2019.100847</w:t>
      </w:r>
    </w:p>
    <w:p w14:paraId="3B0CBB27" w14:textId="30D4F22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Meng, F., Guo, X., Zhang, X., Peng, Z., &amp; Lai, K.-H. (2020). Examining the Role of Technology Anxiety and Health Anxiety on Elderly Users' Continuance Intention for Mobile Health Services Use. Proceedings of the 53rd Hawaii International Conference on Systems.</w:t>
      </w:r>
    </w:p>
    <w:p w14:paraId="72748D86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0" w:name="RANGE!B195"/>
      <w:r>
        <w:rPr>
          <w:color w:val="000000"/>
          <w:lang w:val="en-US" w:eastAsia="de-DE"/>
        </w:rPr>
        <w:t xml:space="preserve">Meyerson, D., Weick, K. E., &amp; Kramer, R. M. (1996). Swift trust and temporary groups. In R. M. Kramer &amp; T. R. Tyler (Eds.), </w:t>
      </w:r>
      <w:r>
        <w:rPr>
          <w:i/>
          <w:iCs/>
          <w:color w:val="000000"/>
          <w:lang w:val="en-US" w:eastAsia="de-DE"/>
        </w:rPr>
        <w:t xml:space="preserve">Trust in organizations: Frontiers of theory and research </w:t>
      </w:r>
      <w:r>
        <w:rPr>
          <w:color w:val="000000"/>
          <w:lang w:val="en-US" w:eastAsia="de-DE"/>
        </w:rPr>
        <w:t>(pp. 166–195).</w:t>
      </w:r>
    </w:p>
    <w:p w14:paraId="7C663D0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1" w:name="RANGE!B196"/>
      <w:bookmarkEnd w:id="20"/>
      <w:r>
        <w:rPr>
          <w:color w:val="000000"/>
          <w:lang w:val="en-US" w:eastAsia="de-DE"/>
        </w:rPr>
        <w:t xml:space="preserve">Montazemi, A. R., &amp; Qahri-Saremi, H. (2015). Factors affecting adoption of online banking: A meta-analytic structural equation modeling study. </w:t>
      </w:r>
      <w:r>
        <w:rPr>
          <w:i/>
          <w:iCs/>
          <w:color w:val="000000"/>
          <w:lang w:val="en-US" w:eastAsia="de-DE"/>
        </w:rPr>
        <w:t>Information &amp;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52</w:t>
      </w:r>
      <w:r>
        <w:rPr>
          <w:color w:val="000000"/>
          <w:lang w:val="en-US" w:eastAsia="de-DE"/>
        </w:rPr>
        <w:t>(2), 210–226. https://doi.org/10.1016/j.im.2014.11.002</w:t>
      </w:r>
    </w:p>
    <w:bookmarkEnd w:id="21"/>
    <w:p w14:paraId="793FE605" w14:textId="7459D78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Moon, Y., &amp; Armstrong, D. J. (2020). Service quality factors affecting customer attitudes in online-to-offline commerce. </w:t>
      </w:r>
      <w:r>
        <w:rPr>
          <w:i/>
          <w:iCs/>
          <w:color w:val="000000"/>
          <w:lang w:val="en-US" w:eastAsia="de-DE"/>
        </w:rPr>
        <w:t>Information Systems and E-Business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(1), 1–34. https://doi.org/10.1007/s10257-019-00459-y</w:t>
      </w:r>
    </w:p>
    <w:p w14:paraId="23683BB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2" w:name="RANGE!B198"/>
      <w:r>
        <w:rPr>
          <w:color w:val="000000"/>
          <w:lang w:val="en-US" w:eastAsia="de-DE"/>
        </w:rPr>
        <w:t xml:space="preserve">Mou, J., &amp; Cohen, J. F. (2014). Trust, Risk and Perceived Usefulness in Consumer Acceptance of Online Health Services. </w:t>
      </w:r>
      <w:r>
        <w:rPr>
          <w:i/>
          <w:iCs/>
          <w:color w:val="000000"/>
          <w:lang w:val="en-US" w:eastAsia="de-DE"/>
        </w:rPr>
        <w:t>Proceedings of the 25th Australasian Conference on Information Systems</w:t>
      </w:r>
      <w:r>
        <w:rPr>
          <w:color w:val="000000"/>
          <w:lang w:val="en-US" w:eastAsia="de-DE"/>
        </w:rPr>
        <w:t>.</w:t>
      </w:r>
    </w:p>
    <w:p w14:paraId="70C8871E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3" w:name="RANGE!B199"/>
      <w:bookmarkEnd w:id="22"/>
      <w:r>
        <w:rPr>
          <w:color w:val="000000"/>
          <w:lang w:val="en-US" w:eastAsia="de-DE"/>
        </w:rPr>
        <w:t xml:space="preserve">Mou, J., &amp; Cohen, J. F. (2015). Antecedents of Trust in Electronic-Service Providers: Results from a Meta-Analysis. </w:t>
      </w:r>
      <w:r>
        <w:rPr>
          <w:i/>
          <w:iCs/>
          <w:color w:val="000000"/>
          <w:lang w:val="en-US" w:eastAsia="de-DE"/>
        </w:rPr>
        <w:t>Pacific Asia Journal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(1), 1–30. https://doi.org/10.17705/1pais.07101</w:t>
      </w:r>
    </w:p>
    <w:bookmarkEnd w:id="23"/>
    <w:p w14:paraId="57F47259" w14:textId="35AEDD7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Mou, J., Cui, Y., &amp; Kurcz, K. (2020). Trust, Risk and Alternative Website Quality in B-Buyer Acceptance of Cross-Border E-Commerce. </w:t>
      </w:r>
      <w:r>
        <w:rPr>
          <w:i/>
          <w:iCs/>
          <w:color w:val="000000"/>
          <w:lang w:val="en-US" w:eastAsia="de-DE"/>
        </w:rPr>
        <w:t>Journal of Global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28</w:t>
      </w:r>
      <w:r>
        <w:rPr>
          <w:color w:val="000000"/>
          <w:lang w:val="en-US" w:eastAsia="de-DE"/>
        </w:rPr>
        <w:t>(1), 167–188. https://doi.org/10.4018/JGIM.2020010109</w:t>
      </w:r>
    </w:p>
    <w:p w14:paraId="57D3A243" w14:textId="1073F72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Mou, J., Shin, D.-H., &amp; Cohen, J. F. (2016). Health beliefs and the valence framework in health information seeking behaviors. </w:t>
      </w:r>
      <w:r>
        <w:rPr>
          <w:i/>
          <w:iCs/>
          <w:color w:val="000000"/>
          <w:lang w:val="en-US" w:eastAsia="de-DE"/>
        </w:rPr>
        <w:t>Information Technology &amp; People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(4), 876–900. https://doi.org/10.1108/ITP-06-2015-0140</w:t>
      </w:r>
    </w:p>
    <w:p w14:paraId="6D04CDB0" w14:textId="4BDC63F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Mou, J., Shin, D.-H., &amp; Cohen, J. F. (2017). Tracing College Students’ Acceptance of Online Health Services, </w:t>
      </w:r>
      <w:r>
        <w:rPr>
          <w:i/>
          <w:iCs/>
          <w:color w:val="000000"/>
          <w:lang w:val="en-US" w:eastAsia="de-DE"/>
        </w:rPr>
        <w:t>33</w:t>
      </w:r>
      <w:r>
        <w:rPr>
          <w:color w:val="000000"/>
          <w:lang w:val="en-US" w:eastAsia="de-DE"/>
        </w:rPr>
        <w:t>(5), 371–384. https://doi.org/10.1080/10447318.2016.1244941</w:t>
      </w:r>
    </w:p>
    <w:p w14:paraId="6C53C19C" w14:textId="60F4A0D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Movahedisaveji, M. M., &amp; Shaukat, B. (2020). Mediating role of brand app trust in the relationship between antecedents and purchase intentions-Iranian B2C mobile apps. </w:t>
      </w:r>
      <w:r>
        <w:rPr>
          <w:i/>
          <w:iCs/>
          <w:color w:val="000000"/>
          <w:lang w:val="en-US" w:eastAsia="de-DE"/>
        </w:rPr>
        <w:t>Journal of Management Analytics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(1), 69–104. https://doi.org/10.1080/23270012.2019.1699874</w:t>
      </w:r>
    </w:p>
    <w:p w14:paraId="6437746E" w14:textId="23CA962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Mpinganjira, M. (2015). Online Store Loyalty. </w:t>
      </w:r>
      <w:r>
        <w:rPr>
          <w:i/>
          <w:iCs/>
          <w:color w:val="000000"/>
          <w:lang w:val="en-US" w:eastAsia="de-DE"/>
        </w:rPr>
        <w:t>Journal of Electronic Commerce in Organizations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(4), 55–73. https://doi.org/10.4018/JECO.2015100103</w:t>
      </w:r>
    </w:p>
    <w:p w14:paraId="3E7A9C6B" w14:textId="2DEFCF7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Musleh, J. S. A. (2015). </w:t>
      </w:r>
      <w:r>
        <w:rPr>
          <w:i/>
          <w:iCs/>
          <w:color w:val="000000"/>
          <w:lang w:val="en-US" w:eastAsia="de-DE"/>
        </w:rPr>
        <w:t xml:space="preserve">Effects of risk, </w:t>
      </w:r>
      <w:proofErr w:type="gramStart"/>
      <w:r>
        <w:rPr>
          <w:i/>
          <w:iCs/>
          <w:color w:val="000000"/>
          <w:lang w:val="en-US" w:eastAsia="de-DE"/>
        </w:rPr>
        <w:t>trust</w:t>
      </w:r>
      <w:proofErr w:type="gramEnd"/>
      <w:r>
        <w:rPr>
          <w:i/>
          <w:iCs/>
          <w:color w:val="000000"/>
          <w:lang w:val="en-US" w:eastAsia="de-DE"/>
        </w:rPr>
        <w:t xml:space="preserve"> and attitude on online shopping intention</w:t>
      </w:r>
      <w:r>
        <w:rPr>
          <w:color w:val="000000"/>
          <w:lang w:val="en-US" w:eastAsia="de-DE"/>
        </w:rPr>
        <w:t xml:space="preserve"> [Dissertation]. Multimedia University (Malaysia). </w:t>
      </w:r>
    </w:p>
    <w:p w14:paraId="00CF8366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4" w:name="RANGE!B206"/>
      <w:r>
        <w:rPr>
          <w:color w:val="000000"/>
          <w:lang w:val="en-US" w:eastAsia="de-DE"/>
        </w:rPr>
        <w:t xml:space="preserve">Nilashi, M., Jannach, D., bin Ibrahim, O., Esfahani, M. D., &amp; Ahmadi, H. (2016). Recommendation quality, transparency, and website quality for trust-building in recommendation agents. </w:t>
      </w:r>
      <w:r>
        <w:rPr>
          <w:i/>
          <w:iCs/>
          <w:color w:val="000000"/>
          <w:lang w:val="en-US" w:eastAsia="de-DE"/>
        </w:rPr>
        <w:t>Electronic Commerce Research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, 70–84. https://doi.org/10.1016/j.elerap.2016.09.003</w:t>
      </w:r>
    </w:p>
    <w:bookmarkEnd w:id="24"/>
    <w:p w14:paraId="33F0A151" w14:textId="63F67B3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O. Pappas, I., G. Pateli, A., N. Giannakos, M., &amp; Chrissikopoulos, V. (2014). Moderating effects of online shopping experience on customer satisfaction and repurchase intentions. </w:t>
      </w:r>
      <w:r>
        <w:rPr>
          <w:i/>
          <w:iCs/>
          <w:color w:val="000000"/>
          <w:lang w:val="en-US" w:eastAsia="de-DE"/>
        </w:rPr>
        <w:t>International Journal of Retail &amp; Distribution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42</w:t>
      </w:r>
      <w:r>
        <w:rPr>
          <w:color w:val="000000"/>
          <w:lang w:val="en-US" w:eastAsia="de-DE"/>
        </w:rPr>
        <w:t>(3), 187–204. https://doi.org/10.1108/IJRDM-03-2012-0034</w:t>
      </w:r>
    </w:p>
    <w:p w14:paraId="31698249" w14:textId="01E0EFC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O’Reilly, P., Duane, A., &amp; Andreev, P. (2012). To M-Pay or not to M-Pay—Realising the potential of smart phones: conceptual modeling and empirical validation. </w:t>
      </w:r>
      <w:r>
        <w:rPr>
          <w:i/>
          <w:iCs/>
          <w:color w:val="000000"/>
          <w:lang w:val="en-US" w:eastAsia="de-DE"/>
        </w:rPr>
        <w:t>Electronic Markets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(4), 229–241. https://doi.org/10.1007/s12525-012-0105-3</w:t>
      </w:r>
    </w:p>
    <w:p w14:paraId="37B7F20A" w14:textId="2D5B6B21" w:rsidR="00756656" w:rsidRDefault="00000000">
      <w:pPr>
        <w:spacing w:afterLines="60" w:after="144" w:line="240" w:lineRule="auto"/>
        <w:ind w:left="709" w:hanging="709"/>
        <w:rPr>
          <w:color w:val="000000"/>
          <w:lang w:val="de-DE" w:eastAsia="de-DE"/>
        </w:rPr>
      </w:pPr>
      <w:r>
        <w:rPr>
          <w:color w:val="000000"/>
          <w:lang w:val="en-US" w:eastAsia="de-DE"/>
        </w:rPr>
        <w:t xml:space="preserve">Odusanya, K., Aluko, O., &amp; Lal, B. (2022). Building Consumers’ Trust in Electronic Retail Platforms in the Sub-Saharan Context: an exploratory study on Drivers and Impact on Continuance Intention. </w:t>
      </w:r>
      <w:r>
        <w:rPr>
          <w:i/>
          <w:iCs/>
          <w:color w:val="000000"/>
          <w:lang w:val="de-DE" w:eastAsia="de-DE"/>
        </w:rPr>
        <w:t>Information Systems Frontiers</w:t>
      </w:r>
      <w:r>
        <w:rPr>
          <w:color w:val="000000"/>
          <w:lang w:val="de-DE" w:eastAsia="de-DE"/>
        </w:rPr>
        <w:t xml:space="preserve">, </w:t>
      </w:r>
      <w:r>
        <w:rPr>
          <w:i/>
          <w:iCs/>
          <w:color w:val="000000"/>
          <w:lang w:val="de-DE" w:eastAsia="de-DE"/>
        </w:rPr>
        <w:t>24</w:t>
      </w:r>
      <w:r>
        <w:rPr>
          <w:color w:val="000000"/>
          <w:lang w:val="de-DE" w:eastAsia="de-DE"/>
        </w:rPr>
        <w:t>(2), 377–391. https://doi.org/10.1007/s10796-020-10043-2</w:t>
      </w:r>
    </w:p>
    <w:p w14:paraId="26CD3EB7" w14:textId="27298F8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lastRenderedPageBreak/>
        <w:t xml:space="preserve">Oghazi, P., Karlsson, S., Hellström, D., &amp; Hjort, K. (2018). </w:t>
      </w:r>
      <w:r>
        <w:rPr>
          <w:color w:val="000000"/>
          <w:lang w:val="en-US" w:eastAsia="de-DE"/>
        </w:rPr>
        <w:t xml:space="preserve">Online purchase return policy leniency and purchase decision: Mediating role of consumer trust. </w:t>
      </w:r>
      <w:r>
        <w:rPr>
          <w:i/>
          <w:iCs/>
          <w:color w:val="000000"/>
          <w:lang w:val="en-US" w:eastAsia="de-DE"/>
        </w:rPr>
        <w:t>Journal of Retailing and Consumer Services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41</w:t>
      </w:r>
      <w:r>
        <w:rPr>
          <w:color w:val="000000"/>
          <w:lang w:val="en-US" w:eastAsia="de-DE"/>
        </w:rPr>
        <w:t>, 190–200. https://doi.org/10.1016/j.jretconser.2017.12.007</w:t>
      </w:r>
    </w:p>
    <w:p w14:paraId="2AEBC2CE" w14:textId="00751EC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Oh, S. H., Kim, Y. M., Lee, C. W., Shim, G. Y., Park, M. S., &amp; Jung, H. S. (2009). </w:t>
      </w:r>
      <w:r>
        <w:rPr>
          <w:color w:val="000000"/>
          <w:lang w:val="en-US" w:eastAsia="de-DE"/>
        </w:rPr>
        <w:t xml:space="preserve">Consumer Adoption of Virtual Stores in Korea: Focusing on the Role of Trust and Playfulness. </w:t>
      </w:r>
      <w:r>
        <w:rPr>
          <w:i/>
          <w:iCs/>
          <w:color w:val="000000"/>
          <w:lang w:val="en-US" w:eastAsia="de-DE"/>
        </w:rPr>
        <w:t>Psychology and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26</w:t>
      </w:r>
      <w:r>
        <w:rPr>
          <w:color w:val="000000"/>
          <w:lang w:val="en-US" w:eastAsia="de-DE"/>
        </w:rPr>
        <w:t>(7), 652–668. https://doi.org/10.1002/mar.20293</w:t>
      </w:r>
    </w:p>
    <w:p w14:paraId="319D27E3" w14:textId="282A196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Oliveira, T., Alhinho, M., Rita, P., &amp; Dhillon, G. (2017). Modelling and Testing Consumer Trust Dimensions in e-Commerce.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71</w:t>
      </w:r>
      <w:r>
        <w:rPr>
          <w:color w:val="000000"/>
          <w:lang w:val="en-US" w:eastAsia="de-DE"/>
        </w:rPr>
        <w:t>, 153–164. https://doi.org/10.1016/j.chb.2017.01.050</w:t>
      </w:r>
    </w:p>
    <w:p w14:paraId="750FFB24" w14:textId="721E245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Oliveira, T., Faria, M., Thomas, M. A., &amp; Popovič, A. (2014). Extending the Understanding of Mobile Banking Adoption: When UTAUT Meets TTF and ITM. </w:t>
      </w:r>
      <w:r>
        <w:rPr>
          <w:i/>
          <w:iCs/>
          <w:color w:val="000000"/>
          <w:lang w:val="en-US" w:eastAsia="de-DE"/>
        </w:rPr>
        <w:t>International Journal of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34</w:t>
      </w:r>
      <w:r>
        <w:rPr>
          <w:color w:val="000000"/>
          <w:lang w:val="en-US" w:eastAsia="de-DE"/>
        </w:rPr>
        <w:t>(5), 689–703. https://doi.org/10.1016/j.ijinfomgt.2014.06.004</w:t>
      </w:r>
    </w:p>
    <w:p w14:paraId="01227F74" w14:textId="0966113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Ong, C.-S. (2015). SECURITY, RISK, AND TRUST IN INDIVIDUALS’ INTERNET BANKING ADOPTION: AN INTEGRATED MODEL. </w:t>
      </w:r>
      <w:r>
        <w:rPr>
          <w:i/>
          <w:iCs/>
          <w:color w:val="000000"/>
          <w:lang w:val="en-US" w:eastAsia="de-DE"/>
        </w:rPr>
        <w:t>International Journal of Electronic Commerce Studies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(2), 343–356. https://doi.org/10.7903/ijecs.1428</w:t>
      </w:r>
    </w:p>
    <w:p w14:paraId="238043DC" w14:textId="2BAF2BC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Ou, C. X., &amp; Sia, C. L. (2010). Consumer Trust and Distrust: An Issue of Website Design. </w:t>
      </w:r>
      <w:r>
        <w:rPr>
          <w:i/>
          <w:iCs/>
          <w:color w:val="000000"/>
          <w:lang w:val="en-US" w:eastAsia="de-DE"/>
        </w:rPr>
        <w:t>International Journal of Human-Computer Studies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68</w:t>
      </w:r>
      <w:r>
        <w:rPr>
          <w:color w:val="000000"/>
          <w:lang w:val="en-US" w:eastAsia="de-DE"/>
        </w:rPr>
        <w:t>(12), 913–934. https://doi.org/10.1016/j.ijhcs.2010.08.003</w:t>
      </w:r>
    </w:p>
    <w:p w14:paraId="0AB803A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5" w:name="RANGE!B216"/>
      <w:r>
        <w:rPr>
          <w:color w:val="000000"/>
          <w:lang w:val="en-US" w:eastAsia="de-DE"/>
        </w:rPr>
        <w:t xml:space="preserve">Pappas, C., &amp; Williams, I. (2011). Grey Literature: Its Emerging Importance. </w:t>
      </w:r>
      <w:r>
        <w:rPr>
          <w:i/>
          <w:iCs/>
          <w:color w:val="000000"/>
          <w:lang w:val="en-US" w:eastAsia="de-DE"/>
        </w:rPr>
        <w:t>Journal of Hospital Librarianship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(3), 228–234. https://doi.org/10.1080/15323269.2011.587100</w:t>
      </w:r>
    </w:p>
    <w:bookmarkEnd w:id="25"/>
    <w:p w14:paraId="5071BE07" w14:textId="7A2FE92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en-US" w:eastAsia="de-DE"/>
        </w:rPr>
        <w:t xml:space="preserve">Park, J., Gunn, F., &amp; Han, S.-L. (2012). </w:t>
      </w:r>
      <w:r>
        <w:rPr>
          <w:color w:val="000000"/>
          <w:lang w:val="en-US" w:eastAsia="de-DE"/>
        </w:rPr>
        <w:t xml:space="preserve">Multidimensional trust building in e-retailing: Cross-cultural differences in trust formation and implications for perceived risk. </w:t>
      </w:r>
      <w:r>
        <w:rPr>
          <w:i/>
          <w:iCs/>
          <w:color w:val="000000"/>
          <w:lang w:val="en-US" w:eastAsia="de-DE"/>
        </w:rPr>
        <w:t>Journal of Retailing and Consumer Services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(3), 304–312. https://doi.org/10.1016/j.jretconser.2012.03.003</w:t>
      </w:r>
    </w:p>
    <w:p w14:paraId="36940140" w14:textId="1B10784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Pavlou, P. A. (2001a). Consumer Intentions to Adopt Electronic Commerce - Incorporating Trust and Risk in the Technology Acceptance Model. </w:t>
      </w:r>
      <w:r>
        <w:rPr>
          <w:i/>
          <w:iCs/>
          <w:color w:val="000000"/>
          <w:lang w:val="en-US" w:eastAsia="de-DE"/>
        </w:rPr>
        <w:t>DIGIT 2001 Proceedings</w:t>
      </w:r>
      <w:r>
        <w:rPr>
          <w:color w:val="000000"/>
          <w:lang w:val="en-US" w:eastAsia="de-DE"/>
        </w:rPr>
        <w:t>, Article 2.</w:t>
      </w:r>
    </w:p>
    <w:p w14:paraId="6700C937" w14:textId="61E3000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Pavlou, P. A. (2001b). Integrating Trust in Electronic Commerce with the Technology Acceptance Model: Model Development and Validation. </w:t>
      </w:r>
      <w:r>
        <w:rPr>
          <w:i/>
          <w:iCs/>
          <w:color w:val="000000"/>
          <w:lang w:val="en-US" w:eastAsia="de-DE"/>
        </w:rPr>
        <w:t>AMCIS 2001 Proceedings</w:t>
      </w:r>
      <w:r>
        <w:rPr>
          <w:color w:val="000000"/>
          <w:lang w:val="en-US" w:eastAsia="de-DE"/>
        </w:rPr>
        <w:t>, Article 159.</w:t>
      </w:r>
    </w:p>
    <w:p w14:paraId="2434426F" w14:textId="5C85DEC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Pavlou, P. A. (2003). Consumer Acceptance of Electronic Commerce: Integrating Trust and Risk with the Technology Acceptance Model. </w:t>
      </w:r>
      <w:r>
        <w:rPr>
          <w:i/>
          <w:iCs/>
          <w:color w:val="000000"/>
          <w:lang w:val="en-US" w:eastAsia="de-DE"/>
        </w:rPr>
        <w:t>International Journal of Electronic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(3), 101–134. https://doi.org/10.1080/10864415.2003.11044275</w:t>
      </w:r>
    </w:p>
    <w:p w14:paraId="03E5750B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6" w:name="RANGE!B221"/>
      <w:r>
        <w:rPr>
          <w:color w:val="000000"/>
          <w:lang w:val="en-US" w:eastAsia="de-DE"/>
        </w:rPr>
        <w:t xml:space="preserve">Pavlou, P. A., &amp; Gefen, D. (2004). Building Effective Online Marketplaces with Institution-Based Trust. </w:t>
      </w:r>
      <w:r>
        <w:rPr>
          <w:i/>
          <w:iCs/>
          <w:color w:val="000000"/>
          <w:lang w:val="en-US" w:eastAsia="de-DE"/>
        </w:rPr>
        <w:t>Information Systems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15</w:t>
      </w:r>
      <w:r>
        <w:rPr>
          <w:color w:val="000000"/>
          <w:lang w:val="en-US" w:eastAsia="de-DE"/>
        </w:rPr>
        <w:t>(1), 37–59. https://doi.org/10.1287/isre.1040.0015</w:t>
      </w:r>
    </w:p>
    <w:bookmarkEnd w:id="26"/>
    <w:p w14:paraId="14C7DCDF" w14:textId="16C0029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Peña-García, N., Gil-Saura, I., &amp; Rodríguez-Orejuela, A. (2018). E-loyalty formation: A cross-cultural comparison of Spain and Colombia. </w:t>
      </w:r>
      <w:r>
        <w:rPr>
          <w:i/>
          <w:iCs/>
          <w:color w:val="000000"/>
          <w:lang w:val="en-US" w:eastAsia="de-DE"/>
        </w:rPr>
        <w:t>Journal of Electronic Commerce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(4), 336–356.</w:t>
      </w:r>
    </w:p>
    <w:p w14:paraId="5271217D" w14:textId="5F2EFD5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Pengnate, S., &amp; Sarathy, R. (2017). An experimental investigation of the influence of website emotional design features on trust in unfamiliar online vendors.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67</w:t>
      </w:r>
      <w:r>
        <w:rPr>
          <w:color w:val="000000"/>
          <w:lang w:val="en-US" w:eastAsia="de-DE"/>
        </w:rPr>
        <w:t>, 49–60. https://doi.org/10.1016/j.chb.2016.10.018</w:t>
      </w:r>
    </w:p>
    <w:p w14:paraId="591EA761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7" w:name="RANGE!B224"/>
      <w:r>
        <w:rPr>
          <w:color w:val="000000"/>
          <w:lang w:val="en-US" w:eastAsia="de-DE"/>
        </w:rPr>
        <w:t xml:space="preserve">Pennington, R., Wilcox, H. D., &amp; Grover, V. (2003). The Role of System Trust in Business-to-Consumer Transactions. </w:t>
      </w:r>
      <w:r>
        <w:rPr>
          <w:i/>
          <w:iCs/>
          <w:color w:val="000000"/>
          <w:lang w:val="en-US" w:eastAsia="de-DE"/>
        </w:rPr>
        <w:t>Journal of Management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</w:t>
      </w:r>
      <w:r>
        <w:rPr>
          <w:color w:val="000000"/>
          <w:lang w:val="en-US" w:eastAsia="de-DE"/>
        </w:rPr>
        <w:t>(3), 197–226. https://doi.org/10.1080/07421222.2003.11045777</w:t>
      </w:r>
    </w:p>
    <w:p w14:paraId="08080E7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8" w:name="RANGE!B225"/>
      <w:bookmarkEnd w:id="27"/>
      <w:r>
        <w:rPr>
          <w:color w:val="000000"/>
          <w:lang w:val="en-US" w:eastAsia="de-DE"/>
        </w:rPr>
        <w:t xml:space="preserve">Phillips, C. V. (2004). Publication bias in situ. </w:t>
      </w:r>
      <w:r>
        <w:rPr>
          <w:i/>
          <w:iCs/>
          <w:color w:val="000000"/>
          <w:lang w:val="en-US" w:eastAsia="de-DE"/>
        </w:rPr>
        <w:t>BMC Medical Research Methodology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</w:t>
      </w:r>
      <w:r>
        <w:rPr>
          <w:color w:val="000000"/>
          <w:lang w:val="en-US" w:eastAsia="de-DE"/>
        </w:rPr>
        <w:t>, Article 20. https://doi.org/10.1186/1471-2288-4-20</w:t>
      </w:r>
    </w:p>
    <w:bookmarkEnd w:id="28"/>
    <w:p w14:paraId="381F464B" w14:textId="28BADBB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Pipitwanichakarn, T., &amp; Wongtada, N. (2021). Leveraging the technology acceptance model for mobile commerce adoption under distinct stages of adoption. </w:t>
      </w:r>
      <w:r>
        <w:rPr>
          <w:i/>
          <w:iCs/>
          <w:color w:val="000000"/>
          <w:lang w:val="en-US" w:eastAsia="de-DE"/>
        </w:rPr>
        <w:t>Asia Pacific Journal of Marketing and Logistics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33</w:t>
      </w:r>
      <w:r>
        <w:rPr>
          <w:color w:val="000000"/>
          <w:lang w:val="en-US" w:eastAsia="de-DE"/>
        </w:rPr>
        <w:t>(6), 1415–1436. https://doi.org/10.1108/APJML-10-2018-0448</w:t>
      </w:r>
    </w:p>
    <w:p w14:paraId="22D87008" w14:textId="238AAEE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Ponte, B. E., Carvajal-Trujillo, E., &amp; Escobar-Rodríguez, T. (2015). Influence of Trust and Perceived Value on the Intention to Purchase Travel Online: Integrating the Effects of Assurance on Trust Antecedents. </w:t>
      </w:r>
      <w:r>
        <w:rPr>
          <w:i/>
          <w:iCs/>
          <w:color w:val="000000"/>
          <w:lang w:val="en-US" w:eastAsia="de-DE"/>
        </w:rPr>
        <w:t>Tourism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47</w:t>
      </w:r>
      <w:r>
        <w:rPr>
          <w:color w:val="000000"/>
          <w:lang w:val="en-US" w:eastAsia="de-DE"/>
        </w:rPr>
        <w:t>, 286–302. https://doi.org/10.1016/j.tourman.2014.10.009</w:t>
      </w:r>
    </w:p>
    <w:p w14:paraId="644EB301" w14:textId="1A65989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Pu, X., Chan, F. T., Chong, A. Y.-L., &amp; Niu, B. (2020). The adoption of NFC-based mobile payment services: an empirical analysis of Apple Pay in China. </w:t>
      </w:r>
      <w:r>
        <w:rPr>
          <w:i/>
          <w:iCs/>
          <w:color w:val="000000"/>
          <w:lang w:val="en-US" w:eastAsia="de-DE"/>
        </w:rPr>
        <w:t>International Journal of Mobile Communications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(3), 343–371. https://doi.org/10.1504/IJMC.2020.107145</w:t>
      </w:r>
    </w:p>
    <w:p w14:paraId="3A360DDF" w14:textId="469B67D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Qasim, H., &amp; Abu-Shanab, E. (2016). Drivers of mobile payment acceptance: The impact of network externalities. </w:t>
      </w:r>
      <w:r>
        <w:rPr>
          <w:i/>
          <w:iCs/>
          <w:color w:val="000000"/>
          <w:lang w:val="en-US" w:eastAsia="de-DE"/>
        </w:rPr>
        <w:t>Information Systems Frontiers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(5), 1021–1034. https://doi.org/10.1007/s10796-015-9598-6</w:t>
      </w:r>
    </w:p>
    <w:p w14:paraId="46BEFC0D" w14:textId="52EB898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Qureshi, I., Fang, Y., Ramsey, E., McCole, P., Ibbotson, P., &amp; Compeau, D. (2009). Understanding online customer repurchasing intention and the mediating role of trust – an empirical investigation in two developed countries. </w:t>
      </w:r>
      <w:r>
        <w:rPr>
          <w:i/>
          <w:iCs/>
          <w:color w:val="000000"/>
          <w:lang w:val="en-US" w:eastAsia="de-DE"/>
        </w:rPr>
        <w:t>European Journal of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(3), 205–222. https://doi.org/10.1057/ejis.2009.15</w:t>
      </w:r>
    </w:p>
    <w:p w14:paraId="27D868F9" w14:textId="31080BD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Raman, P. (2019). Understanding female consumers’ intention to shop online. </w:t>
      </w:r>
      <w:r>
        <w:rPr>
          <w:i/>
          <w:iCs/>
          <w:color w:val="000000"/>
          <w:lang w:val="en-US" w:eastAsia="de-DE"/>
        </w:rPr>
        <w:t>Asia Pacific Journal of Marketing and Logistics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(4), 1138–1160. https://doi.org/10.1108/APJML-10-2018-0396</w:t>
      </w:r>
    </w:p>
    <w:p w14:paraId="343FE1AA" w14:textId="1CBBCE8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Ray, S., Ow, T., &amp; Kim, S. S. (2011). Security Assurance: How Online Service Providers Can Influence Security Control Perceptions and Gain Trust. </w:t>
      </w:r>
      <w:r>
        <w:rPr>
          <w:i/>
          <w:iCs/>
          <w:color w:val="000000"/>
          <w:lang w:val="en-US" w:eastAsia="de-DE"/>
        </w:rPr>
        <w:t>Decision Sciences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42</w:t>
      </w:r>
      <w:r>
        <w:rPr>
          <w:color w:val="000000"/>
          <w:lang w:val="en-US" w:eastAsia="de-DE"/>
        </w:rPr>
        <w:t>(2), 391–412. https://doi.org/10.1111/j.1540-5915.2011.00316.x</w:t>
      </w:r>
    </w:p>
    <w:p w14:paraId="11C0FBFF" w14:textId="6BEE5E6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Riquelme, I. P., Román, S., Cuestas, P. J., &amp; Iacobucci, D. (2019). The Dark Side of Good Reputation and Loyalty in Online Retailing: When Trust Leads to Retaliation through Price Unfairness. </w:t>
      </w:r>
      <w:r>
        <w:rPr>
          <w:i/>
          <w:iCs/>
          <w:color w:val="000000"/>
          <w:lang w:val="en-US" w:eastAsia="de-DE"/>
        </w:rPr>
        <w:t>Journal of Interactive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47</w:t>
      </w:r>
      <w:r>
        <w:rPr>
          <w:color w:val="000000"/>
          <w:lang w:val="en-US" w:eastAsia="de-DE"/>
        </w:rPr>
        <w:t>, 35–52. https://doi.org/10.1016/j.intmar.2018.12.002</w:t>
      </w:r>
    </w:p>
    <w:p w14:paraId="339012D2" w14:textId="32A8044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Rose, S., Clark, M., Samouel, P., &amp; Hair, N. (2012). Online Customer Experience in e-Retailing: An empirical model of Antecedents and Outcomes. </w:t>
      </w:r>
      <w:r>
        <w:rPr>
          <w:i/>
          <w:iCs/>
          <w:color w:val="000000"/>
          <w:lang w:val="en-US" w:eastAsia="de-DE"/>
        </w:rPr>
        <w:t>Journal of Retailing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88</w:t>
      </w:r>
      <w:r>
        <w:rPr>
          <w:color w:val="000000"/>
          <w:lang w:val="en-US" w:eastAsia="de-DE"/>
        </w:rPr>
        <w:t>(2), 308–322. https://doi.org/10.1016/j.jretai.2012.03.001</w:t>
      </w:r>
    </w:p>
    <w:p w14:paraId="392ECA12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29" w:name="RANGE!B235"/>
      <w:r>
        <w:rPr>
          <w:color w:val="000000"/>
          <w:lang w:val="en-US" w:eastAsia="de-DE"/>
        </w:rPr>
        <w:t xml:space="preserve">Rotter, J. B. (1971). Generalized Expectancies for Interpersonal Trust. </w:t>
      </w:r>
      <w:r>
        <w:rPr>
          <w:i/>
          <w:iCs/>
          <w:color w:val="000000"/>
          <w:lang w:val="en-US" w:eastAsia="de-DE"/>
        </w:rPr>
        <w:t>American Psychologist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25</w:t>
      </w:r>
      <w:r>
        <w:rPr>
          <w:color w:val="000000"/>
          <w:lang w:val="en-US" w:eastAsia="de-DE"/>
        </w:rPr>
        <w:t>(5), 443–452. https://doi.org/10.1037/h0031464</w:t>
      </w:r>
    </w:p>
    <w:bookmarkEnd w:id="29"/>
    <w:p w14:paraId="530AEED4" w14:textId="72B8416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Sampat, B. (2016). Antecedents to Mobile Banking Adoption in India: An Extended TAM model. </w:t>
      </w:r>
      <w:r>
        <w:rPr>
          <w:i/>
          <w:iCs/>
          <w:color w:val="000000"/>
          <w:lang w:val="en-US" w:eastAsia="de-DE"/>
        </w:rPr>
        <w:t>Wealth: International Journal of Money, Banking &amp; Finance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</w:t>
      </w:r>
      <w:r>
        <w:rPr>
          <w:color w:val="000000"/>
          <w:lang w:val="en-US" w:eastAsia="de-DE"/>
        </w:rPr>
        <w:t>(2), 20–29.</w:t>
      </w:r>
    </w:p>
    <w:p w14:paraId="65791022" w14:textId="21B1D5B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San Martín, S., &amp; Camarero, C. (2009). How perceived risk affects online buying. </w:t>
      </w:r>
      <w:r>
        <w:rPr>
          <w:i/>
          <w:iCs/>
          <w:color w:val="000000"/>
          <w:lang w:val="en-US" w:eastAsia="de-DE"/>
        </w:rPr>
        <w:t>Online Information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33</w:t>
      </w:r>
      <w:r>
        <w:rPr>
          <w:color w:val="000000"/>
          <w:lang w:val="en-US" w:eastAsia="de-DE"/>
        </w:rPr>
        <w:t>(4), 629–654. https://doi.org/10.1108/14684520910985657</w:t>
      </w:r>
    </w:p>
    <w:p w14:paraId="706CCF60" w14:textId="3E60006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Sánchez-Torres, J. A., Canada, F.-J. A., Sandoval, A. V., &amp; Alzate, J.-A. S. (2018). E-banking in Colombia: factors favouring its acceptance, online </w:t>
      </w:r>
      <w:proofErr w:type="gramStart"/>
      <w:r>
        <w:rPr>
          <w:color w:val="000000"/>
          <w:lang w:val="en-US" w:eastAsia="de-DE"/>
        </w:rPr>
        <w:t>trust</w:t>
      </w:r>
      <w:proofErr w:type="gramEnd"/>
      <w:r>
        <w:rPr>
          <w:color w:val="000000"/>
          <w:lang w:val="en-US" w:eastAsia="de-DE"/>
        </w:rPr>
        <w:t xml:space="preserve"> and government support. </w:t>
      </w:r>
      <w:r>
        <w:rPr>
          <w:i/>
          <w:iCs/>
          <w:color w:val="000000"/>
          <w:lang w:val="en-US" w:eastAsia="de-DE"/>
        </w:rPr>
        <w:t>International Journal of Bank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(1), 170–183. https://doi.org/10.1108/IJBM-10-2016-0145</w:t>
      </w:r>
    </w:p>
    <w:p w14:paraId="195C8CB7" w14:textId="03FB669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San-Martín, S., &amp; Camarero, C. (2012). A Cross-National Study on Online Consumer Perceptions, Trust, and Loyalty. </w:t>
      </w:r>
      <w:r>
        <w:rPr>
          <w:i/>
          <w:iCs/>
          <w:color w:val="000000"/>
          <w:lang w:val="en-US" w:eastAsia="de-DE"/>
        </w:rPr>
        <w:t>Journal of Organizational Computing and Electronic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(1), 64–86. https://doi.org/10.1080/10919392.2012.642763</w:t>
      </w:r>
    </w:p>
    <w:p w14:paraId="0E8EFF42" w14:textId="5E9BE1D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Shankar, A., &amp; Datta, B. (2018). Factors Affecting Mobile Payment Adoption Intention: An Indian Perspective. </w:t>
      </w:r>
      <w:r>
        <w:rPr>
          <w:i/>
          <w:iCs/>
          <w:color w:val="000000"/>
          <w:lang w:val="en-US" w:eastAsia="de-DE"/>
        </w:rPr>
        <w:t>Global Business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19</w:t>
      </w:r>
      <w:r>
        <w:rPr>
          <w:color w:val="000000"/>
          <w:lang w:val="en-US" w:eastAsia="de-DE"/>
        </w:rPr>
        <w:t>(3_suppl), 72-89. https://doi.org/10.1177/0972150918757870</w:t>
      </w:r>
    </w:p>
    <w:p w14:paraId="1EE331FD" w14:textId="1D348C7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Shankar, A., Jebarajakirthy, C., &amp; Ashaduzzaman, M. (2020). How </w:t>
      </w:r>
      <w:proofErr w:type="gramStart"/>
      <w:r>
        <w:rPr>
          <w:color w:val="000000"/>
          <w:lang w:val="en-US" w:eastAsia="de-DE"/>
        </w:rPr>
        <w:t>do</w:t>
      </w:r>
      <w:proofErr w:type="gramEnd"/>
      <w:r>
        <w:rPr>
          <w:color w:val="000000"/>
          <w:lang w:val="en-US" w:eastAsia="de-DE"/>
        </w:rPr>
        <w:t xml:space="preserve"> electronic word of mouth practices contribute to mobile banking adoption? </w:t>
      </w:r>
      <w:r>
        <w:rPr>
          <w:i/>
          <w:iCs/>
          <w:color w:val="000000"/>
          <w:lang w:val="en-US" w:eastAsia="de-DE"/>
        </w:rPr>
        <w:t>Journal of Retailing and Consumer Services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52</w:t>
      </w:r>
      <w:r>
        <w:rPr>
          <w:color w:val="000000"/>
          <w:lang w:val="en-US" w:eastAsia="de-DE"/>
        </w:rPr>
        <w:t>, Article 101920. https://doi.org/10.1016/j.jretconser.2019.101920</w:t>
      </w:r>
    </w:p>
    <w:p w14:paraId="0D01746E" w14:textId="03FC848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Shao, Z., Zhang, L., Li, X., &amp; Guo, Y. (2019). Antecedents of trust and continuance intention in mobile payment platforms: The moderating effect of gender. </w:t>
      </w:r>
      <w:r>
        <w:rPr>
          <w:i/>
          <w:iCs/>
          <w:color w:val="000000"/>
          <w:lang w:val="en-US" w:eastAsia="de-DE"/>
        </w:rPr>
        <w:t>Electronic Commerce Research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33</w:t>
      </w:r>
      <w:r>
        <w:rPr>
          <w:color w:val="000000"/>
          <w:lang w:val="en-US" w:eastAsia="de-DE"/>
        </w:rPr>
        <w:t>, Article 100823. https://doi.org/10.1016/j.elerap.2018.100823</w:t>
      </w:r>
    </w:p>
    <w:p w14:paraId="0BDC584F" w14:textId="0974C85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Shaouf, A. A. A. (2020). The Role of Website Visual Design in Predicting Consumers' Purchase Intentions. International Journal of Online Marketing, 10(4), 1–17. https://doi.org/10.4018/IJOM.2020100101</w:t>
      </w:r>
    </w:p>
    <w:p w14:paraId="1F3498F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0" w:name="RANGE!B244"/>
      <w:r>
        <w:rPr>
          <w:color w:val="000000"/>
          <w:lang w:val="en-US" w:eastAsia="de-DE"/>
        </w:rPr>
        <w:t xml:space="preserve">Shapiro, S. P. (1987). The Social Control of Impersonal Trust. </w:t>
      </w:r>
      <w:r>
        <w:rPr>
          <w:i/>
          <w:iCs/>
          <w:color w:val="000000"/>
          <w:lang w:val="en-US" w:eastAsia="de-DE"/>
        </w:rPr>
        <w:t>American Journal of Sociology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93</w:t>
      </w:r>
      <w:r>
        <w:rPr>
          <w:color w:val="000000"/>
          <w:lang w:val="en-US" w:eastAsia="de-DE"/>
        </w:rPr>
        <w:t>(3), 623–658. https://doi.org/10.1086/228791</w:t>
      </w:r>
    </w:p>
    <w:bookmarkEnd w:id="30"/>
    <w:p w14:paraId="3FDCA2B4" w14:textId="6037A71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Sharif, A., &amp; Raza, S. A. (2017). The influence of hedonic motivation, self-efficacy, </w:t>
      </w:r>
      <w:proofErr w:type="gramStart"/>
      <w:r>
        <w:rPr>
          <w:color w:val="000000"/>
          <w:lang w:val="en-US" w:eastAsia="de-DE"/>
        </w:rPr>
        <w:t>trust</w:t>
      </w:r>
      <w:proofErr w:type="gramEnd"/>
      <w:r>
        <w:rPr>
          <w:color w:val="000000"/>
          <w:lang w:val="en-US" w:eastAsia="de-DE"/>
        </w:rPr>
        <w:t xml:space="preserve"> and habit on adoption of internet banking: a case of developing country. </w:t>
      </w:r>
      <w:r>
        <w:rPr>
          <w:i/>
          <w:iCs/>
          <w:color w:val="000000"/>
          <w:lang w:val="en-US" w:eastAsia="de-DE"/>
        </w:rPr>
        <w:t>International Journal of Electronic Customer Relationship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</w:t>
      </w:r>
      <w:r>
        <w:rPr>
          <w:color w:val="000000"/>
          <w:lang w:val="en-US" w:eastAsia="de-DE"/>
        </w:rPr>
        <w:t>(1), Article 86750, 1. https://doi.org/10.1504/IJECRM.2017.086750</w:t>
      </w:r>
    </w:p>
    <w:p w14:paraId="0E5AB9F9" w14:textId="52133C75" w:rsidR="00756656" w:rsidRDefault="00000000">
      <w:pPr>
        <w:spacing w:afterLines="60" w:after="144" w:line="240" w:lineRule="auto"/>
        <w:ind w:left="709" w:hanging="709"/>
        <w:rPr>
          <w:color w:val="000000"/>
          <w:lang w:val="de-DE" w:eastAsia="de-DE"/>
        </w:rPr>
      </w:pPr>
      <w:r>
        <w:rPr>
          <w:color w:val="000000"/>
          <w:lang w:val="en-US" w:eastAsia="de-DE"/>
        </w:rPr>
        <w:t xml:space="preserve">Sharma, S. K. (2019). Integrating cognitive antecedents into TAM to explain mobile banking behavioral intention: A SEM-neural network modeling. </w:t>
      </w:r>
      <w:r>
        <w:rPr>
          <w:i/>
          <w:iCs/>
          <w:color w:val="000000"/>
          <w:lang w:val="de-DE" w:eastAsia="de-DE"/>
        </w:rPr>
        <w:t>Information Systems Frontiers</w:t>
      </w:r>
      <w:r>
        <w:rPr>
          <w:color w:val="000000"/>
          <w:lang w:val="de-DE" w:eastAsia="de-DE"/>
        </w:rPr>
        <w:t xml:space="preserve">, </w:t>
      </w:r>
      <w:r>
        <w:rPr>
          <w:i/>
          <w:iCs/>
          <w:color w:val="000000"/>
          <w:lang w:val="de-DE" w:eastAsia="de-DE"/>
        </w:rPr>
        <w:t>21</w:t>
      </w:r>
      <w:r>
        <w:rPr>
          <w:color w:val="000000"/>
          <w:lang w:val="de-DE" w:eastAsia="de-DE"/>
        </w:rPr>
        <w:t>(4), 815–827. https://doi.org/10.1007/s10796-017-9775-x</w:t>
      </w:r>
    </w:p>
    <w:p w14:paraId="499D2C1F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1" w:name="RANGE!B247"/>
      <w:r>
        <w:rPr>
          <w:color w:val="000000"/>
          <w:lang w:val="de-DE" w:eastAsia="de-DE"/>
        </w:rPr>
        <w:lastRenderedPageBreak/>
        <w:t xml:space="preserve">Shaw, J. D., &amp; Ertug, G. (2017). </w:t>
      </w:r>
      <w:r>
        <w:rPr>
          <w:color w:val="000000"/>
          <w:lang w:val="en-US" w:eastAsia="de-DE"/>
        </w:rPr>
        <w:t xml:space="preserve">The Suitability of Simulations and Meta-Analyses for Submissions to Academy of Management Journal. </w:t>
      </w:r>
      <w:r>
        <w:rPr>
          <w:i/>
          <w:iCs/>
          <w:color w:val="000000"/>
          <w:lang w:val="en-US" w:eastAsia="de-DE"/>
        </w:rPr>
        <w:t>Academy of Management Journal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60</w:t>
      </w:r>
      <w:r>
        <w:rPr>
          <w:color w:val="000000"/>
          <w:lang w:val="en-US" w:eastAsia="de-DE"/>
        </w:rPr>
        <w:t>(6), 2045–2049. https://doi.org/10.5465/amj.2017.4006</w:t>
      </w:r>
    </w:p>
    <w:bookmarkEnd w:id="31"/>
    <w:p w14:paraId="2DB2709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 w:rsidRPr="00B035F4">
        <w:rPr>
          <w:color w:val="000000"/>
          <w:lang w:val="en-US" w:eastAsia="de-DE"/>
        </w:rPr>
        <w:t xml:space="preserve">Shaw, N., Eschenbrenner, B., &amp; Baier, D. (2022). </w:t>
      </w:r>
      <w:r>
        <w:rPr>
          <w:color w:val="000000"/>
          <w:lang w:val="en-US" w:eastAsia="de-DE"/>
        </w:rPr>
        <w:t xml:space="preserve">Online shopping continuance after COVID-19: A comparison of Canada, </w:t>
      </w:r>
      <w:proofErr w:type="gramStart"/>
      <w:r>
        <w:rPr>
          <w:color w:val="000000"/>
          <w:lang w:val="en-US" w:eastAsia="de-DE"/>
        </w:rPr>
        <w:t>Germany</w:t>
      </w:r>
      <w:proofErr w:type="gramEnd"/>
      <w:r>
        <w:rPr>
          <w:color w:val="000000"/>
          <w:lang w:val="en-US" w:eastAsia="de-DE"/>
        </w:rPr>
        <w:t xml:space="preserve"> and the United States. Journal of Retailing and Consumer Services, 69, 103100. https://doi.org/10.1016/j.jretconser.2022.103100</w:t>
      </w:r>
    </w:p>
    <w:p w14:paraId="3196F839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Sheth, J. (2020). Impact of Covid-19 on consumer behavior: Will the old habits return or die? Journal of Business Research, 117, 280–283. https://doi.org/10.1016/j.jbusres.2020.05.059</w:t>
      </w:r>
    </w:p>
    <w:p w14:paraId="07BD7D99" w14:textId="4703396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Shin, S., &amp; Lee, W.-J. (2021). Factors affecting user acceptance for NFC mobile wallets in the U.S. and Korea. </w:t>
      </w:r>
      <w:r>
        <w:rPr>
          <w:i/>
          <w:iCs/>
          <w:color w:val="000000"/>
          <w:lang w:val="en-US" w:eastAsia="de-DE"/>
        </w:rPr>
        <w:t>Innovation &amp; Management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18</w:t>
      </w:r>
      <w:r>
        <w:rPr>
          <w:color w:val="000000"/>
          <w:lang w:val="en-US" w:eastAsia="de-DE"/>
        </w:rPr>
        <w:t>(4), 417–433. https://doi.org/10.1108/INMR-02-2020-0018</w:t>
      </w:r>
    </w:p>
    <w:p w14:paraId="0B8816B9" w14:textId="61BF248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Singh, S., &amp; Srivastava, S. (2018). Moderating effect of product type on online shopping behaviour and purchase intention: An Indian perspective. </w:t>
      </w:r>
      <w:r>
        <w:rPr>
          <w:i/>
          <w:iCs/>
          <w:color w:val="000000"/>
          <w:lang w:val="en-US" w:eastAsia="de-DE"/>
        </w:rPr>
        <w:t>Cogent Arts &amp; Humanities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</w:t>
      </w:r>
      <w:r>
        <w:rPr>
          <w:color w:val="000000"/>
          <w:lang w:val="en-US" w:eastAsia="de-DE"/>
        </w:rPr>
        <w:t>(1), Article 1495043. https://doi.org/10.1080/23311983.2018.1495043</w:t>
      </w:r>
    </w:p>
    <w:p w14:paraId="7EDC7D43" w14:textId="7CE81FC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Siyal, A. W., Ding, D., &amp; Siyal, S. (2019). M-banking barriers in Pakistan: a customer perspective of adoption and continuity intention. </w:t>
      </w:r>
      <w:r>
        <w:rPr>
          <w:i/>
          <w:iCs/>
          <w:color w:val="000000"/>
          <w:lang w:val="en-US" w:eastAsia="de-DE"/>
        </w:rPr>
        <w:t>Data Technologies and Applications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53</w:t>
      </w:r>
      <w:r>
        <w:rPr>
          <w:color w:val="000000"/>
          <w:lang w:val="en-US" w:eastAsia="de-DE"/>
        </w:rPr>
        <w:t>(1), 58–84. https://doi.org/10.1108/DTA-04-2018-0022</w:t>
      </w:r>
    </w:p>
    <w:p w14:paraId="6BBE6D2C" w14:textId="7018415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Slade, E. L., Dwivedi, Y. K., Piercy, N. C., &amp; Williams, M. D. (2015). Modeling Consumers’ Adoption Intentions of Remote Mobile Payments in the United Kingdom: Extending UTAUT with Innovativeness, Risk, and Trust. </w:t>
      </w:r>
      <w:r>
        <w:rPr>
          <w:i/>
          <w:iCs/>
          <w:color w:val="000000"/>
          <w:lang w:val="en-US" w:eastAsia="de-DE"/>
        </w:rPr>
        <w:t>Psychology &amp; Marketing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32</w:t>
      </w:r>
      <w:r>
        <w:rPr>
          <w:color w:val="000000"/>
          <w:lang w:val="en-US" w:eastAsia="de-DE"/>
        </w:rPr>
        <w:t>(8), 860–873. https://doi.org/10.1002/mar.20823</w:t>
      </w:r>
    </w:p>
    <w:p w14:paraId="036F1851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2" w:name="RANGE!B252"/>
      <w:r>
        <w:rPr>
          <w:color w:val="000000"/>
          <w:lang w:val="en-US" w:eastAsia="de-DE"/>
        </w:rPr>
        <w:t xml:space="preserve">Sleesman, D. J., Conlon, D. E., McNamara, G., &amp; Miles, J. E. (2012). Cleaning Up the Big Muddy: A Meta-Analytic Review of the Determinants of Escalation of Commitment. </w:t>
      </w:r>
      <w:r>
        <w:rPr>
          <w:i/>
          <w:iCs/>
          <w:color w:val="000000"/>
          <w:lang w:val="en-US" w:eastAsia="de-DE"/>
        </w:rPr>
        <w:t>Academy of Management Journal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55</w:t>
      </w:r>
      <w:r>
        <w:rPr>
          <w:color w:val="000000"/>
          <w:lang w:val="en-US" w:eastAsia="de-DE"/>
        </w:rPr>
        <w:t>(3), 541–562. https://doi.org/10.5465/amj.2010.0696</w:t>
      </w:r>
    </w:p>
    <w:bookmarkEnd w:id="32"/>
    <w:p w14:paraId="58047B1F" w14:textId="6D8F0F2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Sohaib, O. (2015). </w:t>
      </w:r>
      <w:r>
        <w:rPr>
          <w:i/>
          <w:iCs/>
          <w:color w:val="000000"/>
          <w:lang w:val="en-US" w:eastAsia="de-DE"/>
        </w:rPr>
        <w:t>A study of individual consumer level culture in B2C e-commerce through a multi-perspective iTrust model</w:t>
      </w:r>
      <w:r>
        <w:rPr>
          <w:color w:val="000000"/>
          <w:lang w:val="en-US" w:eastAsia="de-DE"/>
        </w:rPr>
        <w:t xml:space="preserve"> [Dissertation]. University of Technology Sydney, Sydney, Australia. </w:t>
      </w:r>
    </w:p>
    <w:p w14:paraId="3EF427BB" w14:textId="24452AB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Stewart, K. J. (2003). Trust transfer on the world wide web. </w:t>
      </w:r>
      <w:r>
        <w:rPr>
          <w:i/>
          <w:iCs/>
          <w:color w:val="000000"/>
          <w:lang w:val="en-US" w:eastAsia="de-DE"/>
        </w:rPr>
        <w:t>Organization Science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14</w:t>
      </w:r>
      <w:r>
        <w:rPr>
          <w:color w:val="000000"/>
          <w:lang w:val="en-US" w:eastAsia="de-DE"/>
        </w:rPr>
        <w:t>(1), 5–17. https://doi.org/10.1287/orsc.14.1.5.12810</w:t>
      </w:r>
    </w:p>
    <w:p w14:paraId="37A5181C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Susarla, A., Gopal, R., Thatcher, J. B., &amp; Sarker, S. (2023). The Janus Effect of Generative AI: Charting the Path for Responsible Conduct of Scholarly Activities in Information Systems. Information Systems Research. Advance online publication. https://doi.org/10.1287/isre.2023.ed.v34.n2</w:t>
      </w:r>
    </w:p>
    <w:p w14:paraId="539AC895" w14:textId="0C8405A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Su, K.-W., Wang, J.-W., &amp; Hsu, M.-H. (2012). </w:t>
      </w:r>
      <w:r>
        <w:rPr>
          <w:color w:val="000000"/>
          <w:lang w:val="en-US" w:eastAsia="de-DE"/>
        </w:rPr>
        <w:t xml:space="preserve">The Impact of Prior Experience on Shopping Behaviors. </w:t>
      </w:r>
      <w:r>
        <w:rPr>
          <w:i/>
          <w:iCs/>
          <w:color w:val="000000"/>
          <w:lang w:val="en-US" w:eastAsia="de-DE"/>
        </w:rPr>
        <w:t>Journal of the Chinese Institute of Industrial Engineers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(6), 400–416. https://doi.org/10.1080/10170669.2012.715595</w:t>
      </w:r>
    </w:p>
    <w:p w14:paraId="740DD0DF" w14:textId="3FD9650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Suh, Y. I., Ahn, T., Lee, J. K., &amp; Pedersen, P. M. (2015). </w:t>
      </w:r>
      <w:r>
        <w:rPr>
          <w:color w:val="000000"/>
          <w:lang w:val="en-US" w:eastAsia="de-DE"/>
        </w:rPr>
        <w:t xml:space="preserve">Effect of trust and risk on purchase intentions in online secondary ticketing: sport consumers and ticket reselling. </w:t>
      </w:r>
      <w:r>
        <w:rPr>
          <w:i/>
          <w:iCs/>
          <w:color w:val="000000"/>
          <w:lang w:val="en-US" w:eastAsia="de-DE"/>
        </w:rPr>
        <w:t>South African Journal for Research in Sport, Physical Education and Recreation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37</w:t>
      </w:r>
      <w:r>
        <w:rPr>
          <w:color w:val="000000"/>
          <w:lang w:val="en-US" w:eastAsia="de-DE"/>
        </w:rPr>
        <w:t>(2), 131–142.</w:t>
      </w:r>
    </w:p>
    <w:p w14:paraId="5112E58F" w14:textId="1204BDF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Sulaiman, A., Mohezar, S., &amp; Rasheed, A. (2007). A trust model for e-commerce in Pakistan: </w:t>
      </w:r>
      <w:proofErr w:type="gramStart"/>
      <w:r>
        <w:rPr>
          <w:color w:val="000000"/>
          <w:lang w:val="en-US" w:eastAsia="de-DE"/>
        </w:rPr>
        <w:t>an empirical research</w:t>
      </w:r>
      <w:proofErr w:type="gramEnd"/>
      <w:r>
        <w:rPr>
          <w:color w:val="000000"/>
          <w:lang w:val="en-US" w:eastAsia="de-DE"/>
        </w:rPr>
        <w:t xml:space="preserve">. </w:t>
      </w:r>
      <w:r>
        <w:rPr>
          <w:i/>
          <w:iCs/>
          <w:color w:val="000000"/>
          <w:lang w:val="en-US" w:eastAsia="de-DE"/>
        </w:rPr>
        <w:t>Asian Journal of Information Technology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(2), 192–199.</w:t>
      </w:r>
    </w:p>
    <w:p w14:paraId="5CFD842D" w14:textId="5AF7939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Susanto, A., Chang, Y., &amp; Ha, Y. (2016). Determinants of continuance intention to use the smartphone banking services. </w:t>
      </w:r>
      <w:r>
        <w:rPr>
          <w:i/>
          <w:iCs/>
          <w:color w:val="000000"/>
          <w:lang w:val="en-US" w:eastAsia="de-DE"/>
        </w:rPr>
        <w:t>Industrial Management &amp; Data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116</w:t>
      </w:r>
      <w:r>
        <w:rPr>
          <w:color w:val="000000"/>
          <w:lang w:val="en-US" w:eastAsia="de-DE"/>
        </w:rPr>
        <w:t>(3), 508–525. https://doi.org/10.1108/IMDS-05-2015-0195</w:t>
      </w:r>
    </w:p>
    <w:p w14:paraId="04C49B67" w14:textId="66E5641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Susanto, A., Lee, H., Zo, H., &amp; Ciganek, A. P. (2013). User Acceptance of Internet Banking in Indonesia: Initial Trust Formation. </w:t>
      </w:r>
      <w:r>
        <w:rPr>
          <w:i/>
          <w:iCs/>
          <w:color w:val="000000"/>
          <w:lang w:val="en-US" w:eastAsia="de-DE"/>
        </w:rPr>
        <w:t>Information Development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(4), 309–322. https://doi.org/10.1177/0266666912467449</w:t>
      </w:r>
    </w:p>
    <w:p w14:paraId="058A64DC" w14:textId="093E941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Talukder, M., Quazi, A., &amp; Sathye, M. (2014). Mobile Phone Banking Usage Behaviour: An Australian Perspective. </w:t>
      </w:r>
      <w:r>
        <w:rPr>
          <w:i/>
          <w:iCs/>
          <w:color w:val="000000"/>
          <w:lang w:val="en-US" w:eastAsia="de-DE"/>
        </w:rPr>
        <w:t>Australasian Accounting, Business and Finance Journal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</w:t>
      </w:r>
      <w:r>
        <w:rPr>
          <w:color w:val="000000"/>
          <w:lang w:val="en-US" w:eastAsia="de-DE"/>
        </w:rPr>
        <w:t>(4), 83–104. https://doi.org/10.14453/aabfj.v8i4.6</w:t>
      </w:r>
    </w:p>
    <w:p w14:paraId="294C065E" w14:textId="40C3EAE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Talwar, S., Dhir, A., Khalil, A., Mohan, G., &amp; Islam, A. N. (2020). Point of adoption and beyond. Initial trust and mobile-payment continuation intention. </w:t>
      </w:r>
      <w:r>
        <w:rPr>
          <w:i/>
          <w:iCs/>
          <w:color w:val="000000"/>
          <w:lang w:val="en-US" w:eastAsia="de-DE"/>
        </w:rPr>
        <w:t>Journal of Retailing and Consumer Services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55</w:t>
      </w:r>
      <w:r>
        <w:rPr>
          <w:color w:val="000000"/>
          <w:lang w:val="en-US" w:eastAsia="de-DE"/>
        </w:rPr>
        <w:t>, Article 102086. https://doi.org/10.1016/j.jretconser.2020.102086</w:t>
      </w:r>
    </w:p>
    <w:p w14:paraId="649D11B3" w14:textId="3716A03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Tandon, U., Mittal, A., &amp; Manohar, S. (2021). Examining the impact of intangible product features and e-commerce institutional mechanics on consumer trust and repurchase intention. </w:t>
      </w:r>
      <w:r>
        <w:rPr>
          <w:i/>
          <w:iCs/>
          <w:color w:val="000000"/>
          <w:lang w:val="en-US" w:eastAsia="de-DE"/>
        </w:rPr>
        <w:t>Electronic Markets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(4), 945–964. https://doi.org/10.1007/s12525-020-00436-1</w:t>
      </w:r>
    </w:p>
    <w:p w14:paraId="78BCD9CA" w14:textId="7A0E309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Tang, Y., Yang, Y.-T., &amp; Shao, Y.-F. (2019). Acceptance of Online Medical Websites: An Empirical Study in China. </w:t>
      </w:r>
      <w:r>
        <w:rPr>
          <w:i/>
          <w:iCs/>
          <w:color w:val="000000"/>
          <w:lang w:val="en-US" w:eastAsia="de-DE"/>
        </w:rPr>
        <w:t>International Journal of Environmental Research and Public Health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16</w:t>
      </w:r>
      <w:r>
        <w:rPr>
          <w:color w:val="000000"/>
          <w:lang w:val="en-US" w:eastAsia="de-DE"/>
        </w:rPr>
        <w:t>(6), Article 943. https://doi.org/10.3390/ijerph16060943</w:t>
      </w:r>
    </w:p>
    <w:p w14:paraId="7FFC0B72" w14:textId="0D6A979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Teo, T., &amp; Liu, J. (2007). Consumer trust in e-commerce in the United States, </w:t>
      </w:r>
      <w:proofErr w:type="gramStart"/>
      <w:r>
        <w:rPr>
          <w:color w:val="000000"/>
          <w:lang w:val="en-US" w:eastAsia="de-DE"/>
        </w:rPr>
        <w:t>Singapore</w:t>
      </w:r>
      <w:proofErr w:type="gramEnd"/>
      <w:r>
        <w:rPr>
          <w:color w:val="000000"/>
          <w:lang w:val="en-US" w:eastAsia="de-DE"/>
        </w:rPr>
        <w:t xml:space="preserve"> and China. </w:t>
      </w:r>
      <w:r>
        <w:rPr>
          <w:i/>
          <w:iCs/>
          <w:color w:val="000000"/>
          <w:lang w:val="en-US" w:eastAsia="de-DE"/>
        </w:rPr>
        <w:t>Omega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35</w:t>
      </w:r>
      <w:r>
        <w:rPr>
          <w:color w:val="000000"/>
          <w:lang w:val="en-US" w:eastAsia="de-DE"/>
        </w:rPr>
        <w:t>(1), 22–38. https://doi.org/10.1016/j.omega.2005.02.001</w:t>
      </w:r>
    </w:p>
    <w:p w14:paraId="0350185E" w14:textId="4D46AFE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Thakur, R. (2018). The role of self-efficacy and customer satisfaction in driving loyalty to the mobile shopping application. </w:t>
      </w:r>
      <w:r>
        <w:rPr>
          <w:i/>
          <w:iCs/>
          <w:color w:val="000000"/>
          <w:lang w:val="en-US" w:eastAsia="de-DE"/>
        </w:rPr>
        <w:t>International Journal of Retail &amp; Distribution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46</w:t>
      </w:r>
      <w:r>
        <w:rPr>
          <w:color w:val="000000"/>
          <w:lang w:val="en-US" w:eastAsia="de-DE"/>
        </w:rPr>
        <w:t>(3), 283–303. https://doi.org/10.1108/IJRDM-11-2016-0214</w:t>
      </w:r>
    </w:p>
    <w:p w14:paraId="32C37CAE" w14:textId="2BD743A1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Thatcher, J. B., Carter, M., Li, X., &amp; Rong, G. (2013). A Classification and Investigation of Trustees in B-to-C </w:t>
      </w:r>
      <w:proofErr w:type="gramStart"/>
      <w:r>
        <w:rPr>
          <w:color w:val="000000"/>
          <w:lang w:val="en-US" w:eastAsia="de-DE"/>
        </w:rPr>
        <w:t>e-Commerce</w:t>
      </w:r>
      <w:proofErr w:type="gramEnd"/>
      <w:r>
        <w:rPr>
          <w:color w:val="000000"/>
          <w:lang w:val="en-US" w:eastAsia="de-DE"/>
        </w:rPr>
        <w:t xml:space="preserve">: General vs. Specific Trust. </w:t>
      </w:r>
      <w:r>
        <w:rPr>
          <w:i/>
          <w:iCs/>
          <w:color w:val="000000"/>
          <w:lang w:val="en-US" w:eastAsia="de-DE"/>
        </w:rPr>
        <w:t>Communications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32</w:t>
      </w:r>
      <w:r>
        <w:rPr>
          <w:color w:val="000000"/>
          <w:lang w:val="en-US" w:eastAsia="de-DE"/>
        </w:rPr>
        <w:t>, Article 4, 107–134. https://doi.org/10.17705/1CAIS.03204</w:t>
      </w:r>
    </w:p>
    <w:p w14:paraId="1092F157" w14:textId="7C4A43F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Treiblmaier, H., &amp; Chong, S. (2013). Trust and Perceived Risk of Personal Information as Antecedents of Online Information Disclosure. In F. B. Tan (Ed.), </w:t>
      </w:r>
      <w:r>
        <w:rPr>
          <w:i/>
          <w:iCs/>
          <w:color w:val="000000"/>
          <w:lang w:val="en-US" w:eastAsia="de-DE"/>
        </w:rPr>
        <w:t xml:space="preserve">Global Diffusion and Adoption of Technologies for Knowledge and Information Sharing </w:t>
      </w:r>
      <w:r>
        <w:rPr>
          <w:color w:val="000000"/>
          <w:lang w:val="en-US" w:eastAsia="de-DE"/>
        </w:rPr>
        <w:t>(pp. 341–361). IGI Global. https://doi.org/10.4018/978-1-4666-2142-8.ch015</w:t>
      </w:r>
    </w:p>
    <w:p w14:paraId="70413DB7" w14:textId="481F2C3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Trivedi, S. K., &amp; Yadav, M. (2020). Repurchase intentions in Y generation: mediation of trust and e-satisfaction. </w:t>
      </w:r>
      <w:r>
        <w:rPr>
          <w:i/>
          <w:iCs/>
          <w:color w:val="000000"/>
          <w:lang w:val="en-US" w:eastAsia="de-DE"/>
        </w:rPr>
        <w:t>Marketing Intelligence &amp; Planning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38</w:t>
      </w:r>
      <w:r>
        <w:rPr>
          <w:color w:val="000000"/>
          <w:lang w:val="en-US" w:eastAsia="de-DE"/>
        </w:rPr>
        <w:t>(4), 401–415. https://doi.org/10.1108/MIP-02-2019-0072</w:t>
      </w:r>
    </w:p>
    <w:p w14:paraId="11E98EA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3" w:name="RANGE!B269"/>
      <w:r>
        <w:rPr>
          <w:color w:val="000000"/>
          <w:lang w:val="en-US" w:eastAsia="de-DE"/>
        </w:rPr>
        <w:t xml:space="preserve">Tsu Wei, T., Marthandan, G., Yee‐Loong Chong, A., Ooi, K.-B., &amp; Arumugam, S. (2009). What Drives Malaysian m‐Commerce Adoption? An Empirical Analysis. </w:t>
      </w:r>
      <w:r>
        <w:rPr>
          <w:i/>
          <w:iCs/>
          <w:color w:val="000000"/>
          <w:lang w:val="en-US" w:eastAsia="de-DE"/>
        </w:rPr>
        <w:t>Industrial Management &amp; Data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109</w:t>
      </w:r>
      <w:r>
        <w:rPr>
          <w:color w:val="000000"/>
          <w:lang w:val="en-US" w:eastAsia="de-DE"/>
        </w:rPr>
        <w:t>(3), 370–388. https://doi.org/10.1108/02635570910939399</w:t>
      </w:r>
    </w:p>
    <w:bookmarkEnd w:id="33"/>
    <w:p w14:paraId="4811F87A" w14:textId="6EEFCB49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Tuteja, G., Gupta, S., &amp; Garg, V. (2016). </w:t>
      </w:r>
      <w:r>
        <w:rPr>
          <w:color w:val="000000"/>
          <w:lang w:val="en-US" w:eastAsia="de-DE"/>
        </w:rPr>
        <w:t xml:space="preserve">Consumer Trust in Internet Shopping. </w:t>
      </w:r>
      <w:r>
        <w:rPr>
          <w:i/>
          <w:iCs/>
          <w:color w:val="000000"/>
          <w:lang w:val="en-US" w:eastAsia="de-DE"/>
        </w:rPr>
        <w:t>Paradigm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</w:t>
      </w:r>
      <w:r>
        <w:rPr>
          <w:color w:val="000000"/>
          <w:lang w:val="en-US" w:eastAsia="de-DE"/>
        </w:rPr>
        <w:t>(2), 191–215. https://doi.org/10.1177/0971890716670723</w:t>
      </w:r>
    </w:p>
    <w:p w14:paraId="7476446C" w14:textId="0056AE2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Tzeng, S.-Y., &amp; Shiu, J. Y. (2020). Can involvement increase trust in a confusing online setting? Implications for marketing strategy. </w:t>
      </w:r>
      <w:r>
        <w:rPr>
          <w:i/>
          <w:iCs/>
          <w:color w:val="000000"/>
          <w:lang w:val="en-US" w:eastAsia="de-DE"/>
        </w:rPr>
        <w:t>South African Journal of 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51</w:t>
      </w:r>
      <w:r>
        <w:rPr>
          <w:color w:val="000000"/>
          <w:lang w:val="en-US" w:eastAsia="de-DE"/>
        </w:rPr>
        <w:t>(1), Article 1817. https://doi.org/10.4102/sajbm.v51i1.1817</w:t>
      </w:r>
    </w:p>
    <w:p w14:paraId="782BD6D8" w14:textId="1863C0B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Urumsah, D. (2015). Factors Influencing Consumers to Use e-services in Indonesian Airline Companies. In M. Quaddus &amp; A. G. Woodside (Eds.), </w:t>
      </w:r>
      <w:r>
        <w:rPr>
          <w:i/>
          <w:iCs/>
          <w:color w:val="000000"/>
          <w:lang w:val="en-US" w:eastAsia="de-DE"/>
        </w:rPr>
        <w:t xml:space="preserve">Advances in Business Marketing and Purchasing. E-services Adoption: Processes by Firms in Developing Nations </w:t>
      </w:r>
      <w:r>
        <w:rPr>
          <w:color w:val="000000"/>
          <w:lang w:val="en-US" w:eastAsia="de-DE"/>
        </w:rPr>
        <w:t>(Vol. 23, pp. 5–254). Emerald Group Publishing Limited. https://doi.org/10.1108/S1069-09642015000023B002</w:t>
      </w:r>
    </w:p>
    <w:p w14:paraId="44DE2729" w14:textId="45E62A2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van Slyke, C., Bélanger, F., Johnson, R. D., &amp; Hightower, R. (2010). Gender-Based Differences in Consumer E-Commerce Adoption. </w:t>
      </w:r>
      <w:r>
        <w:rPr>
          <w:i/>
          <w:iCs/>
          <w:color w:val="000000"/>
          <w:lang w:val="en-US" w:eastAsia="de-DE"/>
        </w:rPr>
        <w:t>Communications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26</w:t>
      </w:r>
      <w:r>
        <w:rPr>
          <w:color w:val="000000"/>
          <w:lang w:val="en-US" w:eastAsia="de-DE"/>
        </w:rPr>
        <w:t>, Article 2. https://doi.org/10.17705/1CAIS.02602</w:t>
      </w:r>
    </w:p>
    <w:p w14:paraId="19913221" w14:textId="29EC801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van Slyke, C., Shim, J. T., Johnson, R. D., &amp; Jiang, J. J. (2006). Concern for information privacy and online consumer purchasing. </w:t>
      </w:r>
      <w:r>
        <w:rPr>
          <w:i/>
          <w:iCs/>
          <w:color w:val="000000"/>
          <w:lang w:val="en-US" w:eastAsia="de-DE"/>
        </w:rPr>
        <w:t>Journal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</w:t>
      </w:r>
      <w:r>
        <w:rPr>
          <w:color w:val="000000"/>
          <w:lang w:val="en-US" w:eastAsia="de-DE"/>
        </w:rPr>
        <w:t>(6), Article 1.</w:t>
      </w:r>
    </w:p>
    <w:p w14:paraId="723CD47B" w14:textId="70FB589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Vance, A. O. (2009). </w:t>
      </w:r>
      <w:r>
        <w:rPr>
          <w:i/>
          <w:iCs/>
          <w:color w:val="000000"/>
          <w:lang w:val="en-US" w:eastAsia="de-DE"/>
        </w:rPr>
        <w:t>Trusting IT Artifacts: How Trust Affects our Use of Technology</w:t>
      </w:r>
      <w:r>
        <w:rPr>
          <w:color w:val="000000"/>
          <w:lang w:val="en-US" w:eastAsia="de-DE"/>
        </w:rPr>
        <w:t xml:space="preserve"> [Dissertation]. Georgia State University, Atlanta, United States. </w:t>
      </w:r>
    </w:p>
    <w:p w14:paraId="22B0713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4" w:name="RANGE!B276"/>
      <w:r>
        <w:rPr>
          <w:color w:val="000000"/>
          <w:lang w:val="en-US" w:eastAsia="de-DE"/>
        </w:rPr>
        <w:t xml:space="preserve">Viechtbauer, W. (2005). Bias and Efficiency of Meta-Analytic Variance Estimators in the Random-Effects Model. </w:t>
      </w:r>
      <w:r>
        <w:rPr>
          <w:i/>
          <w:iCs/>
          <w:color w:val="000000"/>
          <w:lang w:val="en-US" w:eastAsia="de-DE"/>
        </w:rPr>
        <w:t>Journal of Educational and Behavioral Statistics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30</w:t>
      </w:r>
      <w:r>
        <w:rPr>
          <w:color w:val="000000"/>
          <w:lang w:val="en-US" w:eastAsia="de-DE"/>
        </w:rPr>
        <w:t>(3), 261–293. https://doi.org/10.3102/10769986030003261</w:t>
      </w:r>
    </w:p>
    <w:p w14:paraId="65F5030E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5" w:name="RANGE!B277"/>
      <w:bookmarkEnd w:id="34"/>
      <w:r>
        <w:rPr>
          <w:color w:val="000000"/>
          <w:lang w:val="en-US" w:eastAsia="de-DE"/>
        </w:rPr>
        <w:t xml:space="preserve">Viechtbauer, W. (2010). Conducting Meta-Analyses in R with the metafor Package. </w:t>
      </w:r>
      <w:r>
        <w:rPr>
          <w:i/>
          <w:iCs/>
          <w:color w:val="000000"/>
          <w:lang w:val="en-US" w:eastAsia="de-DE"/>
        </w:rPr>
        <w:t>Journal of Statistical Software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(3), 1–48. https://doi.org/10.18637/jss.v036.i03</w:t>
      </w:r>
    </w:p>
    <w:bookmarkEnd w:id="35"/>
    <w:p w14:paraId="03831E62" w14:textId="7583397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Vinerean, S., Cetina, I., Dumitrescu, L., &amp; Opreana, A. (2013). Modeling Trust </w:t>
      </w:r>
      <w:proofErr w:type="gramStart"/>
      <w:r>
        <w:rPr>
          <w:color w:val="000000"/>
          <w:lang w:val="en-US" w:eastAsia="de-DE"/>
        </w:rPr>
        <w:t>To</w:t>
      </w:r>
      <w:proofErr w:type="gramEnd"/>
      <w:r>
        <w:rPr>
          <w:color w:val="000000"/>
          <w:lang w:val="en-US" w:eastAsia="de-DE"/>
        </w:rPr>
        <w:t xml:space="preserve"> Study Consumers Acceptance Of Online Shopping. </w:t>
      </w:r>
      <w:r>
        <w:rPr>
          <w:i/>
          <w:iCs/>
          <w:color w:val="000000"/>
          <w:lang w:val="en-US" w:eastAsia="de-DE"/>
        </w:rPr>
        <w:t>Revista Economica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65</w:t>
      </w:r>
      <w:r>
        <w:rPr>
          <w:color w:val="000000"/>
          <w:lang w:val="en-US" w:eastAsia="de-DE"/>
        </w:rPr>
        <w:t>(2), 72–90.</w:t>
      </w:r>
    </w:p>
    <w:p w14:paraId="58315776" w14:textId="4640F13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Wakefield, R. (2013). The influence of user </w:t>
      </w:r>
      <w:proofErr w:type="gramStart"/>
      <w:r>
        <w:rPr>
          <w:color w:val="000000"/>
          <w:lang w:val="en-US" w:eastAsia="de-DE"/>
        </w:rPr>
        <w:t>affect</w:t>
      </w:r>
      <w:proofErr w:type="gramEnd"/>
      <w:r>
        <w:rPr>
          <w:color w:val="000000"/>
          <w:lang w:val="en-US" w:eastAsia="de-DE"/>
        </w:rPr>
        <w:t xml:space="preserve"> in online information disclosure. </w:t>
      </w:r>
      <w:r>
        <w:rPr>
          <w:i/>
          <w:iCs/>
          <w:color w:val="000000"/>
          <w:lang w:val="en-US" w:eastAsia="de-DE"/>
        </w:rPr>
        <w:t>The Journal of Strategic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22</w:t>
      </w:r>
      <w:r>
        <w:rPr>
          <w:color w:val="000000"/>
          <w:lang w:val="en-US" w:eastAsia="de-DE"/>
        </w:rPr>
        <w:t>(2), 157–174. https://doi.org/10.1016/j.jsis.2013.01.003</w:t>
      </w:r>
    </w:p>
    <w:p w14:paraId="77F53D1B" w14:textId="447364A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lastRenderedPageBreak/>
        <w:t xml:space="preserve">Wang, H., Du, R., &amp; Olsen, T. (2018). </w:t>
      </w:r>
      <w:r>
        <w:rPr>
          <w:color w:val="000000"/>
          <w:lang w:val="en-US" w:eastAsia="de-DE"/>
        </w:rPr>
        <w:t xml:space="preserve">Feedback mechanisms and consumer satisfaction, trust and repurchase intention in online retail. </w:t>
      </w:r>
      <w:r>
        <w:rPr>
          <w:i/>
          <w:iCs/>
          <w:color w:val="000000"/>
          <w:lang w:val="en-US" w:eastAsia="de-DE"/>
        </w:rPr>
        <w:t>Information Systems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35</w:t>
      </w:r>
      <w:r>
        <w:rPr>
          <w:color w:val="000000"/>
          <w:lang w:val="en-US" w:eastAsia="de-DE"/>
        </w:rPr>
        <w:t>(3), 201–219. https://doi.org/10.1080/10580530.2018.1477301</w:t>
      </w:r>
    </w:p>
    <w:p w14:paraId="16361C96" w14:textId="19E892E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Wang, N., Shen, X.-L., &amp; Sun, Y. (2013). Transition of electronic word-of-mouth services from web to mobile context: A trust transfer perspective. </w:t>
      </w:r>
      <w:r>
        <w:rPr>
          <w:i/>
          <w:iCs/>
          <w:color w:val="000000"/>
          <w:lang w:val="en-US" w:eastAsia="de-DE"/>
        </w:rPr>
        <w:t>Decision Support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54</w:t>
      </w:r>
      <w:r>
        <w:rPr>
          <w:color w:val="000000"/>
          <w:lang w:val="en-US" w:eastAsia="de-DE"/>
        </w:rPr>
        <w:t>(3), 1394–1403. https://doi.org/10.1016/j.dss.2012.12.015</w:t>
      </w:r>
    </w:p>
    <w:p w14:paraId="34F36FFF" w14:textId="0A57E7D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Wang, W., &amp; Benbasat, I. (2005). Trust in and Adoption of Online Recommendation Agents. </w:t>
      </w:r>
      <w:r>
        <w:rPr>
          <w:i/>
          <w:iCs/>
          <w:color w:val="000000"/>
          <w:lang w:val="en-US" w:eastAsia="de-DE"/>
        </w:rPr>
        <w:t>Journal of the Association for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6</w:t>
      </w:r>
      <w:r>
        <w:rPr>
          <w:color w:val="000000"/>
          <w:lang w:val="en-US" w:eastAsia="de-DE"/>
        </w:rPr>
        <w:t>(3), Article 4, 72–102. https://doi.org/10.17705/1jais.00065</w:t>
      </w:r>
    </w:p>
    <w:p w14:paraId="7A1C6ABE" w14:textId="69668AC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Wang, W., &amp; Benbasat, I. (2007). Recommendation Agents for Electronic Commerce: Effects of Explanation Facilities on Trusting Beliefs. </w:t>
      </w:r>
      <w:r>
        <w:rPr>
          <w:i/>
          <w:iCs/>
          <w:color w:val="000000"/>
          <w:lang w:val="en-US" w:eastAsia="de-DE"/>
        </w:rPr>
        <w:t>Journal of Management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23</w:t>
      </w:r>
      <w:r>
        <w:rPr>
          <w:color w:val="000000"/>
          <w:lang w:val="en-US" w:eastAsia="de-DE"/>
        </w:rPr>
        <w:t>(4), 217–246. https://doi.org/10.2753/MIS0742-1222230410</w:t>
      </w:r>
    </w:p>
    <w:p w14:paraId="2F37E473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6" w:name="RANGE!B284"/>
      <w:r>
        <w:rPr>
          <w:color w:val="000000"/>
          <w:lang w:val="en-US" w:eastAsia="de-DE"/>
        </w:rPr>
        <w:t xml:space="preserve">Wang, Y. D., &amp; Emurian, H. H. (2005). An Overview of Online Trust: Concepts, Elements, and Implications.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21</w:t>
      </w:r>
      <w:r>
        <w:rPr>
          <w:color w:val="000000"/>
          <w:lang w:val="en-US" w:eastAsia="de-DE"/>
        </w:rPr>
        <w:t>(1), 105–125. https://doi.org/10.1016/j.chb.2003.11.008</w:t>
      </w:r>
    </w:p>
    <w:bookmarkEnd w:id="36"/>
    <w:p w14:paraId="0E43D923" w14:textId="1DE70CC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Wang, Y.-Y., Luse, A., Townsend, A. M., &amp; Mennecke, B. E. (2015). Understanding the moderating roles of types of recommender systems and products on customer behavioral intention to use recommender systems. </w:t>
      </w:r>
      <w:r>
        <w:rPr>
          <w:i/>
          <w:iCs/>
          <w:color w:val="000000"/>
          <w:lang w:val="en-US" w:eastAsia="de-DE"/>
        </w:rPr>
        <w:t>Information Systems and E-Business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(4), 769–799. https://doi.org/10.1007/s10257-014-0269-9</w:t>
      </w:r>
    </w:p>
    <w:p w14:paraId="5BEDC085" w14:textId="43E1D3E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Watzdorf, S. von, Ippisch, T., Skorna, A., &amp; Thiesse, F. (2010). </w:t>
      </w:r>
      <w:r>
        <w:rPr>
          <w:color w:val="000000"/>
          <w:lang w:val="en-US" w:eastAsia="de-DE"/>
        </w:rPr>
        <w:t xml:space="preserve">The Influence of Provider Trust on the Acceptance of Mobile Applications: An Empirical Analysis of Two Mobile Emergency Applications. </w:t>
      </w:r>
      <w:r>
        <w:rPr>
          <w:i/>
          <w:iCs/>
          <w:color w:val="000000"/>
          <w:lang w:val="en-US" w:eastAsia="de-DE"/>
        </w:rPr>
        <w:t>2010 Ninth International Conference on Mobile Business and 2010 Ninth Global Mobility Roundtable (ICMB-GMR)</w:t>
      </w:r>
      <w:r>
        <w:rPr>
          <w:color w:val="000000"/>
          <w:lang w:val="en-US" w:eastAsia="de-DE"/>
        </w:rPr>
        <w:t>, 329–336. https://doi.org/10.1109/ICMB-GMR.2010.37</w:t>
      </w:r>
    </w:p>
    <w:p w14:paraId="4AFF9FFB" w14:textId="498B4C2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Wen, C., Prybutok, V. R., &amp; Xu, C. (2011). An integrated model for customer online </w:t>
      </w:r>
      <w:proofErr w:type="gramStart"/>
      <w:r>
        <w:rPr>
          <w:color w:val="000000"/>
          <w:lang w:val="en-US" w:eastAsia="de-DE"/>
        </w:rPr>
        <w:t>repurchase</w:t>
      </w:r>
      <w:proofErr w:type="gramEnd"/>
      <w:r>
        <w:rPr>
          <w:color w:val="000000"/>
          <w:lang w:val="en-US" w:eastAsia="de-DE"/>
        </w:rPr>
        <w:t xml:space="preserve"> intention. </w:t>
      </w:r>
      <w:r>
        <w:rPr>
          <w:i/>
          <w:iCs/>
          <w:color w:val="000000"/>
          <w:lang w:val="en-US" w:eastAsia="de-DE"/>
        </w:rPr>
        <w:t>Journal of Computer Information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52</w:t>
      </w:r>
      <w:r>
        <w:rPr>
          <w:color w:val="000000"/>
          <w:lang w:val="en-US" w:eastAsia="de-DE"/>
        </w:rPr>
        <w:t>(1), 14–23.</w:t>
      </w:r>
    </w:p>
    <w:p w14:paraId="4BA94F14" w14:textId="7FF5BBC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Wingreen, S. C., &amp; Baglione, S. L. (2005). Untangling the Antecedents and Covariates of E‐Commerce Trust: Institutional Trust vs. Knowledge‐Based Trust. </w:t>
      </w:r>
      <w:r>
        <w:rPr>
          <w:i/>
          <w:iCs/>
          <w:color w:val="000000"/>
          <w:lang w:val="en-US" w:eastAsia="de-DE"/>
        </w:rPr>
        <w:t>Electronic Markets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15</w:t>
      </w:r>
      <w:r>
        <w:rPr>
          <w:color w:val="000000"/>
          <w:lang w:val="en-US" w:eastAsia="de-DE"/>
        </w:rPr>
        <w:t>(3), 246–260.</w:t>
      </w:r>
    </w:p>
    <w:p w14:paraId="394B8583" w14:textId="113196F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Wu, H., &amp; Zhang, W. (2017). Factors affecting customer initial trust in the mobile payment service providers: An empirical study. </w:t>
      </w:r>
      <w:r>
        <w:rPr>
          <w:i/>
          <w:iCs/>
          <w:color w:val="000000"/>
          <w:lang w:val="en-US" w:eastAsia="de-DE"/>
        </w:rPr>
        <w:t>WHICEB 2017 Proceedings</w:t>
      </w:r>
      <w:r>
        <w:rPr>
          <w:color w:val="000000"/>
          <w:lang w:val="en-US" w:eastAsia="de-DE"/>
        </w:rPr>
        <w:t>, Article 30.</w:t>
      </w:r>
    </w:p>
    <w:p w14:paraId="214DC4DD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7" w:name="RANGE!B290"/>
      <w:r>
        <w:rPr>
          <w:color w:val="000000"/>
          <w:lang w:val="en-US" w:eastAsia="de-DE"/>
        </w:rPr>
        <w:t xml:space="preserve">Wu, K., Zhao, Y., Zhu, Q., Tan, X., &amp; Zheng, H. (2011). A meta-analysis of the impact of trust on technology acceptance model: Investigation of moderating influence of subject and context type. </w:t>
      </w:r>
      <w:r>
        <w:rPr>
          <w:i/>
          <w:iCs/>
          <w:color w:val="000000"/>
          <w:lang w:val="en-US" w:eastAsia="de-DE"/>
        </w:rPr>
        <w:t>International Journal of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(6), 572–581. https://doi.org/10.1016/j.ijinfomgt.2011.03.004</w:t>
      </w:r>
    </w:p>
    <w:bookmarkEnd w:id="37"/>
    <w:p w14:paraId="3F8616B2" w14:textId="36784057" w:rsidR="00756656" w:rsidRDefault="00000000">
      <w:pPr>
        <w:spacing w:afterLines="60" w:after="144" w:line="240" w:lineRule="auto"/>
        <w:ind w:left="709" w:hanging="709"/>
        <w:rPr>
          <w:color w:val="000000"/>
          <w:lang w:val="de-DE" w:eastAsia="de-DE"/>
        </w:rPr>
      </w:pPr>
      <w:r>
        <w:rPr>
          <w:color w:val="000000"/>
          <w:lang w:val="en-US" w:eastAsia="de-DE"/>
        </w:rPr>
        <w:t xml:space="preserve">Xiao, L., Guo, Z., D’Ambra, J., &amp; Fu, B. (2016). Building loyalty in e-commerce: Towards a multidimensional trust-based framework for the case of China. </w:t>
      </w:r>
      <w:r>
        <w:rPr>
          <w:i/>
          <w:iCs/>
          <w:color w:val="000000"/>
          <w:lang w:val="de-DE" w:eastAsia="de-DE"/>
        </w:rPr>
        <w:t>Program</w:t>
      </w:r>
      <w:r>
        <w:rPr>
          <w:color w:val="000000"/>
          <w:lang w:val="de-DE" w:eastAsia="de-DE"/>
        </w:rPr>
        <w:t xml:space="preserve">, </w:t>
      </w:r>
      <w:r>
        <w:rPr>
          <w:i/>
          <w:iCs/>
          <w:color w:val="000000"/>
          <w:lang w:val="de-DE" w:eastAsia="de-DE"/>
        </w:rPr>
        <w:t>50</w:t>
      </w:r>
      <w:r>
        <w:rPr>
          <w:color w:val="000000"/>
          <w:lang w:val="de-DE" w:eastAsia="de-DE"/>
        </w:rPr>
        <w:t>(4), 431–461. https://doi.org/10.1108/PROG-04-2016-0040</w:t>
      </w:r>
    </w:p>
    <w:p w14:paraId="16217E49" w14:textId="3E492A9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Xiao, L., Zhang, Y., &amp; Fu, B. (2019). </w:t>
      </w:r>
      <w:r>
        <w:rPr>
          <w:color w:val="000000"/>
          <w:lang w:val="en-US" w:eastAsia="de-DE"/>
        </w:rPr>
        <w:t xml:space="preserve">Exploring the moderators and causal process of trust transfer in online-to-offline commerce. </w:t>
      </w:r>
      <w:r>
        <w:rPr>
          <w:i/>
          <w:iCs/>
          <w:color w:val="000000"/>
          <w:lang w:val="en-US" w:eastAsia="de-DE"/>
        </w:rPr>
        <w:t>Journal of Business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98</w:t>
      </w:r>
      <w:r>
        <w:rPr>
          <w:color w:val="000000"/>
          <w:lang w:val="en-US" w:eastAsia="de-DE"/>
        </w:rPr>
        <w:t>, 214–226. https://doi.org/10.1016/j.jbusres.2019.01.069</w:t>
      </w:r>
    </w:p>
    <w:p w14:paraId="1DF68546" w14:textId="17F2B1C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Xie, H., Prybutok, G., Peng, X., &amp; Prybutok, V. R. (2020). Determinants of Trust in Health Information Technology: An Empirical Investigation in the Context of an Online Clinic Appointment System. </w:t>
      </w:r>
      <w:r>
        <w:rPr>
          <w:i/>
          <w:iCs/>
          <w:color w:val="000000"/>
          <w:lang w:val="en-US" w:eastAsia="de-DE"/>
        </w:rPr>
        <w:t>International Journal of Human-Computer Interaction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36</w:t>
      </w:r>
      <w:r>
        <w:rPr>
          <w:color w:val="000000"/>
          <w:lang w:val="en-US" w:eastAsia="de-DE"/>
        </w:rPr>
        <w:t>(12), 1095–1109. https://doi.org/10.1080/10447318.2020.1712061</w:t>
      </w:r>
    </w:p>
    <w:p w14:paraId="15637E3D" w14:textId="549BD6F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Xin, H., Techatassanasoontorn, A. A., &amp; Tan, F. B. (2013). Exploring the influence of trust on mobile payment adoption. </w:t>
      </w:r>
      <w:r>
        <w:rPr>
          <w:i/>
          <w:iCs/>
          <w:color w:val="000000"/>
          <w:lang w:val="en-US" w:eastAsia="de-DE"/>
        </w:rPr>
        <w:t>PACIS 2013 Proceedings</w:t>
      </w:r>
      <w:r>
        <w:rPr>
          <w:color w:val="000000"/>
          <w:lang w:val="en-US" w:eastAsia="de-DE"/>
        </w:rPr>
        <w:t>, Article 143.</w:t>
      </w:r>
    </w:p>
    <w:p w14:paraId="24EE994B" w14:textId="7993C016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Xu, J., Benbasat, I., &amp; Cenfetelli, R. T. (2013). Integrating Service Quality with System and Information Quality: An Empirical Test in the E-Service Context. </w:t>
      </w:r>
      <w:r>
        <w:rPr>
          <w:i/>
          <w:iCs/>
          <w:color w:val="000000"/>
          <w:lang w:val="en-US" w:eastAsia="de-DE"/>
        </w:rPr>
        <w:t>MIS Quarterly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37</w:t>
      </w:r>
      <w:r>
        <w:rPr>
          <w:color w:val="000000"/>
          <w:lang w:val="en-US" w:eastAsia="de-DE"/>
        </w:rPr>
        <w:t>(3), 777–794. https://doi.org/10.25300/misq/2013/37.3.05</w:t>
      </w:r>
    </w:p>
    <w:p w14:paraId="707B8F63" w14:textId="343D08D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Yan, H., &amp; Pan, K. (2015). Examining mobile payment user adoption from the perspective of trust transfer. </w:t>
      </w:r>
      <w:r>
        <w:rPr>
          <w:i/>
          <w:iCs/>
          <w:color w:val="000000"/>
          <w:lang w:val="en-US" w:eastAsia="de-DE"/>
        </w:rPr>
        <w:t>International Journal of U- and E- Service, Science and Technology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</w:t>
      </w:r>
      <w:r>
        <w:rPr>
          <w:color w:val="000000"/>
          <w:lang w:val="en-US" w:eastAsia="de-DE"/>
        </w:rPr>
        <w:t>(1), 117–130. https://doi.org/10.14257/ijunesst.2015.8.1.1</w:t>
      </w:r>
    </w:p>
    <w:p w14:paraId="4F38AB32" w14:textId="248851C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lastRenderedPageBreak/>
        <w:t xml:space="preserve">Yang, M., Jiang, J., Kiang, M., &amp; Yuan, F. (2022). </w:t>
      </w:r>
      <w:r>
        <w:rPr>
          <w:color w:val="000000"/>
          <w:lang w:val="en-US" w:eastAsia="de-DE"/>
        </w:rPr>
        <w:t>Re-Examining the Impact of Multidimensional Trust on Patients' Online Medical Consultation Service Continuance Decision. Information Systems Frontiers, 24(3), 983–1007. https://doi.org/10.1007/s10796-021-10117-9</w:t>
      </w:r>
    </w:p>
    <w:p w14:paraId="4C0C7C19" w14:textId="1CB72CC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Yang, Q., Huang, L., &amp; Xu, Y. (2008). Role of trust transfer in E-commerce acceptance. </w:t>
      </w:r>
      <w:r>
        <w:rPr>
          <w:i/>
          <w:iCs/>
          <w:color w:val="000000"/>
          <w:lang w:val="en-US" w:eastAsia="de-DE"/>
        </w:rPr>
        <w:t>Tsinghua Science and Technology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(3), 279–286. https://doi.org/10.1016/S1007-0214(08)70045-2</w:t>
      </w:r>
    </w:p>
    <w:p w14:paraId="1601AA3E" w14:textId="3A3E433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Yang, S., Chen, Y., &amp; Wei, J. (2015). Understanding Consumers' Web-Mobile Shopping Extension Behavior: A Trust Transfer Perspective. Journal of Computer Information Systems, 55(2), 78–87. https://doi.org/10.1080/08874417.2015.11645759</w:t>
      </w:r>
    </w:p>
    <w:p w14:paraId="58ECDA39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8" w:name="RANGE!B300"/>
      <w:r>
        <w:rPr>
          <w:color w:val="000000"/>
          <w:lang w:val="en-US" w:eastAsia="de-DE"/>
        </w:rPr>
        <w:t xml:space="preserve">Yaniv, I., &amp; Kleinberger, E. (2000). Advice Taking in Decision Making: Egocentric Discounting and Reputation Formation. </w:t>
      </w:r>
      <w:r>
        <w:rPr>
          <w:i/>
          <w:iCs/>
          <w:color w:val="000000"/>
          <w:lang w:val="en-US" w:eastAsia="de-DE"/>
        </w:rPr>
        <w:t>Organizational Behavior and Human Decision Processes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83</w:t>
      </w:r>
      <w:r>
        <w:rPr>
          <w:color w:val="000000"/>
          <w:lang w:val="en-US" w:eastAsia="de-DE"/>
        </w:rPr>
        <w:t>(2), 260–281. https://doi.org/10.1006/obhd.2000.2909</w:t>
      </w:r>
    </w:p>
    <w:bookmarkEnd w:id="38"/>
    <w:p w14:paraId="117CA469" w14:textId="01A62653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Yee, B., &amp; Faziharudean, T. M. (2010). Factors Affecting Customer Loyalty of Using Internet Banking in Malaysia. </w:t>
      </w:r>
      <w:r>
        <w:rPr>
          <w:i/>
          <w:iCs/>
          <w:color w:val="000000"/>
          <w:lang w:val="en-US" w:eastAsia="de-DE"/>
        </w:rPr>
        <w:t>Journal of Electronic Banking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2010</w:t>
      </w:r>
      <w:r>
        <w:rPr>
          <w:color w:val="000000"/>
          <w:lang w:val="en-US" w:eastAsia="de-DE"/>
        </w:rPr>
        <w:t>, 1–22. https://doi.org/10.5171/2010.592297</w:t>
      </w:r>
    </w:p>
    <w:p w14:paraId="75BC129A" w14:textId="5E18E33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Yoo, S., Li, H., &amp; Xu, Z. (2021). CAN I TALK TO AN ONLINE DOCTOR? UNDERSTANDING THE MEDIATING EFFECT OF TRUST ON PATIENTS’ ONLINE HEALTH CONSULTATION. </w:t>
      </w:r>
      <w:r>
        <w:rPr>
          <w:i/>
          <w:iCs/>
          <w:color w:val="000000"/>
          <w:lang w:val="en-US" w:eastAsia="de-DE"/>
        </w:rPr>
        <w:t>Journal of Organizational Computing and Electronic Commerce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31</w:t>
      </w:r>
      <w:r>
        <w:rPr>
          <w:color w:val="000000"/>
          <w:lang w:val="en-US" w:eastAsia="de-DE"/>
        </w:rPr>
        <w:t>(1), 59–77. https://doi.org/10.1080/10919392.2020.1834810</w:t>
      </w:r>
    </w:p>
    <w:p w14:paraId="4B22A291" w14:textId="7BD297F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Yoon, C. (2009). The Effects of National Culture Values on Consumer Acceptance of e-Commerce: Online Shoppers in China. </w:t>
      </w:r>
      <w:r>
        <w:rPr>
          <w:i/>
          <w:iCs/>
          <w:color w:val="000000"/>
          <w:lang w:val="en-US" w:eastAsia="de-DE"/>
        </w:rPr>
        <w:t>Information &amp;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46</w:t>
      </w:r>
      <w:r>
        <w:rPr>
          <w:color w:val="000000"/>
          <w:lang w:val="en-US" w:eastAsia="de-DE"/>
        </w:rPr>
        <w:t>(5), 294–301. https://doi.org/10.1016/j.im.2009.06.001</w:t>
      </w:r>
    </w:p>
    <w:p w14:paraId="0AC38200" w14:textId="591DC1B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Yu, C.-S. (2015). Antecedents and Consequences of Trust in Using Mobile Banking. </w:t>
      </w:r>
      <w:r>
        <w:rPr>
          <w:i/>
          <w:iCs/>
          <w:color w:val="000000"/>
          <w:lang w:val="en-US" w:eastAsia="de-DE"/>
        </w:rPr>
        <w:t>MIS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20</w:t>
      </w:r>
      <w:r>
        <w:rPr>
          <w:color w:val="000000"/>
          <w:lang w:val="en-US" w:eastAsia="de-DE"/>
        </w:rPr>
        <w:t>(2), 27–56. https://doi.org/10.6131/MISR.2015.2002.02</w:t>
      </w:r>
    </w:p>
    <w:p w14:paraId="095EEE01" w14:textId="659E612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Yu, C.-S., &amp; Asgarkhani, M. (2015). An investigation of trust in e-banking: Evidence from Taiwan and New Zealand empirical studies. </w:t>
      </w:r>
      <w:r>
        <w:rPr>
          <w:i/>
          <w:iCs/>
          <w:color w:val="000000"/>
          <w:lang w:val="en-US" w:eastAsia="de-DE"/>
        </w:rPr>
        <w:t>Management Research Review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38</w:t>
      </w:r>
      <w:r>
        <w:rPr>
          <w:color w:val="000000"/>
          <w:lang w:val="en-US" w:eastAsia="de-DE"/>
        </w:rPr>
        <w:t>(12), 1267–1284. https://doi.org/10.1108/MRR-09-2014-0210</w:t>
      </w:r>
    </w:p>
    <w:p w14:paraId="19DD5217" w14:textId="0802DC4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Yuan, Y., Lai, F., &amp; Chu, Z. (2019). Continuous usage intention of Internet banking: a commitment-trust model. </w:t>
      </w:r>
      <w:r>
        <w:rPr>
          <w:i/>
          <w:iCs/>
          <w:color w:val="000000"/>
          <w:lang w:val="en-US" w:eastAsia="de-DE"/>
        </w:rPr>
        <w:t>Information Systems and E-Business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17</w:t>
      </w:r>
      <w:r>
        <w:rPr>
          <w:color w:val="000000"/>
          <w:lang w:val="en-US" w:eastAsia="de-DE"/>
        </w:rPr>
        <w:t>(1), 1–25. https://doi.org/10.1007/s10257-018-0372-4</w:t>
      </w:r>
    </w:p>
    <w:p w14:paraId="5AA2F8E5" w14:textId="77777777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bookmarkStart w:id="39" w:name="RANGE!B307"/>
      <w:r>
        <w:rPr>
          <w:color w:val="000000"/>
          <w:lang w:val="en-US" w:eastAsia="de-DE"/>
        </w:rPr>
        <w:t xml:space="preserve">Zacharia, G., &amp; Maes, P. (2000). Trust management through reputation mechanisms. </w:t>
      </w:r>
      <w:r>
        <w:rPr>
          <w:i/>
          <w:iCs/>
          <w:color w:val="000000"/>
          <w:lang w:val="en-US" w:eastAsia="de-DE"/>
        </w:rPr>
        <w:t>Applied Artificial Intelligence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14</w:t>
      </w:r>
      <w:r>
        <w:rPr>
          <w:color w:val="000000"/>
          <w:lang w:val="en-US" w:eastAsia="de-DE"/>
        </w:rPr>
        <w:t>(9), 881–907. https://doi.org/10.1080/08839510050144868</w:t>
      </w:r>
    </w:p>
    <w:bookmarkEnd w:id="39"/>
    <w:p w14:paraId="39336067" w14:textId="70CA77D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Zhang, K. Z., Cheung, C. M. K., &amp; Lee, M. K. O. (2014). Examining the moderating effect of inconsistent reviews and its gender differences on consumers’ online shopping decision. </w:t>
      </w:r>
      <w:r>
        <w:rPr>
          <w:i/>
          <w:iCs/>
          <w:color w:val="000000"/>
          <w:lang w:val="en-US" w:eastAsia="de-DE"/>
        </w:rPr>
        <w:t>International Journal of Information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34</w:t>
      </w:r>
      <w:r>
        <w:rPr>
          <w:color w:val="000000"/>
          <w:lang w:val="en-US" w:eastAsia="de-DE"/>
        </w:rPr>
        <w:t>(2), 89–98. https://doi.org/10.1016/j.ijinfomgt.2013.12.001</w:t>
      </w:r>
    </w:p>
    <w:p w14:paraId="030628E3" w14:textId="2263AB2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Zhang, K. Z., Gong, X., Chen, C., Zhao, S. J., &amp; Lee, M. K. O. (2019). Spillover effects from web to mobile payment services. </w:t>
      </w:r>
      <w:r>
        <w:rPr>
          <w:i/>
          <w:iCs/>
          <w:color w:val="000000"/>
          <w:lang w:val="en-US" w:eastAsia="de-DE"/>
        </w:rPr>
        <w:t>Internet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29</w:t>
      </w:r>
      <w:r>
        <w:rPr>
          <w:color w:val="000000"/>
          <w:lang w:val="en-US" w:eastAsia="de-DE"/>
        </w:rPr>
        <w:t>(6), 1213–1232. https://doi.org/10.1108/IntR-11-2017-0457</w:t>
      </w:r>
    </w:p>
    <w:p w14:paraId="1E5B3B4C" w14:textId="64AAA8C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de-DE" w:eastAsia="de-DE"/>
        </w:rPr>
        <w:t xml:space="preserve">Zhang, W., Yang, X., Wang, Q., Zheng, C., &amp; Sia, C. L. (2015). </w:t>
      </w:r>
      <w:r>
        <w:rPr>
          <w:color w:val="000000"/>
          <w:lang w:val="en-US" w:eastAsia="de-DE"/>
        </w:rPr>
        <w:t>Investigation on the Factors Determining Consumers' Use of Online Intermediated Shopping (OIS). Journal of Organizational and End User Computing, 27(1), 77–97. https://doi.org/10.4018/joeuc.2015010104</w:t>
      </w:r>
    </w:p>
    <w:p w14:paraId="2CFE9A3F" w14:textId="021A96F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Zhang, X., Yan, X., Cao, X., Sun, Y., Chen, H., &amp; She, J. (2018). The role of perceived e-health literacy in users’ continuance intention to use mobile healthcare applications: an exploratory empirical study in China. </w:t>
      </w:r>
      <w:r>
        <w:rPr>
          <w:i/>
          <w:iCs/>
          <w:color w:val="000000"/>
          <w:lang w:val="en-US" w:eastAsia="de-DE"/>
        </w:rPr>
        <w:t>Information Technology for Development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24</w:t>
      </w:r>
      <w:r>
        <w:rPr>
          <w:color w:val="000000"/>
          <w:lang w:val="en-US" w:eastAsia="de-DE"/>
        </w:rPr>
        <w:t>(2), 198–223. https://doi.org/10.1080/02681102.2017.1283286</w:t>
      </w:r>
    </w:p>
    <w:p w14:paraId="3E701FE1" w14:textId="511D668E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(2011a). The effect of initial trust on user adoption of mobile payment. </w:t>
      </w:r>
      <w:r>
        <w:rPr>
          <w:i/>
          <w:iCs/>
          <w:color w:val="000000"/>
          <w:lang w:val="en-US" w:eastAsia="de-DE"/>
        </w:rPr>
        <w:t>Information Development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27</w:t>
      </w:r>
      <w:r>
        <w:rPr>
          <w:color w:val="000000"/>
          <w:lang w:val="en-US" w:eastAsia="de-DE"/>
        </w:rPr>
        <w:t>(4), 290–300. https://doi.org/10.1177/0266666911424075</w:t>
      </w:r>
    </w:p>
    <w:p w14:paraId="6E83CF08" w14:textId="6FF4289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(2011b). An empirical examination of initial trust in mobile banking. </w:t>
      </w:r>
      <w:r>
        <w:rPr>
          <w:i/>
          <w:iCs/>
          <w:color w:val="000000"/>
          <w:lang w:val="en-US" w:eastAsia="de-DE"/>
        </w:rPr>
        <w:t>Internet Research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21</w:t>
      </w:r>
      <w:r>
        <w:rPr>
          <w:color w:val="000000"/>
          <w:lang w:val="en-US" w:eastAsia="de-DE"/>
        </w:rPr>
        <w:t>(5), 527–540. https://doi.org/10.1108/10662241111176353</w:t>
      </w:r>
    </w:p>
    <w:p w14:paraId="51AA4D02" w14:textId="04C6BD0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(2012a). Examining mobile banking user adoption from the perspectives of trust and flow experience. </w:t>
      </w:r>
      <w:r>
        <w:rPr>
          <w:i/>
          <w:iCs/>
          <w:color w:val="000000"/>
          <w:lang w:val="en-US" w:eastAsia="de-DE"/>
        </w:rPr>
        <w:t>Information Technology and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13</w:t>
      </w:r>
      <w:r>
        <w:rPr>
          <w:color w:val="000000"/>
          <w:lang w:val="en-US" w:eastAsia="de-DE"/>
        </w:rPr>
        <w:t>(1), 27–37. https://doi.org/10.1007/s10799-011-0111-8</w:t>
      </w:r>
    </w:p>
    <w:p w14:paraId="0D591D2C" w14:textId="574F16D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lastRenderedPageBreak/>
        <w:t xml:space="preserve">Zhou, T. (2012b). Understanding users’ initial trust in mobile banking: An elaboration likelihood perspective. </w:t>
      </w:r>
      <w:r>
        <w:rPr>
          <w:i/>
          <w:iCs/>
          <w:color w:val="000000"/>
          <w:lang w:val="en-US" w:eastAsia="de-DE"/>
        </w:rPr>
        <w:t>Computers in Human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28</w:t>
      </w:r>
      <w:r>
        <w:rPr>
          <w:color w:val="000000"/>
          <w:lang w:val="en-US" w:eastAsia="de-DE"/>
        </w:rPr>
        <w:t>(4), 1518–1525. https://doi.org/10.1016/j.chb.2012.03.021</w:t>
      </w:r>
    </w:p>
    <w:p w14:paraId="2EC0D37D" w14:textId="102C8A75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(2013a). An empirical examination of continuance intention of mobile payment services. </w:t>
      </w:r>
      <w:r>
        <w:rPr>
          <w:i/>
          <w:iCs/>
          <w:color w:val="000000"/>
          <w:lang w:val="en-US" w:eastAsia="de-DE"/>
        </w:rPr>
        <w:t>Decision Support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54</w:t>
      </w:r>
      <w:r>
        <w:rPr>
          <w:color w:val="000000"/>
          <w:lang w:val="en-US" w:eastAsia="de-DE"/>
        </w:rPr>
        <w:t>(2), 1085–1091. https://doi.org/10.1016/j.dss.2012.10.034</w:t>
      </w:r>
    </w:p>
    <w:p w14:paraId="367E2639" w14:textId="17C85524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(2013b). An empirical examination of the determinants of mobile purchase. </w:t>
      </w:r>
      <w:r>
        <w:rPr>
          <w:i/>
          <w:iCs/>
          <w:color w:val="000000"/>
          <w:lang w:val="en-US" w:eastAsia="de-DE"/>
        </w:rPr>
        <w:t>Personal and Ubiquitous Computing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17</w:t>
      </w:r>
      <w:r>
        <w:rPr>
          <w:color w:val="000000"/>
          <w:lang w:val="en-US" w:eastAsia="de-DE"/>
        </w:rPr>
        <w:t>(1), 187–195. https://doi.org/10.1007/s00779-011-0485-y</w:t>
      </w:r>
    </w:p>
    <w:p w14:paraId="208D1AF2" w14:textId="7B77071D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(2013c). Examining Mobile Banking User Trust. </w:t>
      </w:r>
      <w:r>
        <w:rPr>
          <w:i/>
          <w:iCs/>
          <w:color w:val="000000"/>
          <w:lang w:val="en-US" w:eastAsia="de-DE"/>
        </w:rPr>
        <w:t>International Journal of E-Adoption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</w:t>
      </w:r>
      <w:r>
        <w:rPr>
          <w:color w:val="000000"/>
          <w:lang w:val="en-US" w:eastAsia="de-DE"/>
        </w:rPr>
        <w:t>(3), 17–29. https://doi.org/10.4018/ijea.2013070102</w:t>
      </w:r>
    </w:p>
    <w:p w14:paraId="604F7F44" w14:textId="2058D6DA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(2014a). An Empirical Examination of Initial Trust in Mobile Payment. </w:t>
      </w:r>
      <w:r>
        <w:rPr>
          <w:i/>
          <w:iCs/>
          <w:color w:val="000000"/>
          <w:lang w:val="en-US" w:eastAsia="de-DE"/>
        </w:rPr>
        <w:t>Wireless Personal Communications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77</w:t>
      </w:r>
      <w:r>
        <w:rPr>
          <w:color w:val="000000"/>
          <w:lang w:val="en-US" w:eastAsia="de-DE"/>
        </w:rPr>
        <w:t>(2), 1519–1531. https://doi.org/10.1007/s11277-013-1596-8</w:t>
      </w:r>
    </w:p>
    <w:p w14:paraId="64D24D3C" w14:textId="0B3731A8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 (2014b). Understanding the determinants of mobile payment continuance usage. </w:t>
      </w:r>
      <w:r>
        <w:rPr>
          <w:i/>
          <w:iCs/>
          <w:color w:val="000000"/>
          <w:lang w:val="en-US" w:eastAsia="de-DE"/>
        </w:rPr>
        <w:t>Industrial Management &amp; Data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114</w:t>
      </w:r>
      <w:r>
        <w:rPr>
          <w:color w:val="000000"/>
          <w:lang w:val="en-US" w:eastAsia="de-DE"/>
        </w:rPr>
        <w:t>(6), 936–948. https://doi.org/10.1108/IMDS-02-2014-0068</w:t>
      </w:r>
    </w:p>
    <w:p w14:paraId="72E9E876" w14:textId="5F789FF2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T., Lu, Y., &amp; Wang, B. (2009). The Relative Importance of Website Design Quality and Service Quality in Determining Consumers’ Online Repurchase Behavior. </w:t>
      </w:r>
      <w:r>
        <w:rPr>
          <w:i/>
          <w:iCs/>
          <w:color w:val="000000"/>
          <w:lang w:val="en-US" w:eastAsia="de-DE"/>
        </w:rPr>
        <w:t>Information Systems Management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26</w:t>
      </w:r>
      <w:r>
        <w:rPr>
          <w:color w:val="000000"/>
          <w:lang w:val="en-US" w:eastAsia="de-DE"/>
        </w:rPr>
        <w:t>(4), 327–337. https://doi.org/10.1080/10580530903245663</w:t>
      </w:r>
    </w:p>
    <w:p w14:paraId="1287E5C4" w14:textId="319CDD4F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Zhou, W., Tsiga, Z., Li, B., Zheng, S., &amp; Jiang, S. (2018). What influence users’ e-finance continuance intention? The moderating role of trust. </w:t>
      </w:r>
      <w:r>
        <w:rPr>
          <w:i/>
          <w:iCs/>
          <w:color w:val="000000"/>
          <w:lang w:val="en-US" w:eastAsia="de-DE"/>
        </w:rPr>
        <w:t>Industrial Management &amp; Data Systems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118</w:t>
      </w:r>
      <w:r>
        <w:rPr>
          <w:color w:val="000000"/>
          <w:lang w:val="en-US" w:eastAsia="de-DE"/>
        </w:rPr>
        <w:t>(8), 1647–1670. https://doi.org/10.1108/IMDS-12-2017-0602</w:t>
      </w:r>
    </w:p>
    <w:p w14:paraId="02863D17" w14:textId="69E2E3BB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>Zhu, D. S., Lee, Z. C., O'Neal, G. S., &amp; Chen, Y. H. (2011). Mr. Risk! Please Trust Me: Trust Antecedents that Increase Online Consumer Purchase Intention. Journal of Internet Banking and Commerce, 16(3), 1–23.</w:t>
      </w:r>
    </w:p>
    <w:p w14:paraId="72E24743" w14:textId="40477A70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Zhu, D. H., Lan, L. Y., &amp; Chang, Y. P. (2017). Understanding the Intention to Continue Use of a Mobile Payment Provider: An Examination of Alipay Wallet in China. </w:t>
      </w:r>
      <w:r>
        <w:rPr>
          <w:i/>
          <w:iCs/>
          <w:color w:val="000000"/>
          <w:lang w:val="en-US" w:eastAsia="de-DE"/>
        </w:rPr>
        <w:t>International Journal of Business &amp; Information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12</w:t>
      </w:r>
      <w:r>
        <w:rPr>
          <w:color w:val="000000"/>
          <w:lang w:val="en-US" w:eastAsia="de-DE"/>
        </w:rPr>
        <w:t>(4), 369–390. https://doi.org/10.6702/ijbi.2017.12.4.2</w:t>
      </w:r>
    </w:p>
    <w:p w14:paraId="6DD4C01D" w14:textId="1130FE0C" w:rsidR="00756656" w:rsidRDefault="00000000">
      <w:pPr>
        <w:spacing w:afterLines="60" w:after="144" w:line="240" w:lineRule="auto"/>
        <w:ind w:left="709" w:hanging="709"/>
        <w:rPr>
          <w:color w:val="000000"/>
          <w:lang w:val="en-US" w:eastAsia="de-DE"/>
        </w:rPr>
      </w:pPr>
      <w:r>
        <w:rPr>
          <w:color w:val="000000"/>
          <w:lang w:val="en-US" w:eastAsia="de-DE"/>
        </w:rPr>
        <w:t xml:space="preserve">Zhu, W., Mou, J., &amp; Benyoucef, M. (2019). Exploring purchase intention in cross-border E-commerce: A three stage model. </w:t>
      </w:r>
      <w:r>
        <w:rPr>
          <w:i/>
          <w:iCs/>
          <w:color w:val="000000"/>
          <w:lang w:val="en-US" w:eastAsia="de-DE"/>
        </w:rPr>
        <w:t>Journal of Retailing and Consumer Services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51</w:t>
      </w:r>
      <w:r>
        <w:rPr>
          <w:color w:val="000000"/>
          <w:lang w:val="en-US" w:eastAsia="de-DE"/>
        </w:rPr>
        <w:t>, 320–330. https://doi.org/10.1016/j.jretconser.2019.07.004</w:t>
      </w:r>
    </w:p>
    <w:p w14:paraId="15DB0329" w14:textId="77777777" w:rsidR="00756656" w:rsidRDefault="00000000">
      <w:pPr>
        <w:rPr>
          <w:lang w:val="en-US"/>
        </w:rPr>
      </w:pPr>
      <w:bookmarkStart w:id="40" w:name="RANGE!B326"/>
      <w:r>
        <w:rPr>
          <w:color w:val="000000"/>
          <w:lang w:val="en-US" w:eastAsia="de-DE"/>
        </w:rPr>
        <w:t xml:space="preserve">Zucker, L. G. (1986). Production of Trust: Institutional Sources of Economic Structure, 1840-1920. </w:t>
      </w:r>
      <w:r>
        <w:rPr>
          <w:i/>
          <w:iCs/>
          <w:color w:val="000000"/>
          <w:lang w:val="en-US" w:eastAsia="de-DE"/>
        </w:rPr>
        <w:t>Research in Organizational Behavior</w:t>
      </w:r>
      <w:r>
        <w:rPr>
          <w:color w:val="000000"/>
          <w:lang w:val="en-US" w:eastAsia="de-DE"/>
        </w:rPr>
        <w:t xml:space="preserve">, </w:t>
      </w:r>
      <w:r>
        <w:rPr>
          <w:i/>
          <w:iCs/>
          <w:color w:val="000000"/>
          <w:lang w:val="en-US" w:eastAsia="de-DE"/>
        </w:rPr>
        <w:t>8</w:t>
      </w:r>
      <w:r>
        <w:rPr>
          <w:color w:val="000000"/>
          <w:lang w:val="en-US" w:eastAsia="de-DE"/>
        </w:rPr>
        <w:t>, 53–111.</w:t>
      </w:r>
      <w:bookmarkEnd w:id="40"/>
    </w:p>
    <w:sectPr w:rsidR="00756656">
      <w:headerReference w:type="default" r:id="rId9"/>
      <w:footerReference w:type="first" r:id="rId10"/>
      <w:pgSz w:w="11907" w:h="16840"/>
      <w:pgMar w:top="1418" w:right="1418" w:bottom="1418" w:left="1418" w:header="68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45427" w14:textId="77777777" w:rsidR="00274447" w:rsidRDefault="00274447">
      <w:pPr>
        <w:spacing w:line="240" w:lineRule="auto"/>
      </w:pPr>
      <w:r>
        <w:separator/>
      </w:r>
    </w:p>
  </w:endnote>
  <w:endnote w:type="continuationSeparator" w:id="0">
    <w:p w14:paraId="52F9FEBA" w14:textId="77777777" w:rsidR="00274447" w:rsidRDefault="00274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97B4C" w14:textId="77777777" w:rsidR="00756656" w:rsidRDefault="00000000">
    <w:pPr>
      <w:pStyle w:val="Fuzeile"/>
      <w:pBdr>
        <w:top w:val="single" w:sz="4" w:space="1" w:color="000000"/>
      </w:pBdr>
      <w:tabs>
        <w:tab w:val="left" w:pos="2977"/>
        <w:tab w:val="left" w:pos="6804"/>
      </w:tabs>
      <w:spacing w:after="0" w:line="240" w:lineRule="auto"/>
      <w:rPr>
        <w:rStyle w:val="Hervorhebung"/>
        <w:rFonts w:ascii="Arial" w:hAnsi="Arial" w:cs="Arial"/>
        <w:i w:val="0"/>
        <w:iCs w:val="0"/>
        <w:sz w:val="16"/>
        <w:lang w:val="de-DE"/>
      </w:rPr>
    </w:pPr>
    <w:r>
      <w:rPr>
        <w:rStyle w:val="Hervorhebung"/>
        <w:rFonts w:ascii="Arial" w:hAnsi="Arial" w:cs="Arial"/>
        <w:i w:val="0"/>
        <w:iCs w:val="0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B5430" w14:textId="77777777" w:rsidR="00274447" w:rsidRDefault="00274447">
      <w:pPr>
        <w:spacing w:after="0"/>
      </w:pPr>
      <w:r>
        <w:separator/>
      </w:r>
    </w:p>
  </w:footnote>
  <w:footnote w:type="continuationSeparator" w:id="0">
    <w:p w14:paraId="2A4758D6" w14:textId="77777777" w:rsidR="00274447" w:rsidRDefault="002744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F7DD7" w14:textId="77777777" w:rsidR="00756656" w:rsidRDefault="00000000">
    <w:pPr>
      <w:pStyle w:val="Kopfzeile"/>
      <w:rPr>
        <w:sz w:val="16"/>
        <w:szCs w:val="16"/>
      </w:rPr>
    </w:pPr>
    <w:r>
      <w:rPr>
        <w:rFonts w:ascii="Arial" w:hAnsi="Arial"/>
        <w:sz w:val="16"/>
        <w:szCs w:val="16"/>
      </w:rPr>
      <w:tab/>
    </w:r>
    <w:r>
      <w:rPr>
        <w:rFonts w:ascii="Arial" w:hAnsi="Arial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F49B3"/>
    <w:multiLevelType w:val="singleLevel"/>
    <w:tmpl w:val="037F49B3"/>
    <w:lvl w:ilvl="0">
      <w:start w:val="1"/>
      <w:numFmt w:val="decimal"/>
      <w:pStyle w:val="CitaviBibliographySubheading2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2DE42EB1"/>
    <w:multiLevelType w:val="multilevel"/>
    <w:tmpl w:val="2DE42EB1"/>
    <w:lvl w:ilvl="0">
      <w:start w:val="1"/>
      <w:numFmt w:val="bullet"/>
      <w:pStyle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2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18C4DE3"/>
    <w:multiLevelType w:val="multilevel"/>
    <w:tmpl w:val="418C4DE3"/>
    <w:lvl w:ilvl="0">
      <w:start w:val="1"/>
      <w:numFmt w:val="upperLetter"/>
      <w:pStyle w:val="Appendix1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56990">
    <w:abstractNumId w:val="0"/>
  </w:num>
  <w:num w:numId="2" w16cid:durableId="374886478">
    <w:abstractNumId w:val="1"/>
  </w:num>
  <w:num w:numId="3" w16cid:durableId="2061317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xNjczMDQxM7C0tDRW0lEKTi0uzszPAykwsagFAGAy12YtAAAA"/>
  </w:docVars>
  <w:rsids>
    <w:rsidRoot w:val="00E1165C"/>
    <w:rsid w:val="000002C1"/>
    <w:rsid w:val="00000911"/>
    <w:rsid w:val="00001753"/>
    <w:rsid w:val="000017FA"/>
    <w:rsid w:val="00001C4F"/>
    <w:rsid w:val="000026D2"/>
    <w:rsid w:val="0000375A"/>
    <w:rsid w:val="0000410E"/>
    <w:rsid w:val="00004C10"/>
    <w:rsid w:val="00005AB4"/>
    <w:rsid w:val="00006129"/>
    <w:rsid w:val="00006215"/>
    <w:rsid w:val="00007312"/>
    <w:rsid w:val="0001000A"/>
    <w:rsid w:val="000130F1"/>
    <w:rsid w:val="00013866"/>
    <w:rsid w:val="00013E2D"/>
    <w:rsid w:val="000145D1"/>
    <w:rsid w:val="00016DF6"/>
    <w:rsid w:val="0002117E"/>
    <w:rsid w:val="000219E5"/>
    <w:rsid w:val="00021DA6"/>
    <w:rsid w:val="00022461"/>
    <w:rsid w:val="00026A33"/>
    <w:rsid w:val="00026D57"/>
    <w:rsid w:val="00026FC0"/>
    <w:rsid w:val="000275CA"/>
    <w:rsid w:val="0002783E"/>
    <w:rsid w:val="000308A1"/>
    <w:rsid w:val="00030B92"/>
    <w:rsid w:val="00030F0F"/>
    <w:rsid w:val="00031D62"/>
    <w:rsid w:val="000327F6"/>
    <w:rsid w:val="00032D28"/>
    <w:rsid w:val="0003541B"/>
    <w:rsid w:val="00036120"/>
    <w:rsid w:val="00037F6F"/>
    <w:rsid w:val="00037FDA"/>
    <w:rsid w:val="00041754"/>
    <w:rsid w:val="00043105"/>
    <w:rsid w:val="00043929"/>
    <w:rsid w:val="0004446C"/>
    <w:rsid w:val="00044E1D"/>
    <w:rsid w:val="000468AA"/>
    <w:rsid w:val="00047158"/>
    <w:rsid w:val="00047198"/>
    <w:rsid w:val="000522D8"/>
    <w:rsid w:val="000529E6"/>
    <w:rsid w:val="000550E1"/>
    <w:rsid w:val="000558D5"/>
    <w:rsid w:val="000565C8"/>
    <w:rsid w:val="00056ADC"/>
    <w:rsid w:val="00056B80"/>
    <w:rsid w:val="000609BE"/>
    <w:rsid w:val="00062C44"/>
    <w:rsid w:val="00062EA3"/>
    <w:rsid w:val="00064196"/>
    <w:rsid w:val="0006491C"/>
    <w:rsid w:val="0006500A"/>
    <w:rsid w:val="00065C26"/>
    <w:rsid w:val="000662C3"/>
    <w:rsid w:val="00066426"/>
    <w:rsid w:val="00066AFE"/>
    <w:rsid w:val="00066B98"/>
    <w:rsid w:val="00070292"/>
    <w:rsid w:val="00070393"/>
    <w:rsid w:val="00070A8B"/>
    <w:rsid w:val="00070B55"/>
    <w:rsid w:val="00070EBE"/>
    <w:rsid w:val="0007314F"/>
    <w:rsid w:val="0007510C"/>
    <w:rsid w:val="00075984"/>
    <w:rsid w:val="000769ED"/>
    <w:rsid w:val="0007723D"/>
    <w:rsid w:val="000774A9"/>
    <w:rsid w:val="00077BC4"/>
    <w:rsid w:val="00077CA0"/>
    <w:rsid w:val="000805FD"/>
    <w:rsid w:val="000814AA"/>
    <w:rsid w:val="00082EA4"/>
    <w:rsid w:val="00083159"/>
    <w:rsid w:val="00083886"/>
    <w:rsid w:val="0008587F"/>
    <w:rsid w:val="00086930"/>
    <w:rsid w:val="00087BF6"/>
    <w:rsid w:val="00090332"/>
    <w:rsid w:val="00090771"/>
    <w:rsid w:val="00091077"/>
    <w:rsid w:val="00092B6E"/>
    <w:rsid w:val="00092BF0"/>
    <w:rsid w:val="00093A6E"/>
    <w:rsid w:val="0009428E"/>
    <w:rsid w:val="0009474C"/>
    <w:rsid w:val="00094817"/>
    <w:rsid w:val="00095510"/>
    <w:rsid w:val="00096B3E"/>
    <w:rsid w:val="00096D65"/>
    <w:rsid w:val="00097FB6"/>
    <w:rsid w:val="000A018D"/>
    <w:rsid w:val="000A0A92"/>
    <w:rsid w:val="000A0D02"/>
    <w:rsid w:val="000A316C"/>
    <w:rsid w:val="000A4570"/>
    <w:rsid w:val="000A4E1C"/>
    <w:rsid w:val="000A55D1"/>
    <w:rsid w:val="000A586B"/>
    <w:rsid w:val="000A60C4"/>
    <w:rsid w:val="000A691D"/>
    <w:rsid w:val="000B1B72"/>
    <w:rsid w:val="000B32F2"/>
    <w:rsid w:val="000B3A0E"/>
    <w:rsid w:val="000B3D96"/>
    <w:rsid w:val="000B416B"/>
    <w:rsid w:val="000B5BBF"/>
    <w:rsid w:val="000C0DD0"/>
    <w:rsid w:val="000C2623"/>
    <w:rsid w:val="000C3D9A"/>
    <w:rsid w:val="000C7C23"/>
    <w:rsid w:val="000D01F4"/>
    <w:rsid w:val="000D1585"/>
    <w:rsid w:val="000D180B"/>
    <w:rsid w:val="000D33CF"/>
    <w:rsid w:val="000D5065"/>
    <w:rsid w:val="000E108D"/>
    <w:rsid w:val="000E113F"/>
    <w:rsid w:val="000E2DB1"/>
    <w:rsid w:val="000E5393"/>
    <w:rsid w:val="000E589F"/>
    <w:rsid w:val="000E671A"/>
    <w:rsid w:val="000E67D5"/>
    <w:rsid w:val="000E6AFD"/>
    <w:rsid w:val="000E6B7B"/>
    <w:rsid w:val="000F0BF5"/>
    <w:rsid w:val="000F1F20"/>
    <w:rsid w:val="000F21E6"/>
    <w:rsid w:val="000F3978"/>
    <w:rsid w:val="000F690F"/>
    <w:rsid w:val="000F7D36"/>
    <w:rsid w:val="00101E11"/>
    <w:rsid w:val="001029AC"/>
    <w:rsid w:val="00104A22"/>
    <w:rsid w:val="0010511B"/>
    <w:rsid w:val="001077FF"/>
    <w:rsid w:val="00107DBF"/>
    <w:rsid w:val="001109F1"/>
    <w:rsid w:val="0011115B"/>
    <w:rsid w:val="00111883"/>
    <w:rsid w:val="0011199A"/>
    <w:rsid w:val="00112310"/>
    <w:rsid w:val="001148E7"/>
    <w:rsid w:val="0011547B"/>
    <w:rsid w:val="00116924"/>
    <w:rsid w:val="00116E03"/>
    <w:rsid w:val="00117D45"/>
    <w:rsid w:val="00117EA4"/>
    <w:rsid w:val="001204D8"/>
    <w:rsid w:val="001224E9"/>
    <w:rsid w:val="00123DC1"/>
    <w:rsid w:val="0012463E"/>
    <w:rsid w:val="001247D3"/>
    <w:rsid w:val="00124EE7"/>
    <w:rsid w:val="00124F35"/>
    <w:rsid w:val="001254A7"/>
    <w:rsid w:val="00125D19"/>
    <w:rsid w:val="00125EED"/>
    <w:rsid w:val="001267A0"/>
    <w:rsid w:val="00126A18"/>
    <w:rsid w:val="00126DE3"/>
    <w:rsid w:val="001276F8"/>
    <w:rsid w:val="00127D35"/>
    <w:rsid w:val="001300F2"/>
    <w:rsid w:val="00130BF8"/>
    <w:rsid w:val="00131A67"/>
    <w:rsid w:val="001331F1"/>
    <w:rsid w:val="00134378"/>
    <w:rsid w:val="00134804"/>
    <w:rsid w:val="001349B9"/>
    <w:rsid w:val="00135C71"/>
    <w:rsid w:val="00136112"/>
    <w:rsid w:val="00136367"/>
    <w:rsid w:val="00137062"/>
    <w:rsid w:val="001403EC"/>
    <w:rsid w:val="00142D37"/>
    <w:rsid w:val="00143455"/>
    <w:rsid w:val="001441C5"/>
    <w:rsid w:val="001463D8"/>
    <w:rsid w:val="001469BA"/>
    <w:rsid w:val="00146D87"/>
    <w:rsid w:val="001474EB"/>
    <w:rsid w:val="0015225B"/>
    <w:rsid w:val="001524C0"/>
    <w:rsid w:val="0015339E"/>
    <w:rsid w:val="001547B5"/>
    <w:rsid w:val="00154CD3"/>
    <w:rsid w:val="001552FC"/>
    <w:rsid w:val="00156879"/>
    <w:rsid w:val="001601BD"/>
    <w:rsid w:val="0016040D"/>
    <w:rsid w:val="00160753"/>
    <w:rsid w:val="00161309"/>
    <w:rsid w:val="00161EAB"/>
    <w:rsid w:val="0016317E"/>
    <w:rsid w:val="001641DA"/>
    <w:rsid w:val="001655AB"/>
    <w:rsid w:val="00165A52"/>
    <w:rsid w:val="00165EBE"/>
    <w:rsid w:val="001660C3"/>
    <w:rsid w:val="00166EA3"/>
    <w:rsid w:val="001705E3"/>
    <w:rsid w:val="001708B3"/>
    <w:rsid w:val="00171439"/>
    <w:rsid w:val="00171A77"/>
    <w:rsid w:val="00171C66"/>
    <w:rsid w:val="0017254F"/>
    <w:rsid w:val="00172D19"/>
    <w:rsid w:val="0017324B"/>
    <w:rsid w:val="00175195"/>
    <w:rsid w:val="00175AA8"/>
    <w:rsid w:val="001801D1"/>
    <w:rsid w:val="001812A6"/>
    <w:rsid w:val="001819A0"/>
    <w:rsid w:val="00181C6D"/>
    <w:rsid w:val="001821B7"/>
    <w:rsid w:val="001841DF"/>
    <w:rsid w:val="00184816"/>
    <w:rsid w:val="0018510C"/>
    <w:rsid w:val="00186AAB"/>
    <w:rsid w:val="00187C1F"/>
    <w:rsid w:val="001909A3"/>
    <w:rsid w:val="00194C36"/>
    <w:rsid w:val="00195A4D"/>
    <w:rsid w:val="00195C84"/>
    <w:rsid w:val="001963F8"/>
    <w:rsid w:val="00196FA9"/>
    <w:rsid w:val="001973DF"/>
    <w:rsid w:val="00197E76"/>
    <w:rsid w:val="001A14FB"/>
    <w:rsid w:val="001A18FA"/>
    <w:rsid w:val="001A19B1"/>
    <w:rsid w:val="001A211D"/>
    <w:rsid w:val="001A4931"/>
    <w:rsid w:val="001A4D22"/>
    <w:rsid w:val="001A53A6"/>
    <w:rsid w:val="001A7CCE"/>
    <w:rsid w:val="001A7D23"/>
    <w:rsid w:val="001B0D8C"/>
    <w:rsid w:val="001B24C1"/>
    <w:rsid w:val="001B52F3"/>
    <w:rsid w:val="001B63D6"/>
    <w:rsid w:val="001C15AB"/>
    <w:rsid w:val="001C1E51"/>
    <w:rsid w:val="001C2ACB"/>
    <w:rsid w:val="001C30EE"/>
    <w:rsid w:val="001C3188"/>
    <w:rsid w:val="001C3736"/>
    <w:rsid w:val="001C39A6"/>
    <w:rsid w:val="001C3FB2"/>
    <w:rsid w:val="001C6404"/>
    <w:rsid w:val="001C654F"/>
    <w:rsid w:val="001C6A2C"/>
    <w:rsid w:val="001C6C64"/>
    <w:rsid w:val="001C70C1"/>
    <w:rsid w:val="001C7BC8"/>
    <w:rsid w:val="001D057B"/>
    <w:rsid w:val="001D0DA6"/>
    <w:rsid w:val="001D0DBF"/>
    <w:rsid w:val="001D0F3A"/>
    <w:rsid w:val="001D17CB"/>
    <w:rsid w:val="001D19A7"/>
    <w:rsid w:val="001D19F0"/>
    <w:rsid w:val="001D3CC1"/>
    <w:rsid w:val="001D4AD2"/>
    <w:rsid w:val="001D58A1"/>
    <w:rsid w:val="001D5D44"/>
    <w:rsid w:val="001D6821"/>
    <w:rsid w:val="001D7021"/>
    <w:rsid w:val="001E04BD"/>
    <w:rsid w:val="001E0D41"/>
    <w:rsid w:val="001E3A6B"/>
    <w:rsid w:val="001E47CE"/>
    <w:rsid w:val="001E7C13"/>
    <w:rsid w:val="001E7DD6"/>
    <w:rsid w:val="001F0068"/>
    <w:rsid w:val="001F0B9B"/>
    <w:rsid w:val="001F2009"/>
    <w:rsid w:val="001F2BEE"/>
    <w:rsid w:val="001F3118"/>
    <w:rsid w:val="001F326B"/>
    <w:rsid w:val="001F4705"/>
    <w:rsid w:val="001F4EAF"/>
    <w:rsid w:val="001F56C5"/>
    <w:rsid w:val="001F66C0"/>
    <w:rsid w:val="001F66FF"/>
    <w:rsid w:val="001F6ED1"/>
    <w:rsid w:val="001F7B39"/>
    <w:rsid w:val="00201450"/>
    <w:rsid w:val="00201E77"/>
    <w:rsid w:val="002020D1"/>
    <w:rsid w:val="00203734"/>
    <w:rsid w:val="00204C79"/>
    <w:rsid w:val="002053D2"/>
    <w:rsid w:val="00205494"/>
    <w:rsid w:val="00207103"/>
    <w:rsid w:val="00207706"/>
    <w:rsid w:val="00210044"/>
    <w:rsid w:val="002109D1"/>
    <w:rsid w:val="00211012"/>
    <w:rsid w:val="00211343"/>
    <w:rsid w:val="002115F1"/>
    <w:rsid w:val="00212BE0"/>
    <w:rsid w:val="00213647"/>
    <w:rsid w:val="00214D30"/>
    <w:rsid w:val="00214D67"/>
    <w:rsid w:val="00216369"/>
    <w:rsid w:val="00217B8B"/>
    <w:rsid w:val="00220033"/>
    <w:rsid w:val="002206E9"/>
    <w:rsid w:val="00220707"/>
    <w:rsid w:val="0022077E"/>
    <w:rsid w:val="00220977"/>
    <w:rsid w:val="00220E8B"/>
    <w:rsid w:val="00220FDD"/>
    <w:rsid w:val="00222596"/>
    <w:rsid w:val="002230C8"/>
    <w:rsid w:val="00223437"/>
    <w:rsid w:val="00223680"/>
    <w:rsid w:val="0022482E"/>
    <w:rsid w:val="00224FDC"/>
    <w:rsid w:val="002257C9"/>
    <w:rsid w:val="00225A78"/>
    <w:rsid w:val="00225F31"/>
    <w:rsid w:val="0022686D"/>
    <w:rsid w:val="00231345"/>
    <w:rsid w:val="00231F01"/>
    <w:rsid w:val="002322E4"/>
    <w:rsid w:val="00233A91"/>
    <w:rsid w:val="00234597"/>
    <w:rsid w:val="002354BB"/>
    <w:rsid w:val="00235C83"/>
    <w:rsid w:val="00235D90"/>
    <w:rsid w:val="00236E41"/>
    <w:rsid w:val="00236E8F"/>
    <w:rsid w:val="00237444"/>
    <w:rsid w:val="0024039E"/>
    <w:rsid w:val="00240681"/>
    <w:rsid w:val="00241834"/>
    <w:rsid w:val="00243015"/>
    <w:rsid w:val="00243CE3"/>
    <w:rsid w:val="00243EF5"/>
    <w:rsid w:val="002441A7"/>
    <w:rsid w:val="00245E98"/>
    <w:rsid w:val="002462DE"/>
    <w:rsid w:val="00246B01"/>
    <w:rsid w:val="002534CC"/>
    <w:rsid w:val="00254228"/>
    <w:rsid w:val="00254BC2"/>
    <w:rsid w:val="00254E30"/>
    <w:rsid w:val="00255624"/>
    <w:rsid w:val="0025648A"/>
    <w:rsid w:val="00256497"/>
    <w:rsid w:val="002565EE"/>
    <w:rsid w:val="00256830"/>
    <w:rsid w:val="002601CE"/>
    <w:rsid w:val="002608FF"/>
    <w:rsid w:val="00260C7D"/>
    <w:rsid w:val="002615E0"/>
    <w:rsid w:val="00261A2D"/>
    <w:rsid w:val="00261E3D"/>
    <w:rsid w:val="00262A41"/>
    <w:rsid w:val="002630CB"/>
    <w:rsid w:val="002647D5"/>
    <w:rsid w:val="002655A4"/>
    <w:rsid w:val="00265739"/>
    <w:rsid w:val="00265B5B"/>
    <w:rsid w:val="00267D63"/>
    <w:rsid w:val="002701FC"/>
    <w:rsid w:val="0027064E"/>
    <w:rsid w:val="0027104F"/>
    <w:rsid w:val="00271D7F"/>
    <w:rsid w:val="002726E6"/>
    <w:rsid w:val="00272BC2"/>
    <w:rsid w:val="00274447"/>
    <w:rsid w:val="00274463"/>
    <w:rsid w:val="00276619"/>
    <w:rsid w:val="00276CCE"/>
    <w:rsid w:val="002770F9"/>
    <w:rsid w:val="00277A0C"/>
    <w:rsid w:val="00277B58"/>
    <w:rsid w:val="00277E6C"/>
    <w:rsid w:val="00281450"/>
    <w:rsid w:val="00281D47"/>
    <w:rsid w:val="002820EB"/>
    <w:rsid w:val="0028316B"/>
    <w:rsid w:val="00285055"/>
    <w:rsid w:val="00285C3B"/>
    <w:rsid w:val="002865D7"/>
    <w:rsid w:val="0028732B"/>
    <w:rsid w:val="00290E46"/>
    <w:rsid w:val="00291461"/>
    <w:rsid w:val="00292A4E"/>
    <w:rsid w:val="00292ECC"/>
    <w:rsid w:val="00295497"/>
    <w:rsid w:val="002955BD"/>
    <w:rsid w:val="00296AD3"/>
    <w:rsid w:val="002A04E6"/>
    <w:rsid w:val="002A0654"/>
    <w:rsid w:val="002A13C6"/>
    <w:rsid w:val="002A1733"/>
    <w:rsid w:val="002A1C79"/>
    <w:rsid w:val="002A2C0E"/>
    <w:rsid w:val="002A5033"/>
    <w:rsid w:val="002A77E1"/>
    <w:rsid w:val="002B17E0"/>
    <w:rsid w:val="002B2EB8"/>
    <w:rsid w:val="002B3B86"/>
    <w:rsid w:val="002B41B9"/>
    <w:rsid w:val="002B5008"/>
    <w:rsid w:val="002B5AEA"/>
    <w:rsid w:val="002B65DB"/>
    <w:rsid w:val="002B6CB3"/>
    <w:rsid w:val="002B7EDF"/>
    <w:rsid w:val="002C1BBB"/>
    <w:rsid w:val="002C2194"/>
    <w:rsid w:val="002C298E"/>
    <w:rsid w:val="002C2C57"/>
    <w:rsid w:val="002C2C6F"/>
    <w:rsid w:val="002C375A"/>
    <w:rsid w:val="002C4207"/>
    <w:rsid w:val="002D0686"/>
    <w:rsid w:val="002D0C34"/>
    <w:rsid w:val="002D12AE"/>
    <w:rsid w:val="002D3163"/>
    <w:rsid w:val="002D31B0"/>
    <w:rsid w:val="002D4205"/>
    <w:rsid w:val="002D50E5"/>
    <w:rsid w:val="002D52CA"/>
    <w:rsid w:val="002D5547"/>
    <w:rsid w:val="002D632B"/>
    <w:rsid w:val="002E062A"/>
    <w:rsid w:val="002E0B32"/>
    <w:rsid w:val="002E0DEC"/>
    <w:rsid w:val="002E18FC"/>
    <w:rsid w:val="002E19E3"/>
    <w:rsid w:val="002E2D8B"/>
    <w:rsid w:val="002E7339"/>
    <w:rsid w:val="002E7934"/>
    <w:rsid w:val="002F04C3"/>
    <w:rsid w:val="002F0779"/>
    <w:rsid w:val="002F1401"/>
    <w:rsid w:val="002F29EC"/>
    <w:rsid w:val="002F2FFE"/>
    <w:rsid w:val="002F3AF0"/>
    <w:rsid w:val="002F75E6"/>
    <w:rsid w:val="003016DA"/>
    <w:rsid w:val="00301BB3"/>
    <w:rsid w:val="00301C5A"/>
    <w:rsid w:val="00301DC8"/>
    <w:rsid w:val="00303A70"/>
    <w:rsid w:val="00303E6D"/>
    <w:rsid w:val="00304010"/>
    <w:rsid w:val="003040EB"/>
    <w:rsid w:val="00307985"/>
    <w:rsid w:val="0031018B"/>
    <w:rsid w:val="00310680"/>
    <w:rsid w:val="00310955"/>
    <w:rsid w:val="00312C8E"/>
    <w:rsid w:val="00312CE0"/>
    <w:rsid w:val="00313CA2"/>
    <w:rsid w:val="0031436F"/>
    <w:rsid w:val="00315248"/>
    <w:rsid w:val="0032050F"/>
    <w:rsid w:val="00320A62"/>
    <w:rsid w:val="00321281"/>
    <w:rsid w:val="0032195A"/>
    <w:rsid w:val="0032266E"/>
    <w:rsid w:val="00324ED3"/>
    <w:rsid w:val="00325529"/>
    <w:rsid w:val="00327510"/>
    <w:rsid w:val="00327F65"/>
    <w:rsid w:val="003300D4"/>
    <w:rsid w:val="003311D2"/>
    <w:rsid w:val="00332EE9"/>
    <w:rsid w:val="0033326F"/>
    <w:rsid w:val="00334716"/>
    <w:rsid w:val="00334FF4"/>
    <w:rsid w:val="00337C1B"/>
    <w:rsid w:val="00337F37"/>
    <w:rsid w:val="003417B5"/>
    <w:rsid w:val="003419DC"/>
    <w:rsid w:val="003428B3"/>
    <w:rsid w:val="00343D5F"/>
    <w:rsid w:val="0034576F"/>
    <w:rsid w:val="00346DD1"/>
    <w:rsid w:val="0034703E"/>
    <w:rsid w:val="0035037B"/>
    <w:rsid w:val="00350AF4"/>
    <w:rsid w:val="00350C4B"/>
    <w:rsid w:val="003521FE"/>
    <w:rsid w:val="00353703"/>
    <w:rsid w:val="00354AD5"/>
    <w:rsid w:val="00355484"/>
    <w:rsid w:val="0035681F"/>
    <w:rsid w:val="00356D94"/>
    <w:rsid w:val="00357FFC"/>
    <w:rsid w:val="00361B6C"/>
    <w:rsid w:val="00361D50"/>
    <w:rsid w:val="0036261F"/>
    <w:rsid w:val="003633ED"/>
    <w:rsid w:val="003639D4"/>
    <w:rsid w:val="00363F52"/>
    <w:rsid w:val="003649C9"/>
    <w:rsid w:val="00364A97"/>
    <w:rsid w:val="00364FF7"/>
    <w:rsid w:val="00365180"/>
    <w:rsid w:val="00365DAB"/>
    <w:rsid w:val="0036608C"/>
    <w:rsid w:val="003678A7"/>
    <w:rsid w:val="003709D4"/>
    <w:rsid w:val="00370A51"/>
    <w:rsid w:val="00370A96"/>
    <w:rsid w:val="00371A15"/>
    <w:rsid w:val="00372557"/>
    <w:rsid w:val="00373B2F"/>
    <w:rsid w:val="003740CF"/>
    <w:rsid w:val="00374CA6"/>
    <w:rsid w:val="003764FE"/>
    <w:rsid w:val="00380FF9"/>
    <w:rsid w:val="0038163A"/>
    <w:rsid w:val="00381694"/>
    <w:rsid w:val="00381B1F"/>
    <w:rsid w:val="0038230B"/>
    <w:rsid w:val="00383A7E"/>
    <w:rsid w:val="0038445A"/>
    <w:rsid w:val="00384539"/>
    <w:rsid w:val="00384C57"/>
    <w:rsid w:val="00385CA3"/>
    <w:rsid w:val="00385F25"/>
    <w:rsid w:val="00386ECB"/>
    <w:rsid w:val="00387280"/>
    <w:rsid w:val="00387B36"/>
    <w:rsid w:val="00391B67"/>
    <w:rsid w:val="003926C3"/>
    <w:rsid w:val="00392AE9"/>
    <w:rsid w:val="00394F6D"/>
    <w:rsid w:val="0039537A"/>
    <w:rsid w:val="003955D4"/>
    <w:rsid w:val="0039784B"/>
    <w:rsid w:val="00397DBB"/>
    <w:rsid w:val="003A09DE"/>
    <w:rsid w:val="003A0F0B"/>
    <w:rsid w:val="003A251E"/>
    <w:rsid w:val="003A28E7"/>
    <w:rsid w:val="003A2EBF"/>
    <w:rsid w:val="003A3A13"/>
    <w:rsid w:val="003A4010"/>
    <w:rsid w:val="003A449C"/>
    <w:rsid w:val="003A7B97"/>
    <w:rsid w:val="003A7CE1"/>
    <w:rsid w:val="003B0E35"/>
    <w:rsid w:val="003B0F7C"/>
    <w:rsid w:val="003B1840"/>
    <w:rsid w:val="003B2BEF"/>
    <w:rsid w:val="003B37D8"/>
    <w:rsid w:val="003B7AF1"/>
    <w:rsid w:val="003B7D00"/>
    <w:rsid w:val="003B7E7E"/>
    <w:rsid w:val="003C1352"/>
    <w:rsid w:val="003C1629"/>
    <w:rsid w:val="003C197E"/>
    <w:rsid w:val="003C3A86"/>
    <w:rsid w:val="003C4D7E"/>
    <w:rsid w:val="003C5630"/>
    <w:rsid w:val="003C5AE2"/>
    <w:rsid w:val="003C68DB"/>
    <w:rsid w:val="003C7142"/>
    <w:rsid w:val="003D1791"/>
    <w:rsid w:val="003D1C13"/>
    <w:rsid w:val="003D24B9"/>
    <w:rsid w:val="003D2628"/>
    <w:rsid w:val="003D2787"/>
    <w:rsid w:val="003D2862"/>
    <w:rsid w:val="003D414A"/>
    <w:rsid w:val="003D4371"/>
    <w:rsid w:val="003D6FD6"/>
    <w:rsid w:val="003D7C44"/>
    <w:rsid w:val="003E07E9"/>
    <w:rsid w:val="003E19B4"/>
    <w:rsid w:val="003E2532"/>
    <w:rsid w:val="003E4312"/>
    <w:rsid w:val="003E4824"/>
    <w:rsid w:val="003E54D1"/>
    <w:rsid w:val="003E7100"/>
    <w:rsid w:val="003E74D0"/>
    <w:rsid w:val="003E75E3"/>
    <w:rsid w:val="003F0938"/>
    <w:rsid w:val="003F282B"/>
    <w:rsid w:val="003F38DE"/>
    <w:rsid w:val="003F39E3"/>
    <w:rsid w:val="003F3AE7"/>
    <w:rsid w:val="003F68EF"/>
    <w:rsid w:val="003F697B"/>
    <w:rsid w:val="00400101"/>
    <w:rsid w:val="00402A72"/>
    <w:rsid w:val="0040320F"/>
    <w:rsid w:val="004042F8"/>
    <w:rsid w:val="0040492E"/>
    <w:rsid w:val="00404D52"/>
    <w:rsid w:val="0040543F"/>
    <w:rsid w:val="00405E47"/>
    <w:rsid w:val="00406C1D"/>
    <w:rsid w:val="00407711"/>
    <w:rsid w:val="00407CC4"/>
    <w:rsid w:val="00410353"/>
    <w:rsid w:val="00411DF9"/>
    <w:rsid w:val="00414BE5"/>
    <w:rsid w:val="00416456"/>
    <w:rsid w:val="00417E91"/>
    <w:rsid w:val="00420288"/>
    <w:rsid w:val="00420480"/>
    <w:rsid w:val="00424440"/>
    <w:rsid w:val="00425238"/>
    <w:rsid w:val="00426DE8"/>
    <w:rsid w:val="004272E5"/>
    <w:rsid w:val="00431761"/>
    <w:rsid w:val="00433871"/>
    <w:rsid w:val="00434442"/>
    <w:rsid w:val="00434E11"/>
    <w:rsid w:val="0043627B"/>
    <w:rsid w:val="0043674E"/>
    <w:rsid w:val="004367FB"/>
    <w:rsid w:val="0043741B"/>
    <w:rsid w:val="00437A8F"/>
    <w:rsid w:val="00440805"/>
    <w:rsid w:val="00442605"/>
    <w:rsid w:val="00442CD2"/>
    <w:rsid w:val="004440AD"/>
    <w:rsid w:val="00444C7F"/>
    <w:rsid w:val="00446412"/>
    <w:rsid w:val="004469D5"/>
    <w:rsid w:val="00450036"/>
    <w:rsid w:val="00450948"/>
    <w:rsid w:val="00450EBE"/>
    <w:rsid w:val="0045322F"/>
    <w:rsid w:val="0045485C"/>
    <w:rsid w:val="00454873"/>
    <w:rsid w:val="00456E37"/>
    <w:rsid w:val="00457357"/>
    <w:rsid w:val="004601B8"/>
    <w:rsid w:val="004609D9"/>
    <w:rsid w:val="00461801"/>
    <w:rsid w:val="00461F07"/>
    <w:rsid w:val="00462056"/>
    <w:rsid w:val="00462FA8"/>
    <w:rsid w:val="00463A1B"/>
    <w:rsid w:val="0046606E"/>
    <w:rsid w:val="00466D85"/>
    <w:rsid w:val="0047016B"/>
    <w:rsid w:val="00471393"/>
    <w:rsid w:val="004731FB"/>
    <w:rsid w:val="00473878"/>
    <w:rsid w:val="004738E5"/>
    <w:rsid w:val="00474045"/>
    <w:rsid w:val="0047467C"/>
    <w:rsid w:val="00474725"/>
    <w:rsid w:val="00480753"/>
    <w:rsid w:val="004831DA"/>
    <w:rsid w:val="004836A1"/>
    <w:rsid w:val="00486843"/>
    <w:rsid w:val="0048717F"/>
    <w:rsid w:val="004875DF"/>
    <w:rsid w:val="00490B54"/>
    <w:rsid w:val="00491CEA"/>
    <w:rsid w:val="00491F4E"/>
    <w:rsid w:val="004925BB"/>
    <w:rsid w:val="004931C3"/>
    <w:rsid w:val="0049465E"/>
    <w:rsid w:val="00495054"/>
    <w:rsid w:val="00495ECB"/>
    <w:rsid w:val="004962E5"/>
    <w:rsid w:val="00497156"/>
    <w:rsid w:val="00497434"/>
    <w:rsid w:val="004974B7"/>
    <w:rsid w:val="00497D4C"/>
    <w:rsid w:val="00497E89"/>
    <w:rsid w:val="004A0129"/>
    <w:rsid w:val="004A01A9"/>
    <w:rsid w:val="004A1B0A"/>
    <w:rsid w:val="004A24D5"/>
    <w:rsid w:val="004A2A41"/>
    <w:rsid w:val="004A47FE"/>
    <w:rsid w:val="004A56B8"/>
    <w:rsid w:val="004B0FEA"/>
    <w:rsid w:val="004B109F"/>
    <w:rsid w:val="004B230D"/>
    <w:rsid w:val="004B2B1C"/>
    <w:rsid w:val="004B352E"/>
    <w:rsid w:val="004B62A6"/>
    <w:rsid w:val="004B6B61"/>
    <w:rsid w:val="004B7F43"/>
    <w:rsid w:val="004C1E08"/>
    <w:rsid w:val="004C26BB"/>
    <w:rsid w:val="004C3755"/>
    <w:rsid w:val="004C4A2D"/>
    <w:rsid w:val="004C6B5F"/>
    <w:rsid w:val="004C6FBA"/>
    <w:rsid w:val="004C79CE"/>
    <w:rsid w:val="004C7E55"/>
    <w:rsid w:val="004D0969"/>
    <w:rsid w:val="004D0F25"/>
    <w:rsid w:val="004D0FDD"/>
    <w:rsid w:val="004D1350"/>
    <w:rsid w:val="004D1BE7"/>
    <w:rsid w:val="004D454C"/>
    <w:rsid w:val="004E28E4"/>
    <w:rsid w:val="004E2C43"/>
    <w:rsid w:val="004E31BE"/>
    <w:rsid w:val="004E4D26"/>
    <w:rsid w:val="004E4F19"/>
    <w:rsid w:val="004E7B96"/>
    <w:rsid w:val="004E7F7C"/>
    <w:rsid w:val="004F115D"/>
    <w:rsid w:val="004F1DB9"/>
    <w:rsid w:val="004F31B8"/>
    <w:rsid w:val="004F327E"/>
    <w:rsid w:val="004F4207"/>
    <w:rsid w:val="004F4729"/>
    <w:rsid w:val="004F4CB4"/>
    <w:rsid w:val="004F5592"/>
    <w:rsid w:val="004F55F0"/>
    <w:rsid w:val="004F5A40"/>
    <w:rsid w:val="004F6D00"/>
    <w:rsid w:val="004F7194"/>
    <w:rsid w:val="004F7C3E"/>
    <w:rsid w:val="005007DD"/>
    <w:rsid w:val="00501809"/>
    <w:rsid w:val="00501949"/>
    <w:rsid w:val="00501F8A"/>
    <w:rsid w:val="005035A7"/>
    <w:rsid w:val="00503667"/>
    <w:rsid w:val="005055C6"/>
    <w:rsid w:val="005058FF"/>
    <w:rsid w:val="00510480"/>
    <w:rsid w:val="005119B9"/>
    <w:rsid w:val="00513450"/>
    <w:rsid w:val="00513EA5"/>
    <w:rsid w:val="00514B4D"/>
    <w:rsid w:val="005212DF"/>
    <w:rsid w:val="00521495"/>
    <w:rsid w:val="0052251E"/>
    <w:rsid w:val="00524B63"/>
    <w:rsid w:val="005257FC"/>
    <w:rsid w:val="00526BED"/>
    <w:rsid w:val="005276FE"/>
    <w:rsid w:val="00527A88"/>
    <w:rsid w:val="00527FFB"/>
    <w:rsid w:val="005305DE"/>
    <w:rsid w:val="00531EE0"/>
    <w:rsid w:val="0053205B"/>
    <w:rsid w:val="0053321C"/>
    <w:rsid w:val="00535758"/>
    <w:rsid w:val="005376D4"/>
    <w:rsid w:val="00540F33"/>
    <w:rsid w:val="0054153D"/>
    <w:rsid w:val="005419A1"/>
    <w:rsid w:val="005419C8"/>
    <w:rsid w:val="005426BB"/>
    <w:rsid w:val="005433B3"/>
    <w:rsid w:val="00543F6B"/>
    <w:rsid w:val="0054461B"/>
    <w:rsid w:val="005448AE"/>
    <w:rsid w:val="0054662F"/>
    <w:rsid w:val="00546F39"/>
    <w:rsid w:val="00547211"/>
    <w:rsid w:val="00547800"/>
    <w:rsid w:val="00547D71"/>
    <w:rsid w:val="005504DC"/>
    <w:rsid w:val="00550ECF"/>
    <w:rsid w:val="0055125F"/>
    <w:rsid w:val="00551EFC"/>
    <w:rsid w:val="00551FA0"/>
    <w:rsid w:val="00554F5D"/>
    <w:rsid w:val="00555EBC"/>
    <w:rsid w:val="00555F00"/>
    <w:rsid w:val="00556D5A"/>
    <w:rsid w:val="00556E28"/>
    <w:rsid w:val="00556F1C"/>
    <w:rsid w:val="005575A4"/>
    <w:rsid w:val="00560DD8"/>
    <w:rsid w:val="005635C7"/>
    <w:rsid w:val="005640EC"/>
    <w:rsid w:val="00564900"/>
    <w:rsid w:val="00565758"/>
    <w:rsid w:val="00566323"/>
    <w:rsid w:val="00566FEB"/>
    <w:rsid w:val="00567B8B"/>
    <w:rsid w:val="00567F94"/>
    <w:rsid w:val="00570D77"/>
    <w:rsid w:val="00571D91"/>
    <w:rsid w:val="00572ABA"/>
    <w:rsid w:val="0057336C"/>
    <w:rsid w:val="00573427"/>
    <w:rsid w:val="00573DA7"/>
    <w:rsid w:val="005764CD"/>
    <w:rsid w:val="00576A92"/>
    <w:rsid w:val="005808EE"/>
    <w:rsid w:val="00581122"/>
    <w:rsid w:val="00581B34"/>
    <w:rsid w:val="00581D2A"/>
    <w:rsid w:val="0058375B"/>
    <w:rsid w:val="00584102"/>
    <w:rsid w:val="00584329"/>
    <w:rsid w:val="005843BE"/>
    <w:rsid w:val="0058485E"/>
    <w:rsid w:val="00584939"/>
    <w:rsid w:val="00584BAE"/>
    <w:rsid w:val="005850E3"/>
    <w:rsid w:val="00585112"/>
    <w:rsid w:val="00585AE2"/>
    <w:rsid w:val="00585E83"/>
    <w:rsid w:val="00586810"/>
    <w:rsid w:val="00586E5B"/>
    <w:rsid w:val="0059116A"/>
    <w:rsid w:val="00592D0E"/>
    <w:rsid w:val="005946C8"/>
    <w:rsid w:val="00594D66"/>
    <w:rsid w:val="00594DF9"/>
    <w:rsid w:val="005958E8"/>
    <w:rsid w:val="005971AA"/>
    <w:rsid w:val="0059752E"/>
    <w:rsid w:val="00597818"/>
    <w:rsid w:val="005A3EAF"/>
    <w:rsid w:val="005A3F06"/>
    <w:rsid w:val="005A4BBE"/>
    <w:rsid w:val="005A59C7"/>
    <w:rsid w:val="005A6ADC"/>
    <w:rsid w:val="005A7108"/>
    <w:rsid w:val="005A77CC"/>
    <w:rsid w:val="005B0F81"/>
    <w:rsid w:val="005B1DCD"/>
    <w:rsid w:val="005B22DE"/>
    <w:rsid w:val="005B2D88"/>
    <w:rsid w:val="005B41F4"/>
    <w:rsid w:val="005B6A2B"/>
    <w:rsid w:val="005B7C9A"/>
    <w:rsid w:val="005C004A"/>
    <w:rsid w:val="005C0ACF"/>
    <w:rsid w:val="005C0D15"/>
    <w:rsid w:val="005C167A"/>
    <w:rsid w:val="005C30B0"/>
    <w:rsid w:val="005C407F"/>
    <w:rsid w:val="005C45B1"/>
    <w:rsid w:val="005C5552"/>
    <w:rsid w:val="005C7939"/>
    <w:rsid w:val="005D16BE"/>
    <w:rsid w:val="005D2542"/>
    <w:rsid w:val="005D263B"/>
    <w:rsid w:val="005D32D3"/>
    <w:rsid w:val="005D47C5"/>
    <w:rsid w:val="005D5A97"/>
    <w:rsid w:val="005D7A72"/>
    <w:rsid w:val="005D7AC0"/>
    <w:rsid w:val="005E2374"/>
    <w:rsid w:val="005E2655"/>
    <w:rsid w:val="005E4CD3"/>
    <w:rsid w:val="005E4E59"/>
    <w:rsid w:val="005E57F2"/>
    <w:rsid w:val="005E5EC0"/>
    <w:rsid w:val="005E5EF8"/>
    <w:rsid w:val="005F1C98"/>
    <w:rsid w:val="005F2E20"/>
    <w:rsid w:val="005F4CE0"/>
    <w:rsid w:val="005F4DA4"/>
    <w:rsid w:val="005F54AD"/>
    <w:rsid w:val="005F57D4"/>
    <w:rsid w:val="005F5C77"/>
    <w:rsid w:val="005F6060"/>
    <w:rsid w:val="005F7962"/>
    <w:rsid w:val="005F7F81"/>
    <w:rsid w:val="00601C6B"/>
    <w:rsid w:val="00603C4A"/>
    <w:rsid w:val="00603F60"/>
    <w:rsid w:val="00606F64"/>
    <w:rsid w:val="006073DB"/>
    <w:rsid w:val="00612280"/>
    <w:rsid w:val="0061254B"/>
    <w:rsid w:val="006146B6"/>
    <w:rsid w:val="00616095"/>
    <w:rsid w:val="0061690D"/>
    <w:rsid w:val="00616962"/>
    <w:rsid w:val="006174C2"/>
    <w:rsid w:val="006205F4"/>
    <w:rsid w:val="00620C89"/>
    <w:rsid w:val="0062142D"/>
    <w:rsid w:val="00621669"/>
    <w:rsid w:val="00621943"/>
    <w:rsid w:val="00625497"/>
    <w:rsid w:val="00626263"/>
    <w:rsid w:val="00626383"/>
    <w:rsid w:val="00626A49"/>
    <w:rsid w:val="00627276"/>
    <w:rsid w:val="00627CE7"/>
    <w:rsid w:val="00630598"/>
    <w:rsid w:val="006309B6"/>
    <w:rsid w:val="006312B2"/>
    <w:rsid w:val="006324F2"/>
    <w:rsid w:val="00633128"/>
    <w:rsid w:val="00635C8C"/>
    <w:rsid w:val="006375B8"/>
    <w:rsid w:val="00637E4C"/>
    <w:rsid w:val="00640BE1"/>
    <w:rsid w:val="00641311"/>
    <w:rsid w:val="006418BE"/>
    <w:rsid w:val="00643430"/>
    <w:rsid w:val="0064402A"/>
    <w:rsid w:val="00644466"/>
    <w:rsid w:val="006468E8"/>
    <w:rsid w:val="00650B90"/>
    <w:rsid w:val="00650E1E"/>
    <w:rsid w:val="00650FA1"/>
    <w:rsid w:val="00652C6D"/>
    <w:rsid w:val="00653231"/>
    <w:rsid w:val="00654584"/>
    <w:rsid w:val="00654636"/>
    <w:rsid w:val="0065571A"/>
    <w:rsid w:val="00655C4C"/>
    <w:rsid w:val="00657968"/>
    <w:rsid w:val="00657ADC"/>
    <w:rsid w:val="00657EE9"/>
    <w:rsid w:val="0066047A"/>
    <w:rsid w:val="00661128"/>
    <w:rsid w:val="00661595"/>
    <w:rsid w:val="006617AA"/>
    <w:rsid w:val="0066208B"/>
    <w:rsid w:val="0066327D"/>
    <w:rsid w:val="00664180"/>
    <w:rsid w:val="00664650"/>
    <w:rsid w:val="00664870"/>
    <w:rsid w:val="006648E2"/>
    <w:rsid w:val="00664921"/>
    <w:rsid w:val="00665942"/>
    <w:rsid w:val="00671253"/>
    <w:rsid w:val="00673295"/>
    <w:rsid w:val="006736EF"/>
    <w:rsid w:val="00674015"/>
    <w:rsid w:val="00675125"/>
    <w:rsid w:val="00675948"/>
    <w:rsid w:val="00675D71"/>
    <w:rsid w:val="0067655E"/>
    <w:rsid w:val="006772D8"/>
    <w:rsid w:val="00677968"/>
    <w:rsid w:val="00680739"/>
    <w:rsid w:val="006816CD"/>
    <w:rsid w:val="00683358"/>
    <w:rsid w:val="00683F63"/>
    <w:rsid w:val="00685370"/>
    <w:rsid w:val="00686D7C"/>
    <w:rsid w:val="00687826"/>
    <w:rsid w:val="006919C9"/>
    <w:rsid w:val="006949C1"/>
    <w:rsid w:val="00694F35"/>
    <w:rsid w:val="00695B65"/>
    <w:rsid w:val="00695DF6"/>
    <w:rsid w:val="0069671E"/>
    <w:rsid w:val="00696B00"/>
    <w:rsid w:val="00696E8A"/>
    <w:rsid w:val="00697152"/>
    <w:rsid w:val="006A0FD1"/>
    <w:rsid w:val="006A3DD2"/>
    <w:rsid w:val="006A4581"/>
    <w:rsid w:val="006A5BE7"/>
    <w:rsid w:val="006A67AB"/>
    <w:rsid w:val="006A6A1E"/>
    <w:rsid w:val="006A6E22"/>
    <w:rsid w:val="006B2543"/>
    <w:rsid w:val="006B269D"/>
    <w:rsid w:val="006B2922"/>
    <w:rsid w:val="006B32A2"/>
    <w:rsid w:val="006B43D0"/>
    <w:rsid w:val="006B4C53"/>
    <w:rsid w:val="006B508E"/>
    <w:rsid w:val="006B58BE"/>
    <w:rsid w:val="006B5DD8"/>
    <w:rsid w:val="006B75F0"/>
    <w:rsid w:val="006C0427"/>
    <w:rsid w:val="006C372A"/>
    <w:rsid w:val="006C3A8F"/>
    <w:rsid w:val="006C506F"/>
    <w:rsid w:val="006C5C03"/>
    <w:rsid w:val="006C5ECB"/>
    <w:rsid w:val="006C5F80"/>
    <w:rsid w:val="006C65FA"/>
    <w:rsid w:val="006C6AF4"/>
    <w:rsid w:val="006C6C86"/>
    <w:rsid w:val="006C7419"/>
    <w:rsid w:val="006C7765"/>
    <w:rsid w:val="006C79E6"/>
    <w:rsid w:val="006D007F"/>
    <w:rsid w:val="006D0E82"/>
    <w:rsid w:val="006D111E"/>
    <w:rsid w:val="006D30A0"/>
    <w:rsid w:val="006D34B6"/>
    <w:rsid w:val="006D35D9"/>
    <w:rsid w:val="006D3910"/>
    <w:rsid w:val="006D3D74"/>
    <w:rsid w:val="006D3F15"/>
    <w:rsid w:val="006D3F2D"/>
    <w:rsid w:val="006D41FE"/>
    <w:rsid w:val="006D4644"/>
    <w:rsid w:val="006D47DD"/>
    <w:rsid w:val="006D65E9"/>
    <w:rsid w:val="006D7A6C"/>
    <w:rsid w:val="006D7ADC"/>
    <w:rsid w:val="006E0303"/>
    <w:rsid w:val="006E054C"/>
    <w:rsid w:val="006E220B"/>
    <w:rsid w:val="006E250E"/>
    <w:rsid w:val="006E3AF0"/>
    <w:rsid w:val="006E5269"/>
    <w:rsid w:val="006E584E"/>
    <w:rsid w:val="006E5CFF"/>
    <w:rsid w:val="006E66A7"/>
    <w:rsid w:val="006F0A70"/>
    <w:rsid w:val="006F2136"/>
    <w:rsid w:val="006F4497"/>
    <w:rsid w:val="006F53FB"/>
    <w:rsid w:val="006F6D1A"/>
    <w:rsid w:val="006F7961"/>
    <w:rsid w:val="0070133A"/>
    <w:rsid w:val="00702B30"/>
    <w:rsid w:val="0070302E"/>
    <w:rsid w:val="007034D6"/>
    <w:rsid w:val="00703960"/>
    <w:rsid w:val="0070489E"/>
    <w:rsid w:val="007051F0"/>
    <w:rsid w:val="00706244"/>
    <w:rsid w:val="00707EA5"/>
    <w:rsid w:val="00711442"/>
    <w:rsid w:val="007118B7"/>
    <w:rsid w:val="00713418"/>
    <w:rsid w:val="00714C91"/>
    <w:rsid w:val="00714FB5"/>
    <w:rsid w:val="0071767A"/>
    <w:rsid w:val="00717ADA"/>
    <w:rsid w:val="00717F96"/>
    <w:rsid w:val="007200C3"/>
    <w:rsid w:val="00720BF7"/>
    <w:rsid w:val="007212B2"/>
    <w:rsid w:val="00725244"/>
    <w:rsid w:val="00727394"/>
    <w:rsid w:val="0073165B"/>
    <w:rsid w:val="00733D2F"/>
    <w:rsid w:val="00735CFF"/>
    <w:rsid w:val="00736A11"/>
    <w:rsid w:val="007409D3"/>
    <w:rsid w:val="00740ACB"/>
    <w:rsid w:val="00741CCA"/>
    <w:rsid w:val="007421C0"/>
    <w:rsid w:val="007428AF"/>
    <w:rsid w:val="00742A0C"/>
    <w:rsid w:val="00742FAC"/>
    <w:rsid w:val="00743524"/>
    <w:rsid w:val="00743572"/>
    <w:rsid w:val="007437A4"/>
    <w:rsid w:val="00743914"/>
    <w:rsid w:val="00744FD0"/>
    <w:rsid w:val="00745522"/>
    <w:rsid w:val="00746BA7"/>
    <w:rsid w:val="00747C5B"/>
    <w:rsid w:val="00747EFE"/>
    <w:rsid w:val="0075036C"/>
    <w:rsid w:val="00750A98"/>
    <w:rsid w:val="007511F2"/>
    <w:rsid w:val="00752786"/>
    <w:rsid w:val="00752CAF"/>
    <w:rsid w:val="007549FC"/>
    <w:rsid w:val="00755384"/>
    <w:rsid w:val="00756656"/>
    <w:rsid w:val="00756DE9"/>
    <w:rsid w:val="007574C1"/>
    <w:rsid w:val="00757A93"/>
    <w:rsid w:val="00757F5E"/>
    <w:rsid w:val="00760982"/>
    <w:rsid w:val="00761362"/>
    <w:rsid w:val="00763BC1"/>
    <w:rsid w:val="007665AE"/>
    <w:rsid w:val="00766929"/>
    <w:rsid w:val="00767C4C"/>
    <w:rsid w:val="00767D4C"/>
    <w:rsid w:val="0077091C"/>
    <w:rsid w:val="007710B0"/>
    <w:rsid w:val="007723ED"/>
    <w:rsid w:val="0077480E"/>
    <w:rsid w:val="007749E7"/>
    <w:rsid w:val="0077601C"/>
    <w:rsid w:val="00776D06"/>
    <w:rsid w:val="0077728B"/>
    <w:rsid w:val="00777757"/>
    <w:rsid w:val="0077794A"/>
    <w:rsid w:val="00780111"/>
    <w:rsid w:val="0078094C"/>
    <w:rsid w:val="0078113A"/>
    <w:rsid w:val="007812B0"/>
    <w:rsid w:val="00782D76"/>
    <w:rsid w:val="00783150"/>
    <w:rsid w:val="0078319E"/>
    <w:rsid w:val="00784427"/>
    <w:rsid w:val="00784EEA"/>
    <w:rsid w:val="0078528E"/>
    <w:rsid w:val="00785B77"/>
    <w:rsid w:val="007865C0"/>
    <w:rsid w:val="0078741D"/>
    <w:rsid w:val="00787446"/>
    <w:rsid w:val="007905A9"/>
    <w:rsid w:val="007908AA"/>
    <w:rsid w:val="00790B33"/>
    <w:rsid w:val="0079202C"/>
    <w:rsid w:val="007937B1"/>
    <w:rsid w:val="00793D20"/>
    <w:rsid w:val="00794A6F"/>
    <w:rsid w:val="0079638A"/>
    <w:rsid w:val="00797ABC"/>
    <w:rsid w:val="007A0014"/>
    <w:rsid w:val="007A0822"/>
    <w:rsid w:val="007A1A18"/>
    <w:rsid w:val="007A1EBE"/>
    <w:rsid w:val="007A270A"/>
    <w:rsid w:val="007A3BB3"/>
    <w:rsid w:val="007A753A"/>
    <w:rsid w:val="007A7731"/>
    <w:rsid w:val="007B1011"/>
    <w:rsid w:val="007B1939"/>
    <w:rsid w:val="007B1AE8"/>
    <w:rsid w:val="007B2306"/>
    <w:rsid w:val="007B37C0"/>
    <w:rsid w:val="007B3B7F"/>
    <w:rsid w:val="007B3D0C"/>
    <w:rsid w:val="007B4B7E"/>
    <w:rsid w:val="007B726C"/>
    <w:rsid w:val="007B7643"/>
    <w:rsid w:val="007B7A53"/>
    <w:rsid w:val="007C07BE"/>
    <w:rsid w:val="007C1A02"/>
    <w:rsid w:val="007C1C3E"/>
    <w:rsid w:val="007C2FE9"/>
    <w:rsid w:val="007C31A4"/>
    <w:rsid w:val="007C53EE"/>
    <w:rsid w:val="007C69EF"/>
    <w:rsid w:val="007C6B84"/>
    <w:rsid w:val="007C6E91"/>
    <w:rsid w:val="007C7EF4"/>
    <w:rsid w:val="007D0400"/>
    <w:rsid w:val="007D052F"/>
    <w:rsid w:val="007D2EBE"/>
    <w:rsid w:val="007D3FB7"/>
    <w:rsid w:val="007D4452"/>
    <w:rsid w:val="007D45D2"/>
    <w:rsid w:val="007D4DDE"/>
    <w:rsid w:val="007D5575"/>
    <w:rsid w:val="007D5FED"/>
    <w:rsid w:val="007D6381"/>
    <w:rsid w:val="007D6FDF"/>
    <w:rsid w:val="007E0465"/>
    <w:rsid w:val="007E2FD4"/>
    <w:rsid w:val="007E3D81"/>
    <w:rsid w:val="007E5007"/>
    <w:rsid w:val="007E58B3"/>
    <w:rsid w:val="007E6BBE"/>
    <w:rsid w:val="007E7111"/>
    <w:rsid w:val="007E7144"/>
    <w:rsid w:val="007F0B94"/>
    <w:rsid w:val="007F13F5"/>
    <w:rsid w:val="007F1AB3"/>
    <w:rsid w:val="007F295A"/>
    <w:rsid w:val="007F3C1E"/>
    <w:rsid w:val="007F69E2"/>
    <w:rsid w:val="007F7430"/>
    <w:rsid w:val="00800261"/>
    <w:rsid w:val="00802DEF"/>
    <w:rsid w:val="00803B99"/>
    <w:rsid w:val="00804A2E"/>
    <w:rsid w:val="00804A9E"/>
    <w:rsid w:val="0080633A"/>
    <w:rsid w:val="00806BCF"/>
    <w:rsid w:val="0080771C"/>
    <w:rsid w:val="00810DC5"/>
    <w:rsid w:val="00810DCB"/>
    <w:rsid w:val="00810E53"/>
    <w:rsid w:val="00811A1D"/>
    <w:rsid w:val="00813B91"/>
    <w:rsid w:val="00814A4B"/>
    <w:rsid w:val="008152AC"/>
    <w:rsid w:val="008154D8"/>
    <w:rsid w:val="008155A5"/>
    <w:rsid w:val="0081651F"/>
    <w:rsid w:val="008167E4"/>
    <w:rsid w:val="008201F5"/>
    <w:rsid w:val="0082135B"/>
    <w:rsid w:val="00821888"/>
    <w:rsid w:val="00822270"/>
    <w:rsid w:val="0082345C"/>
    <w:rsid w:val="00823629"/>
    <w:rsid w:val="00823C65"/>
    <w:rsid w:val="008278F8"/>
    <w:rsid w:val="00827E4D"/>
    <w:rsid w:val="00830E2F"/>
    <w:rsid w:val="00830FF6"/>
    <w:rsid w:val="0083138C"/>
    <w:rsid w:val="00831E56"/>
    <w:rsid w:val="0083214C"/>
    <w:rsid w:val="0083248F"/>
    <w:rsid w:val="00832AA3"/>
    <w:rsid w:val="00833964"/>
    <w:rsid w:val="00834F75"/>
    <w:rsid w:val="00835C55"/>
    <w:rsid w:val="00836076"/>
    <w:rsid w:val="00836AF5"/>
    <w:rsid w:val="00837071"/>
    <w:rsid w:val="0083775C"/>
    <w:rsid w:val="00837A32"/>
    <w:rsid w:val="00840345"/>
    <w:rsid w:val="00842F07"/>
    <w:rsid w:val="0084302A"/>
    <w:rsid w:val="00843EE3"/>
    <w:rsid w:val="00844363"/>
    <w:rsid w:val="00844FF3"/>
    <w:rsid w:val="0084585E"/>
    <w:rsid w:val="00846EB6"/>
    <w:rsid w:val="008478CA"/>
    <w:rsid w:val="0085099A"/>
    <w:rsid w:val="0085144F"/>
    <w:rsid w:val="00853328"/>
    <w:rsid w:val="008538DE"/>
    <w:rsid w:val="00856C61"/>
    <w:rsid w:val="0086019C"/>
    <w:rsid w:val="008601BB"/>
    <w:rsid w:val="00860612"/>
    <w:rsid w:val="00862094"/>
    <w:rsid w:val="00863FFD"/>
    <w:rsid w:val="00864794"/>
    <w:rsid w:val="008659DC"/>
    <w:rsid w:val="00865F3B"/>
    <w:rsid w:val="008661A0"/>
    <w:rsid w:val="00867926"/>
    <w:rsid w:val="008700C7"/>
    <w:rsid w:val="008703D8"/>
    <w:rsid w:val="00871342"/>
    <w:rsid w:val="008714F4"/>
    <w:rsid w:val="00871FAC"/>
    <w:rsid w:val="00872C1C"/>
    <w:rsid w:val="00873A0D"/>
    <w:rsid w:val="00875D25"/>
    <w:rsid w:val="00875E46"/>
    <w:rsid w:val="00876C1B"/>
    <w:rsid w:val="00876D2F"/>
    <w:rsid w:val="00877109"/>
    <w:rsid w:val="00877895"/>
    <w:rsid w:val="00877B7E"/>
    <w:rsid w:val="008816E1"/>
    <w:rsid w:val="0088207B"/>
    <w:rsid w:val="008832F9"/>
    <w:rsid w:val="00884F86"/>
    <w:rsid w:val="008916A9"/>
    <w:rsid w:val="00892713"/>
    <w:rsid w:val="008927E1"/>
    <w:rsid w:val="0089326E"/>
    <w:rsid w:val="008940EB"/>
    <w:rsid w:val="00894DAA"/>
    <w:rsid w:val="008956D5"/>
    <w:rsid w:val="00896B74"/>
    <w:rsid w:val="008A01AE"/>
    <w:rsid w:val="008A07F6"/>
    <w:rsid w:val="008A0F1E"/>
    <w:rsid w:val="008A382C"/>
    <w:rsid w:val="008A3B93"/>
    <w:rsid w:val="008A3ED9"/>
    <w:rsid w:val="008A472C"/>
    <w:rsid w:val="008A525B"/>
    <w:rsid w:val="008A57CF"/>
    <w:rsid w:val="008B0128"/>
    <w:rsid w:val="008B038A"/>
    <w:rsid w:val="008B1379"/>
    <w:rsid w:val="008B1D54"/>
    <w:rsid w:val="008B1D5E"/>
    <w:rsid w:val="008B1E54"/>
    <w:rsid w:val="008B3ED9"/>
    <w:rsid w:val="008B47D5"/>
    <w:rsid w:val="008B491D"/>
    <w:rsid w:val="008B5996"/>
    <w:rsid w:val="008B614B"/>
    <w:rsid w:val="008B62EF"/>
    <w:rsid w:val="008C057A"/>
    <w:rsid w:val="008C06D9"/>
    <w:rsid w:val="008C0B4E"/>
    <w:rsid w:val="008C1579"/>
    <w:rsid w:val="008C196C"/>
    <w:rsid w:val="008C2D1F"/>
    <w:rsid w:val="008C405F"/>
    <w:rsid w:val="008C570A"/>
    <w:rsid w:val="008C6D08"/>
    <w:rsid w:val="008C7CF5"/>
    <w:rsid w:val="008D131D"/>
    <w:rsid w:val="008D212D"/>
    <w:rsid w:val="008D29D9"/>
    <w:rsid w:val="008D2C4F"/>
    <w:rsid w:val="008D372D"/>
    <w:rsid w:val="008D410A"/>
    <w:rsid w:val="008D449E"/>
    <w:rsid w:val="008D591A"/>
    <w:rsid w:val="008D6195"/>
    <w:rsid w:val="008D63E5"/>
    <w:rsid w:val="008D6E97"/>
    <w:rsid w:val="008D739A"/>
    <w:rsid w:val="008E0090"/>
    <w:rsid w:val="008E0F91"/>
    <w:rsid w:val="008E134D"/>
    <w:rsid w:val="008E1AD3"/>
    <w:rsid w:val="008E44C1"/>
    <w:rsid w:val="008E4F06"/>
    <w:rsid w:val="008E537D"/>
    <w:rsid w:val="008E6021"/>
    <w:rsid w:val="008E62A4"/>
    <w:rsid w:val="008E6868"/>
    <w:rsid w:val="008E6B4F"/>
    <w:rsid w:val="008E72CD"/>
    <w:rsid w:val="008E7524"/>
    <w:rsid w:val="008F0582"/>
    <w:rsid w:val="008F06A2"/>
    <w:rsid w:val="008F0A6A"/>
    <w:rsid w:val="008F1950"/>
    <w:rsid w:val="008F2164"/>
    <w:rsid w:val="008F3312"/>
    <w:rsid w:val="008F4243"/>
    <w:rsid w:val="008F5423"/>
    <w:rsid w:val="008F54A6"/>
    <w:rsid w:val="008F6134"/>
    <w:rsid w:val="008F7595"/>
    <w:rsid w:val="008F7DA3"/>
    <w:rsid w:val="00900739"/>
    <w:rsid w:val="00902653"/>
    <w:rsid w:val="00902CFC"/>
    <w:rsid w:val="00903E97"/>
    <w:rsid w:val="00904EF4"/>
    <w:rsid w:val="00905277"/>
    <w:rsid w:val="009057CB"/>
    <w:rsid w:val="00905B72"/>
    <w:rsid w:val="00906052"/>
    <w:rsid w:val="009070DB"/>
    <w:rsid w:val="00907C0C"/>
    <w:rsid w:val="009109D1"/>
    <w:rsid w:val="00910DCC"/>
    <w:rsid w:val="00911AC7"/>
    <w:rsid w:val="00911C74"/>
    <w:rsid w:val="00911D1D"/>
    <w:rsid w:val="00911F21"/>
    <w:rsid w:val="0091279B"/>
    <w:rsid w:val="00912923"/>
    <w:rsid w:val="00912AFD"/>
    <w:rsid w:val="0091304A"/>
    <w:rsid w:val="0091428C"/>
    <w:rsid w:val="009142A0"/>
    <w:rsid w:val="00914ECF"/>
    <w:rsid w:val="00915836"/>
    <w:rsid w:val="009170EA"/>
    <w:rsid w:val="00920BE6"/>
    <w:rsid w:val="00921097"/>
    <w:rsid w:val="00921FC9"/>
    <w:rsid w:val="00922482"/>
    <w:rsid w:val="00922C80"/>
    <w:rsid w:val="00924DBD"/>
    <w:rsid w:val="00924F36"/>
    <w:rsid w:val="00926DA8"/>
    <w:rsid w:val="00927022"/>
    <w:rsid w:val="0093074D"/>
    <w:rsid w:val="0093166A"/>
    <w:rsid w:val="009316A6"/>
    <w:rsid w:val="009320C8"/>
    <w:rsid w:val="009322A8"/>
    <w:rsid w:val="0093468C"/>
    <w:rsid w:val="009348E6"/>
    <w:rsid w:val="00934F07"/>
    <w:rsid w:val="00936427"/>
    <w:rsid w:val="009400E5"/>
    <w:rsid w:val="00940546"/>
    <w:rsid w:val="00940DFB"/>
    <w:rsid w:val="009411F7"/>
    <w:rsid w:val="00941567"/>
    <w:rsid w:val="00941D3B"/>
    <w:rsid w:val="00942B05"/>
    <w:rsid w:val="00942C33"/>
    <w:rsid w:val="009465FE"/>
    <w:rsid w:val="00950AD5"/>
    <w:rsid w:val="00951501"/>
    <w:rsid w:val="009516C4"/>
    <w:rsid w:val="00952891"/>
    <w:rsid w:val="0095448E"/>
    <w:rsid w:val="009559E6"/>
    <w:rsid w:val="009565AD"/>
    <w:rsid w:val="00956672"/>
    <w:rsid w:val="009569B1"/>
    <w:rsid w:val="00960249"/>
    <w:rsid w:val="00960AEC"/>
    <w:rsid w:val="009620BE"/>
    <w:rsid w:val="009621AC"/>
    <w:rsid w:val="00962D97"/>
    <w:rsid w:val="00963C2E"/>
    <w:rsid w:val="009649AA"/>
    <w:rsid w:val="00964ADC"/>
    <w:rsid w:val="00965239"/>
    <w:rsid w:val="0096527F"/>
    <w:rsid w:val="009664D1"/>
    <w:rsid w:val="00966A01"/>
    <w:rsid w:val="00966ED4"/>
    <w:rsid w:val="0097039B"/>
    <w:rsid w:val="00971343"/>
    <w:rsid w:val="009716E8"/>
    <w:rsid w:val="00971735"/>
    <w:rsid w:val="00971782"/>
    <w:rsid w:val="00972899"/>
    <w:rsid w:val="00972E91"/>
    <w:rsid w:val="00973369"/>
    <w:rsid w:val="00974CDA"/>
    <w:rsid w:val="00981ABE"/>
    <w:rsid w:val="009829F9"/>
    <w:rsid w:val="00982B1C"/>
    <w:rsid w:val="009832F9"/>
    <w:rsid w:val="00983AD1"/>
    <w:rsid w:val="00983ED0"/>
    <w:rsid w:val="009844C7"/>
    <w:rsid w:val="009845DF"/>
    <w:rsid w:val="00984D21"/>
    <w:rsid w:val="009856B2"/>
    <w:rsid w:val="009857FD"/>
    <w:rsid w:val="00987633"/>
    <w:rsid w:val="0099001A"/>
    <w:rsid w:val="009901C8"/>
    <w:rsid w:val="00990F23"/>
    <w:rsid w:val="00991B60"/>
    <w:rsid w:val="009927EE"/>
    <w:rsid w:val="00993E05"/>
    <w:rsid w:val="0099590D"/>
    <w:rsid w:val="009A13B4"/>
    <w:rsid w:val="009A15AD"/>
    <w:rsid w:val="009A1769"/>
    <w:rsid w:val="009A1FC3"/>
    <w:rsid w:val="009A5519"/>
    <w:rsid w:val="009A6085"/>
    <w:rsid w:val="009A723F"/>
    <w:rsid w:val="009B26AF"/>
    <w:rsid w:val="009B5095"/>
    <w:rsid w:val="009B5AB7"/>
    <w:rsid w:val="009B6777"/>
    <w:rsid w:val="009B7814"/>
    <w:rsid w:val="009C106F"/>
    <w:rsid w:val="009C20C3"/>
    <w:rsid w:val="009C239A"/>
    <w:rsid w:val="009C3CB7"/>
    <w:rsid w:val="009C4937"/>
    <w:rsid w:val="009C4DBD"/>
    <w:rsid w:val="009C57EA"/>
    <w:rsid w:val="009D182A"/>
    <w:rsid w:val="009D409A"/>
    <w:rsid w:val="009D5260"/>
    <w:rsid w:val="009D6872"/>
    <w:rsid w:val="009D7467"/>
    <w:rsid w:val="009D7A46"/>
    <w:rsid w:val="009E0850"/>
    <w:rsid w:val="009E0FB1"/>
    <w:rsid w:val="009E0FDE"/>
    <w:rsid w:val="009E18AB"/>
    <w:rsid w:val="009E35ED"/>
    <w:rsid w:val="009E38C9"/>
    <w:rsid w:val="009E3B10"/>
    <w:rsid w:val="009E3E3D"/>
    <w:rsid w:val="009E7242"/>
    <w:rsid w:val="009E758C"/>
    <w:rsid w:val="009F136F"/>
    <w:rsid w:val="009F14AB"/>
    <w:rsid w:val="009F17D6"/>
    <w:rsid w:val="009F2D2E"/>
    <w:rsid w:val="009F310A"/>
    <w:rsid w:val="009F36ED"/>
    <w:rsid w:val="009F4986"/>
    <w:rsid w:val="009F4ECC"/>
    <w:rsid w:val="009F5170"/>
    <w:rsid w:val="009F56FD"/>
    <w:rsid w:val="009F7CD2"/>
    <w:rsid w:val="00A0009B"/>
    <w:rsid w:val="00A003C6"/>
    <w:rsid w:val="00A01938"/>
    <w:rsid w:val="00A023E4"/>
    <w:rsid w:val="00A02D62"/>
    <w:rsid w:val="00A03AAE"/>
    <w:rsid w:val="00A04FE5"/>
    <w:rsid w:val="00A0527F"/>
    <w:rsid w:val="00A06B3E"/>
    <w:rsid w:val="00A10886"/>
    <w:rsid w:val="00A126A5"/>
    <w:rsid w:val="00A12BD8"/>
    <w:rsid w:val="00A1330F"/>
    <w:rsid w:val="00A135ED"/>
    <w:rsid w:val="00A13FBF"/>
    <w:rsid w:val="00A1411B"/>
    <w:rsid w:val="00A14DBF"/>
    <w:rsid w:val="00A1593F"/>
    <w:rsid w:val="00A17672"/>
    <w:rsid w:val="00A21836"/>
    <w:rsid w:val="00A22877"/>
    <w:rsid w:val="00A228E6"/>
    <w:rsid w:val="00A23AB2"/>
    <w:rsid w:val="00A2475B"/>
    <w:rsid w:val="00A248E8"/>
    <w:rsid w:val="00A24B65"/>
    <w:rsid w:val="00A24C66"/>
    <w:rsid w:val="00A24DF7"/>
    <w:rsid w:val="00A255BB"/>
    <w:rsid w:val="00A26D7D"/>
    <w:rsid w:val="00A27366"/>
    <w:rsid w:val="00A3303E"/>
    <w:rsid w:val="00A3316B"/>
    <w:rsid w:val="00A34C6F"/>
    <w:rsid w:val="00A34F66"/>
    <w:rsid w:val="00A36976"/>
    <w:rsid w:val="00A376A4"/>
    <w:rsid w:val="00A3772B"/>
    <w:rsid w:val="00A37BAE"/>
    <w:rsid w:val="00A4140A"/>
    <w:rsid w:val="00A41DFB"/>
    <w:rsid w:val="00A41F92"/>
    <w:rsid w:val="00A42EB6"/>
    <w:rsid w:val="00A43467"/>
    <w:rsid w:val="00A4454F"/>
    <w:rsid w:val="00A447C3"/>
    <w:rsid w:val="00A44BD4"/>
    <w:rsid w:val="00A47887"/>
    <w:rsid w:val="00A51576"/>
    <w:rsid w:val="00A51B03"/>
    <w:rsid w:val="00A52CD8"/>
    <w:rsid w:val="00A52F31"/>
    <w:rsid w:val="00A536C5"/>
    <w:rsid w:val="00A553EC"/>
    <w:rsid w:val="00A55CF7"/>
    <w:rsid w:val="00A55DB6"/>
    <w:rsid w:val="00A55EEB"/>
    <w:rsid w:val="00A5632D"/>
    <w:rsid w:val="00A56984"/>
    <w:rsid w:val="00A619A2"/>
    <w:rsid w:val="00A61A70"/>
    <w:rsid w:val="00A61C06"/>
    <w:rsid w:val="00A62A8B"/>
    <w:rsid w:val="00A63085"/>
    <w:rsid w:val="00A6688F"/>
    <w:rsid w:val="00A70B17"/>
    <w:rsid w:val="00A70BAC"/>
    <w:rsid w:val="00A716A1"/>
    <w:rsid w:val="00A74B80"/>
    <w:rsid w:val="00A74C38"/>
    <w:rsid w:val="00A771CD"/>
    <w:rsid w:val="00A77DD3"/>
    <w:rsid w:val="00A804A3"/>
    <w:rsid w:val="00A81178"/>
    <w:rsid w:val="00A83E38"/>
    <w:rsid w:val="00A846F2"/>
    <w:rsid w:val="00A8759B"/>
    <w:rsid w:val="00A87FAA"/>
    <w:rsid w:val="00A93436"/>
    <w:rsid w:val="00A93A85"/>
    <w:rsid w:val="00A959E4"/>
    <w:rsid w:val="00A9647C"/>
    <w:rsid w:val="00A967DB"/>
    <w:rsid w:val="00A96B96"/>
    <w:rsid w:val="00AA07A4"/>
    <w:rsid w:val="00AA0C51"/>
    <w:rsid w:val="00AA10D6"/>
    <w:rsid w:val="00AA1FAA"/>
    <w:rsid w:val="00AA1FCC"/>
    <w:rsid w:val="00AA3366"/>
    <w:rsid w:val="00AA3411"/>
    <w:rsid w:val="00AA4EC4"/>
    <w:rsid w:val="00AA5DD8"/>
    <w:rsid w:val="00AA64BC"/>
    <w:rsid w:val="00AA7E96"/>
    <w:rsid w:val="00AB082E"/>
    <w:rsid w:val="00AB0EFB"/>
    <w:rsid w:val="00AB13E9"/>
    <w:rsid w:val="00AB3E30"/>
    <w:rsid w:val="00AB4495"/>
    <w:rsid w:val="00AB5649"/>
    <w:rsid w:val="00AB5A4E"/>
    <w:rsid w:val="00AB68CD"/>
    <w:rsid w:val="00AC1BD3"/>
    <w:rsid w:val="00AC3DEA"/>
    <w:rsid w:val="00AC794E"/>
    <w:rsid w:val="00AC7FF7"/>
    <w:rsid w:val="00AD033A"/>
    <w:rsid w:val="00AD17BA"/>
    <w:rsid w:val="00AD23D8"/>
    <w:rsid w:val="00AD2542"/>
    <w:rsid w:val="00AD6A0C"/>
    <w:rsid w:val="00AE13B3"/>
    <w:rsid w:val="00AE179B"/>
    <w:rsid w:val="00AE1DEB"/>
    <w:rsid w:val="00AE211A"/>
    <w:rsid w:val="00AE261A"/>
    <w:rsid w:val="00AE2CC6"/>
    <w:rsid w:val="00AE5B64"/>
    <w:rsid w:val="00AE5CC1"/>
    <w:rsid w:val="00AE5EE6"/>
    <w:rsid w:val="00AE6F18"/>
    <w:rsid w:val="00AF1EBD"/>
    <w:rsid w:val="00AF31A9"/>
    <w:rsid w:val="00AF343C"/>
    <w:rsid w:val="00AF422B"/>
    <w:rsid w:val="00AF4789"/>
    <w:rsid w:val="00AF5D68"/>
    <w:rsid w:val="00AF757B"/>
    <w:rsid w:val="00AF7C82"/>
    <w:rsid w:val="00B011C5"/>
    <w:rsid w:val="00B01D93"/>
    <w:rsid w:val="00B035F4"/>
    <w:rsid w:val="00B03D42"/>
    <w:rsid w:val="00B03DDE"/>
    <w:rsid w:val="00B043A7"/>
    <w:rsid w:val="00B04C44"/>
    <w:rsid w:val="00B05AE1"/>
    <w:rsid w:val="00B10641"/>
    <w:rsid w:val="00B112C0"/>
    <w:rsid w:val="00B129BE"/>
    <w:rsid w:val="00B13B6B"/>
    <w:rsid w:val="00B14A00"/>
    <w:rsid w:val="00B14FE9"/>
    <w:rsid w:val="00B15838"/>
    <w:rsid w:val="00B169DB"/>
    <w:rsid w:val="00B20A38"/>
    <w:rsid w:val="00B224AC"/>
    <w:rsid w:val="00B2457D"/>
    <w:rsid w:val="00B249C7"/>
    <w:rsid w:val="00B24B49"/>
    <w:rsid w:val="00B25193"/>
    <w:rsid w:val="00B255AC"/>
    <w:rsid w:val="00B256AF"/>
    <w:rsid w:val="00B259F5"/>
    <w:rsid w:val="00B25D7F"/>
    <w:rsid w:val="00B277C2"/>
    <w:rsid w:val="00B304D7"/>
    <w:rsid w:val="00B305AB"/>
    <w:rsid w:val="00B309C8"/>
    <w:rsid w:val="00B31DDB"/>
    <w:rsid w:val="00B32CE3"/>
    <w:rsid w:val="00B32CE7"/>
    <w:rsid w:val="00B33599"/>
    <w:rsid w:val="00B339B1"/>
    <w:rsid w:val="00B33E3D"/>
    <w:rsid w:val="00B33FB0"/>
    <w:rsid w:val="00B34267"/>
    <w:rsid w:val="00B34731"/>
    <w:rsid w:val="00B37941"/>
    <w:rsid w:val="00B40291"/>
    <w:rsid w:val="00B40BB7"/>
    <w:rsid w:val="00B41253"/>
    <w:rsid w:val="00B413B4"/>
    <w:rsid w:val="00B42727"/>
    <w:rsid w:val="00B42F59"/>
    <w:rsid w:val="00B45950"/>
    <w:rsid w:val="00B45A42"/>
    <w:rsid w:val="00B45B2B"/>
    <w:rsid w:val="00B5017B"/>
    <w:rsid w:val="00B505F7"/>
    <w:rsid w:val="00B50C05"/>
    <w:rsid w:val="00B50F4E"/>
    <w:rsid w:val="00B52057"/>
    <w:rsid w:val="00B537AA"/>
    <w:rsid w:val="00B5384D"/>
    <w:rsid w:val="00B540FE"/>
    <w:rsid w:val="00B55D0A"/>
    <w:rsid w:val="00B57140"/>
    <w:rsid w:val="00B6043D"/>
    <w:rsid w:val="00B61DA1"/>
    <w:rsid w:val="00B64CFB"/>
    <w:rsid w:val="00B65149"/>
    <w:rsid w:val="00B65AA9"/>
    <w:rsid w:val="00B67298"/>
    <w:rsid w:val="00B725F2"/>
    <w:rsid w:val="00B73995"/>
    <w:rsid w:val="00B758C6"/>
    <w:rsid w:val="00B7591E"/>
    <w:rsid w:val="00B7645D"/>
    <w:rsid w:val="00B76498"/>
    <w:rsid w:val="00B7688E"/>
    <w:rsid w:val="00B77658"/>
    <w:rsid w:val="00B77F40"/>
    <w:rsid w:val="00B80941"/>
    <w:rsid w:val="00B81AE7"/>
    <w:rsid w:val="00B81D72"/>
    <w:rsid w:val="00B81DE9"/>
    <w:rsid w:val="00B83212"/>
    <w:rsid w:val="00B8328D"/>
    <w:rsid w:val="00B83940"/>
    <w:rsid w:val="00B8518C"/>
    <w:rsid w:val="00B91C08"/>
    <w:rsid w:val="00B91D3D"/>
    <w:rsid w:val="00B920F2"/>
    <w:rsid w:val="00B92FBA"/>
    <w:rsid w:val="00B94138"/>
    <w:rsid w:val="00B959F1"/>
    <w:rsid w:val="00B9681B"/>
    <w:rsid w:val="00B9763F"/>
    <w:rsid w:val="00B97E81"/>
    <w:rsid w:val="00BA307B"/>
    <w:rsid w:val="00BA3BB5"/>
    <w:rsid w:val="00BA4F13"/>
    <w:rsid w:val="00BA5850"/>
    <w:rsid w:val="00BA5A22"/>
    <w:rsid w:val="00BA5E61"/>
    <w:rsid w:val="00BA6872"/>
    <w:rsid w:val="00BA6958"/>
    <w:rsid w:val="00BA69D6"/>
    <w:rsid w:val="00BA7FBA"/>
    <w:rsid w:val="00BB0076"/>
    <w:rsid w:val="00BB01CE"/>
    <w:rsid w:val="00BB0224"/>
    <w:rsid w:val="00BB1D06"/>
    <w:rsid w:val="00BB2AFE"/>
    <w:rsid w:val="00BB2F0A"/>
    <w:rsid w:val="00BB32D4"/>
    <w:rsid w:val="00BB5CD8"/>
    <w:rsid w:val="00BC0364"/>
    <w:rsid w:val="00BC28D3"/>
    <w:rsid w:val="00BC2AA1"/>
    <w:rsid w:val="00BC444E"/>
    <w:rsid w:val="00BC5220"/>
    <w:rsid w:val="00BC5DFB"/>
    <w:rsid w:val="00BC7D6C"/>
    <w:rsid w:val="00BD000E"/>
    <w:rsid w:val="00BD0849"/>
    <w:rsid w:val="00BD150E"/>
    <w:rsid w:val="00BD1A9A"/>
    <w:rsid w:val="00BD2FF5"/>
    <w:rsid w:val="00BD3F10"/>
    <w:rsid w:val="00BD400C"/>
    <w:rsid w:val="00BD4F29"/>
    <w:rsid w:val="00BD5FD3"/>
    <w:rsid w:val="00BD6ED1"/>
    <w:rsid w:val="00BD7E67"/>
    <w:rsid w:val="00BE0899"/>
    <w:rsid w:val="00BE1613"/>
    <w:rsid w:val="00BE2912"/>
    <w:rsid w:val="00BE2B51"/>
    <w:rsid w:val="00BE379B"/>
    <w:rsid w:val="00BF2F78"/>
    <w:rsid w:val="00BF3A3E"/>
    <w:rsid w:val="00BF56FB"/>
    <w:rsid w:val="00BF5D0E"/>
    <w:rsid w:val="00BF6BEB"/>
    <w:rsid w:val="00C0004A"/>
    <w:rsid w:val="00C00059"/>
    <w:rsid w:val="00C013B5"/>
    <w:rsid w:val="00C0219A"/>
    <w:rsid w:val="00C02B3B"/>
    <w:rsid w:val="00C03599"/>
    <w:rsid w:val="00C03753"/>
    <w:rsid w:val="00C04F80"/>
    <w:rsid w:val="00C10069"/>
    <w:rsid w:val="00C1414F"/>
    <w:rsid w:val="00C148C3"/>
    <w:rsid w:val="00C14CD3"/>
    <w:rsid w:val="00C15C83"/>
    <w:rsid w:val="00C16500"/>
    <w:rsid w:val="00C17CA8"/>
    <w:rsid w:val="00C205C8"/>
    <w:rsid w:val="00C214BE"/>
    <w:rsid w:val="00C22B87"/>
    <w:rsid w:val="00C231F0"/>
    <w:rsid w:val="00C238EF"/>
    <w:rsid w:val="00C2517A"/>
    <w:rsid w:val="00C253A8"/>
    <w:rsid w:val="00C25756"/>
    <w:rsid w:val="00C27344"/>
    <w:rsid w:val="00C27B02"/>
    <w:rsid w:val="00C30B7A"/>
    <w:rsid w:val="00C31057"/>
    <w:rsid w:val="00C310F6"/>
    <w:rsid w:val="00C32C74"/>
    <w:rsid w:val="00C33FF7"/>
    <w:rsid w:val="00C34307"/>
    <w:rsid w:val="00C36CBC"/>
    <w:rsid w:val="00C36EBA"/>
    <w:rsid w:val="00C43DA0"/>
    <w:rsid w:val="00C43F1C"/>
    <w:rsid w:val="00C44B85"/>
    <w:rsid w:val="00C451F4"/>
    <w:rsid w:val="00C46152"/>
    <w:rsid w:val="00C4615F"/>
    <w:rsid w:val="00C47C3E"/>
    <w:rsid w:val="00C501A6"/>
    <w:rsid w:val="00C51035"/>
    <w:rsid w:val="00C517CA"/>
    <w:rsid w:val="00C54DF0"/>
    <w:rsid w:val="00C55B3C"/>
    <w:rsid w:val="00C56EF0"/>
    <w:rsid w:val="00C57662"/>
    <w:rsid w:val="00C57AAB"/>
    <w:rsid w:val="00C57E8D"/>
    <w:rsid w:val="00C57F39"/>
    <w:rsid w:val="00C6023B"/>
    <w:rsid w:val="00C60DD5"/>
    <w:rsid w:val="00C61148"/>
    <w:rsid w:val="00C6180A"/>
    <w:rsid w:val="00C61AFA"/>
    <w:rsid w:val="00C61EB5"/>
    <w:rsid w:val="00C62139"/>
    <w:rsid w:val="00C6270D"/>
    <w:rsid w:val="00C6334E"/>
    <w:rsid w:val="00C65610"/>
    <w:rsid w:val="00C65B4E"/>
    <w:rsid w:val="00C661A2"/>
    <w:rsid w:val="00C6669F"/>
    <w:rsid w:val="00C67725"/>
    <w:rsid w:val="00C7049B"/>
    <w:rsid w:val="00C7076C"/>
    <w:rsid w:val="00C709D9"/>
    <w:rsid w:val="00C70C90"/>
    <w:rsid w:val="00C7272A"/>
    <w:rsid w:val="00C745B8"/>
    <w:rsid w:val="00C754A2"/>
    <w:rsid w:val="00C76E54"/>
    <w:rsid w:val="00C773C0"/>
    <w:rsid w:val="00C775BC"/>
    <w:rsid w:val="00C7770E"/>
    <w:rsid w:val="00C8238A"/>
    <w:rsid w:val="00C84100"/>
    <w:rsid w:val="00C84A89"/>
    <w:rsid w:val="00C85359"/>
    <w:rsid w:val="00C854CE"/>
    <w:rsid w:val="00C8658C"/>
    <w:rsid w:val="00C86737"/>
    <w:rsid w:val="00C90A5C"/>
    <w:rsid w:val="00C911CC"/>
    <w:rsid w:val="00C91818"/>
    <w:rsid w:val="00C91EA1"/>
    <w:rsid w:val="00C920E5"/>
    <w:rsid w:val="00C92A0F"/>
    <w:rsid w:val="00C93C3A"/>
    <w:rsid w:val="00C9458F"/>
    <w:rsid w:val="00C96211"/>
    <w:rsid w:val="00C97477"/>
    <w:rsid w:val="00C97B01"/>
    <w:rsid w:val="00CA105F"/>
    <w:rsid w:val="00CA3330"/>
    <w:rsid w:val="00CA3DAC"/>
    <w:rsid w:val="00CA4B66"/>
    <w:rsid w:val="00CA4D90"/>
    <w:rsid w:val="00CA5155"/>
    <w:rsid w:val="00CA6859"/>
    <w:rsid w:val="00CB0313"/>
    <w:rsid w:val="00CB1539"/>
    <w:rsid w:val="00CB1EA6"/>
    <w:rsid w:val="00CB2742"/>
    <w:rsid w:val="00CB400D"/>
    <w:rsid w:val="00CB53EC"/>
    <w:rsid w:val="00CB74CB"/>
    <w:rsid w:val="00CB7CC6"/>
    <w:rsid w:val="00CC00DC"/>
    <w:rsid w:val="00CC1074"/>
    <w:rsid w:val="00CC1205"/>
    <w:rsid w:val="00CC52DE"/>
    <w:rsid w:val="00CC5781"/>
    <w:rsid w:val="00CC59A0"/>
    <w:rsid w:val="00CC6B99"/>
    <w:rsid w:val="00CD09FA"/>
    <w:rsid w:val="00CD23EF"/>
    <w:rsid w:val="00CD244D"/>
    <w:rsid w:val="00CD32A7"/>
    <w:rsid w:val="00CD387F"/>
    <w:rsid w:val="00CD4A09"/>
    <w:rsid w:val="00CD7ABC"/>
    <w:rsid w:val="00CD7D11"/>
    <w:rsid w:val="00CE0112"/>
    <w:rsid w:val="00CE021F"/>
    <w:rsid w:val="00CE10DC"/>
    <w:rsid w:val="00CE153F"/>
    <w:rsid w:val="00CE172B"/>
    <w:rsid w:val="00CE43B2"/>
    <w:rsid w:val="00CE4B05"/>
    <w:rsid w:val="00CE5753"/>
    <w:rsid w:val="00CE70A0"/>
    <w:rsid w:val="00CF0C5D"/>
    <w:rsid w:val="00CF1468"/>
    <w:rsid w:val="00CF1C64"/>
    <w:rsid w:val="00CF363E"/>
    <w:rsid w:val="00CF4D33"/>
    <w:rsid w:val="00CF57AA"/>
    <w:rsid w:val="00CF6D95"/>
    <w:rsid w:val="00CF7E72"/>
    <w:rsid w:val="00D01462"/>
    <w:rsid w:val="00D02E28"/>
    <w:rsid w:val="00D041ED"/>
    <w:rsid w:val="00D047D7"/>
    <w:rsid w:val="00D060A6"/>
    <w:rsid w:val="00D06641"/>
    <w:rsid w:val="00D072E1"/>
    <w:rsid w:val="00D108AD"/>
    <w:rsid w:val="00D10ECC"/>
    <w:rsid w:val="00D1282F"/>
    <w:rsid w:val="00D13545"/>
    <w:rsid w:val="00D1388E"/>
    <w:rsid w:val="00D13A67"/>
    <w:rsid w:val="00D14E16"/>
    <w:rsid w:val="00D16365"/>
    <w:rsid w:val="00D21874"/>
    <w:rsid w:val="00D21F19"/>
    <w:rsid w:val="00D21FFC"/>
    <w:rsid w:val="00D2305F"/>
    <w:rsid w:val="00D256DA"/>
    <w:rsid w:val="00D25F10"/>
    <w:rsid w:val="00D26F4D"/>
    <w:rsid w:val="00D2746A"/>
    <w:rsid w:val="00D2798F"/>
    <w:rsid w:val="00D304E7"/>
    <w:rsid w:val="00D31139"/>
    <w:rsid w:val="00D3196A"/>
    <w:rsid w:val="00D32EFB"/>
    <w:rsid w:val="00D33AB7"/>
    <w:rsid w:val="00D34657"/>
    <w:rsid w:val="00D3493D"/>
    <w:rsid w:val="00D34A2B"/>
    <w:rsid w:val="00D350F5"/>
    <w:rsid w:val="00D35E54"/>
    <w:rsid w:val="00D40603"/>
    <w:rsid w:val="00D407D6"/>
    <w:rsid w:val="00D4096B"/>
    <w:rsid w:val="00D42663"/>
    <w:rsid w:val="00D434F5"/>
    <w:rsid w:val="00D43AF8"/>
    <w:rsid w:val="00D44889"/>
    <w:rsid w:val="00D4577E"/>
    <w:rsid w:val="00D45D82"/>
    <w:rsid w:val="00D51264"/>
    <w:rsid w:val="00D525C3"/>
    <w:rsid w:val="00D52FD9"/>
    <w:rsid w:val="00D53CBF"/>
    <w:rsid w:val="00D5444B"/>
    <w:rsid w:val="00D5462B"/>
    <w:rsid w:val="00D549C9"/>
    <w:rsid w:val="00D56904"/>
    <w:rsid w:val="00D56D54"/>
    <w:rsid w:val="00D60A4E"/>
    <w:rsid w:val="00D619F6"/>
    <w:rsid w:val="00D62094"/>
    <w:rsid w:val="00D6306C"/>
    <w:rsid w:val="00D634C3"/>
    <w:rsid w:val="00D64603"/>
    <w:rsid w:val="00D64E8D"/>
    <w:rsid w:val="00D654DF"/>
    <w:rsid w:val="00D67B17"/>
    <w:rsid w:val="00D67DE8"/>
    <w:rsid w:val="00D7086D"/>
    <w:rsid w:val="00D72025"/>
    <w:rsid w:val="00D726DB"/>
    <w:rsid w:val="00D734D5"/>
    <w:rsid w:val="00D73AC9"/>
    <w:rsid w:val="00D74DAC"/>
    <w:rsid w:val="00D760D6"/>
    <w:rsid w:val="00D812A7"/>
    <w:rsid w:val="00D81AB2"/>
    <w:rsid w:val="00D83FB4"/>
    <w:rsid w:val="00D8718A"/>
    <w:rsid w:val="00D87D0C"/>
    <w:rsid w:val="00D905C1"/>
    <w:rsid w:val="00D91429"/>
    <w:rsid w:val="00D917ED"/>
    <w:rsid w:val="00D926FE"/>
    <w:rsid w:val="00D9270D"/>
    <w:rsid w:val="00D92834"/>
    <w:rsid w:val="00DA2BDE"/>
    <w:rsid w:val="00DA57E5"/>
    <w:rsid w:val="00DA58FD"/>
    <w:rsid w:val="00DA7E9F"/>
    <w:rsid w:val="00DB27F4"/>
    <w:rsid w:val="00DB42EC"/>
    <w:rsid w:val="00DB519E"/>
    <w:rsid w:val="00DB6A4F"/>
    <w:rsid w:val="00DB6ED4"/>
    <w:rsid w:val="00DC06B4"/>
    <w:rsid w:val="00DC2B28"/>
    <w:rsid w:val="00DC35EE"/>
    <w:rsid w:val="00DC3786"/>
    <w:rsid w:val="00DC57CD"/>
    <w:rsid w:val="00DC5FC2"/>
    <w:rsid w:val="00DC7B99"/>
    <w:rsid w:val="00DD064C"/>
    <w:rsid w:val="00DD0F69"/>
    <w:rsid w:val="00DD1E8A"/>
    <w:rsid w:val="00DD2DD0"/>
    <w:rsid w:val="00DD31D8"/>
    <w:rsid w:val="00DD4342"/>
    <w:rsid w:val="00DD544D"/>
    <w:rsid w:val="00DD6F27"/>
    <w:rsid w:val="00DD7835"/>
    <w:rsid w:val="00DD7C4A"/>
    <w:rsid w:val="00DE08FD"/>
    <w:rsid w:val="00DE1C3D"/>
    <w:rsid w:val="00DE4E4B"/>
    <w:rsid w:val="00DE5880"/>
    <w:rsid w:val="00DE5D86"/>
    <w:rsid w:val="00DE77A6"/>
    <w:rsid w:val="00DF1D64"/>
    <w:rsid w:val="00DF2769"/>
    <w:rsid w:val="00DF3DB0"/>
    <w:rsid w:val="00DF3E99"/>
    <w:rsid w:val="00DF640E"/>
    <w:rsid w:val="00DF74F0"/>
    <w:rsid w:val="00E00B70"/>
    <w:rsid w:val="00E01352"/>
    <w:rsid w:val="00E0198A"/>
    <w:rsid w:val="00E02109"/>
    <w:rsid w:val="00E0215C"/>
    <w:rsid w:val="00E026B5"/>
    <w:rsid w:val="00E03358"/>
    <w:rsid w:val="00E036B7"/>
    <w:rsid w:val="00E039A5"/>
    <w:rsid w:val="00E03BBF"/>
    <w:rsid w:val="00E03C7E"/>
    <w:rsid w:val="00E03CCF"/>
    <w:rsid w:val="00E04DFC"/>
    <w:rsid w:val="00E0615C"/>
    <w:rsid w:val="00E066A9"/>
    <w:rsid w:val="00E0711D"/>
    <w:rsid w:val="00E0724D"/>
    <w:rsid w:val="00E10729"/>
    <w:rsid w:val="00E10D20"/>
    <w:rsid w:val="00E11012"/>
    <w:rsid w:val="00E110BC"/>
    <w:rsid w:val="00E114B7"/>
    <w:rsid w:val="00E1165C"/>
    <w:rsid w:val="00E11BDA"/>
    <w:rsid w:val="00E12F59"/>
    <w:rsid w:val="00E138FD"/>
    <w:rsid w:val="00E146CE"/>
    <w:rsid w:val="00E16431"/>
    <w:rsid w:val="00E16635"/>
    <w:rsid w:val="00E206D8"/>
    <w:rsid w:val="00E20A9D"/>
    <w:rsid w:val="00E21F3B"/>
    <w:rsid w:val="00E22682"/>
    <w:rsid w:val="00E24B28"/>
    <w:rsid w:val="00E254F3"/>
    <w:rsid w:val="00E2631B"/>
    <w:rsid w:val="00E267FD"/>
    <w:rsid w:val="00E26FC7"/>
    <w:rsid w:val="00E307A0"/>
    <w:rsid w:val="00E318F6"/>
    <w:rsid w:val="00E33D37"/>
    <w:rsid w:val="00E35608"/>
    <w:rsid w:val="00E35AF1"/>
    <w:rsid w:val="00E36AB5"/>
    <w:rsid w:val="00E3702F"/>
    <w:rsid w:val="00E406D3"/>
    <w:rsid w:val="00E410F4"/>
    <w:rsid w:val="00E420A0"/>
    <w:rsid w:val="00E4239D"/>
    <w:rsid w:val="00E42FEC"/>
    <w:rsid w:val="00E44AEF"/>
    <w:rsid w:val="00E46FBC"/>
    <w:rsid w:val="00E50BF6"/>
    <w:rsid w:val="00E51631"/>
    <w:rsid w:val="00E5209B"/>
    <w:rsid w:val="00E53162"/>
    <w:rsid w:val="00E53B14"/>
    <w:rsid w:val="00E5487A"/>
    <w:rsid w:val="00E57727"/>
    <w:rsid w:val="00E60A95"/>
    <w:rsid w:val="00E61D63"/>
    <w:rsid w:val="00E6231D"/>
    <w:rsid w:val="00E62466"/>
    <w:rsid w:val="00E639AB"/>
    <w:rsid w:val="00E64634"/>
    <w:rsid w:val="00E64A95"/>
    <w:rsid w:val="00E64EDD"/>
    <w:rsid w:val="00E65352"/>
    <w:rsid w:val="00E65DD4"/>
    <w:rsid w:val="00E65F51"/>
    <w:rsid w:val="00E662BB"/>
    <w:rsid w:val="00E674DF"/>
    <w:rsid w:val="00E7016F"/>
    <w:rsid w:val="00E707C6"/>
    <w:rsid w:val="00E70FF2"/>
    <w:rsid w:val="00E71521"/>
    <w:rsid w:val="00E73441"/>
    <w:rsid w:val="00E74B6E"/>
    <w:rsid w:val="00E75477"/>
    <w:rsid w:val="00E756DC"/>
    <w:rsid w:val="00E75E14"/>
    <w:rsid w:val="00E80A73"/>
    <w:rsid w:val="00E810AC"/>
    <w:rsid w:val="00E833A1"/>
    <w:rsid w:val="00E8487A"/>
    <w:rsid w:val="00E84B46"/>
    <w:rsid w:val="00E84E59"/>
    <w:rsid w:val="00E86935"/>
    <w:rsid w:val="00E86F9C"/>
    <w:rsid w:val="00E87290"/>
    <w:rsid w:val="00E90C8A"/>
    <w:rsid w:val="00E930CD"/>
    <w:rsid w:val="00E943F5"/>
    <w:rsid w:val="00E95822"/>
    <w:rsid w:val="00E964A6"/>
    <w:rsid w:val="00E965D8"/>
    <w:rsid w:val="00EA0A6A"/>
    <w:rsid w:val="00EA0BB3"/>
    <w:rsid w:val="00EA1598"/>
    <w:rsid w:val="00EA30A3"/>
    <w:rsid w:val="00EA3CF4"/>
    <w:rsid w:val="00EA3E60"/>
    <w:rsid w:val="00EA49DB"/>
    <w:rsid w:val="00EA4B5B"/>
    <w:rsid w:val="00EA5242"/>
    <w:rsid w:val="00EA66B6"/>
    <w:rsid w:val="00EA66FE"/>
    <w:rsid w:val="00EA6BB1"/>
    <w:rsid w:val="00EA7159"/>
    <w:rsid w:val="00EA78AA"/>
    <w:rsid w:val="00EB03B3"/>
    <w:rsid w:val="00EB0A37"/>
    <w:rsid w:val="00EB1CD5"/>
    <w:rsid w:val="00EB26FA"/>
    <w:rsid w:val="00EB590A"/>
    <w:rsid w:val="00EB65F6"/>
    <w:rsid w:val="00EB7AFC"/>
    <w:rsid w:val="00EC0812"/>
    <w:rsid w:val="00EC0F3A"/>
    <w:rsid w:val="00EC1325"/>
    <w:rsid w:val="00EC15FB"/>
    <w:rsid w:val="00EC3201"/>
    <w:rsid w:val="00EC37AF"/>
    <w:rsid w:val="00EC38E8"/>
    <w:rsid w:val="00EC61A9"/>
    <w:rsid w:val="00EC76D1"/>
    <w:rsid w:val="00ED05A8"/>
    <w:rsid w:val="00ED175A"/>
    <w:rsid w:val="00ED2CC9"/>
    <w:rsid w:val="00ED3144"/>
    <w:rsid w:val="00ED37CE"/>
    <w:rsid w:val="00ED4DCC"/>
    <w:rsid w:val="00ED50B9"/>
    <w:rsid w:val="00ED5498"/>
    <w:rsid w:val="00ED6050"/>
    <w:rsid w:val="00ED64C6"/>
    <w:rsid w:val="00EE0746"/>
    <w:rsid w:val="00EE1FF1"/>
    <w:rsid w:val="00EE2063"/>
    <w:rsid w:val="00EE253F"/>
    <w:rsid w:val="00EE2CBE"/>
    <w:rsid w:val="00EE32F7"/>
    <w:rsid w:val="00EE420C"/>
    <w:rsid w:val="00EE4A40"/>
    <w:rsid w:val="00EE6838"/>
    <w:rsid w:val="00EE69FC"/>
    <w:rsid w:val="00EF0029"/>
    <w:rsid w:val="00EF1391"/>
    <w:rsid w:val="00EF1A2D"/>
    <w:rsid w:val="00EF28AD"/>
    <w:rsid w:val="00EF301B"/>
    <w:rsid w:val="00EF3FB8"/>
    <w:rsid w:val="00EF4C20"/>
    <w:rsid w:val="00EF4EE6"/>
    <w:rsid w:val="00EF4F0C"/>
    <w:rsid w:val="00EF5425"/>
    <w:rsid w:val="00F00841"/>
    <w:rsid w:val="00F02101"/>
    <w:rsid w:val="00F025BF"/>
    <w:rsid w:val="00F027F4"/>
    <w:rsid w:val="00F02E74"/>
    <w:rsid w:val="00F03468"/>
    <w:rsid w:val="00F04852"/>
    <w:rsid w:val="00F05870"/>
    <w:rsid w:val="00F068A2"/>
    <w:rsid w:val="00F07BC4"/>
    <w:rsid w:val="00F1038A"/>
    <w:rsid w:val="00F12047"/>
    <w:rsid w:val="00F12EBB"/>
    <w:rsid w:val="00F13460"/>
    <w:rsid w:val="00F14162"/>
    <w:rsid w:val="00F14A69"/>
    <w:rsid w:val="00F14BF8"/>
    <w:rsid w:val="00F15854"/>
    <w:rsid w:val="00F175EB"/>
    <w:rsid w:val="00F20775"/>
    <w:rsid w:val="00F207C5"/>
    <w:rsid w:val="00F20B32"/>
    <w:rsid w:val="00F2192A"/>
    <w:rsid w:val="00F21B46"/>
    <w:rsid w:val="00F21BC4"/>
    <w:rsid w:val="00F2212E"/>
    <w:rsid w:val="00F22B73"/>
    <w:rsid w:val="00F23F70"/>
    <w:rsid w:val="00F26232"/>
    <w:rsid w:val="00F27F14"/>
    <w:rsid w:val="00F30409"/>
    <w:rsid w:val="00F32319"/>
    <w:rsid w:val="00F35850"/>
    <w:rsid w:val="00F4032A"/>
    <w:rsid w:val="00F439B6"/>
    <w:rsid w:val="00F43ADB"/>
    <w:rsid w:val="00F44802"/>
    <w:rsid w:val="00F47923"/>
    <w:rsid w:val="00F501D7"/>
    <w:rsid w:val="00F5087C"/>
    <w:rsid w:val="00F51815"/>
    <w:rsid w:val="00F5267F"/>
    <w:rsid w:val="00F538F8"/>
    <w:rsid w:val="00F53E2F"/>
    <w:rsid w:val="00F542F4"/>
    <w:rsid w:val="00F5510D"/>
    <w:rsid w:val="00F556B3"/>
    <w:rsid w:val="00F608F0"/>
    <w:rsid w:val="00F60C71"/>
    <w:rsid w:val="00F6142A"/>
    <w:rsid w:val="00F61DBE"/>
    <w:rsid w:val="00F62610"/>
    <w:rsid w:val="00F6399F"/>
    <w:rsid w:val="00F64483"/>
    <w:rsid w:val="00F66665"/>
    <w:rsid w:val="00F67690"/>
    <w:rsid w:val="00F704E4"/>
    <w:rsid w:val="00F70A79"/>
    <w:rsid w:val="00F70C61"/>
    <w:rsid w:val="00F71940"/>
    <w:rsid w:val="00F739F7"/>
    <w:rsid w:val="00F75C9B"/>
    <w:rsid w:val="00F75E0C"/>
    <w:rsid w:val="00F766BE"/>
    <w:rsid w:val="00F80449"/>
    <w:rsid w:val="00F814CD"/>
    <w:rsid w:val="00F82FBA"/>
    <w:rsid w:val="00F834CB"/>
    <w:rsid w:val="00F83878"/>
    <w:rsid w:val="00F842B2"/>
    <w:rsid w:val="00F85BD2"/>
    <w:rsid w:val="00F85DCA"/>
    <w:rsid w:val="00F86B7A"/>
    <w:rsid w:val="00F87292"/>
    <w:rsid w:val="00F878DC"/>
    <w:rsid w:val="00F87CA3"/>
    <w:rsid w:val="00F87E64"/>
    <w:rsid w:val="00F9009C"/>
    <w:rsid w:val="00F91AF9"/>
    <w:rsid w:val="00F92808"/>
    <w:rsid w:val="00F932A2"/>
    <w:rsid w:val="00F947AB"/>
    <w:rsid w:val="00F957BB"/>
    <w:rsid w:val="00F96A06"/>
    <w:rsid w:val="00F974CB"/>
    <w:rsid w:val="00FA1770"/>
    <w:rsid w:val="00FA42B6"/>
    <w:rsid w:val="00FA4622"/>
    <w:rsid w:val="00FA4665"/>
    <w:rsid w:val="00FA49AA"/>
    <w:rsid w:val="00FA4A58"/>
    <w:rsid w:val="00FA5441"/>
    <w:rsid w:val="00FA5A62"/>
    <w:rsid w:val="00FA78D6"/>
    <w:rsid w:val="00FB00E4"/>
    <w:rsid w:val="00FB0430"/>
    <w:rsid w:val="00FB1384"/>
    <w:rsid w:val="00FB1CAB"/>
    <w:rsid w:val="00FB1D6A"/>
    <w:rsid w:val="00FB2423"/>
    <w:rsid w:val="00FB3189"/>
    <w:rsid w:val="00FB4A2D"/>
    <w:rsid w:val="00FB4AC3"/>
    <w:rsid w:val="00FB6921"/>
    <w:rsid w:val="00FB7341"/>
    <w:rsid w:val="00FB735A"/>
    <w:rsid w:val="00FC03A1"/>
    <w:rsid w:val="00FC05E2"/>
    <w:rsid w:val="00FC1EAA"/>
    <w:rsid w:val="00FC2104"/>
    <w:rsid w:val="00FC3AE8"/>
    <w:rsid w:val="00FC4F27"/>
    <w:rsid w:val="00FC5231"/>
    <w:rsid w:val="00FC6384"/>
    <w:rsid w:val="00FC7FED"/>
    <w:rsid w:val="00FD0654"/>
    <w:rsid w:val="00FD0F36"/>
    <w:rsid w:val="00FD1C3C"/>
    <w:rsid w:val="00FD32F0"/>
    <w:rsid w:val="00FD6004"/>
    <w:rsid w:val="00FE1598"/>
    <w:rsid w:val="00FE17A0"/>
    <w:rsid w:val="00FE1AA6"/>
    <w:rsid w:val="00FE2777"/>
    <w:rsid w:val="00FE372D"/>
    <w:rsid w:val="00FE387E"/>
    <w:rsid w:val="00FE463A"/>
    <w:rsid w:val="00FE4A0F"/>
    <w:rsid w:val="00FE587E"/>
    <w:rsid w:val="00FE71A4"/>
    <w:rsid w:val="00FE7FC7"/>
    <w:rsid w:val="00FF0418"/>
    <w:rsid w:val="00FF0CF9"/>
    <w:rsid w:val="00FF17FB"/>
    <w:rsid w:val="00FF1C2C"/>
    <w:rsid w:val="00FF2640"/>
    <w:rsid w:val="00FF2B60"/>
    <w:rsid w:val="00FF339B"/>
    <w:rsid w:val="00FF43E8"/>
    <w:rsid w:val="00FF4A55"/>
    <w:rsid w:val="10783709"/>
    <w:rsid w:val="35416B37"/>
    <w:rsid w:val="5FBD5409"/>
    <w:rsid w:val="7BF1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553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unhideWhenUsed="1" w:qFormat="1"/>
    <w:lsdException w:name="annotation reference" w:uiPriority="0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trong" w:uiPriority="22" w:qFormat="1"/>
    <w:lsdException w:name="Emphasis" w:uiPriority="20" w:qFormat="1"/>
    <w:lsdException w:name="E-mail Signature" w:uiPriority="0"/>
    <w:lsdException w:name="HTML Top of Form" w:semiHidden="1" w:unhideWhenUsed="1"/>
    <w:lsdException w:name="HTML Bottom of Form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Table Grid" w:uiPriority="59"/>
    <w:lsdException w:name="Table Theme" w:semiHidden="1" w:uiPriority="0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480" w:lineRule="auto"/>
    </w:pPr>
    <w:rPr>
      <w:lang w:val="en-GB" w:eastAsia="ko-KR"/>
    </w:rPr>
  </w:style>
  <w:style w:type="paragraph" w:styleId="berschrift1">
    <w:name w:val="heading 1"/>
    <w:basedOn w:val="berschrift21"/>
    <w:next w:val="Text"/>
    <w:link w:val="berschrift1Zchn"/>
    <w:uiPriority w:val="9"/>
    <w:qFormat/>
    <w:pPr>
      <w:outlineLvl w:val="0"/>
    </w:pPr>
    <w:rPr>
      <w:sz w:val="36"/>
    </w:rPr>
  </w:style>
  <w:style w:type="paragraph" w:styleId="berschrift2">
    <w:name w:val="heading 2"/>
    <w:basedOn w:val="berschrift21"/>
    <w:next w:val="Text"/>
    <w:link w:val="berschrift2Zchn"/>
    <w:uiPriority w:val="9"/>
    <w:qFormat/>
    <w:pPr>
      <w:outlineLvl w:val="1"/>
    </w:pPr>
    <w:rPr>
      <w:lang w:val="en-US"/>
    </w:rPr>
  </w:style>
  <w:style w:type="paragraph" w:styleId="berschrift3">
    <w:name w:val="heading 3"/>
    <w:basedOn w:val="berschrift31"/>
    <w:next w:val="Text"/>
    <w:link w:val="berschrift3Zchn"/>
    <w:uiPriority w:val="9"/>
    <w:qFormat/>
    <w:pPr>
      <w:outlineLvl w:val="2"/>
    </w:pPr>
    <w:rPr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21">
    <w:name w:val="Überschrift 21"/>
    <w:basedOn w:val="berschrift11"/>
    <w:next w:val="Text"/>
    <w:rPr>
      <w:sz w:val="28"/>
    </w:rPr>
  </w:style>
  <w:style w:type="paragraph" w:customStyle="1" w:styleId="berschrift11">
    <w:name w:val="Überschrift 11"/>
    <w:basedOn w:val="Standard"/>
    <w:next w:val="Text"/>
    <w:link w:val="berschrift11Zchn"/>
    <w:pPr>
      <w:spacing w:after="240"/>
    </w:pPr>
    <w:rPr>
      <w:b/>
      <w:sz w:val="36"/>
    </w:rPr>
  </w:style>
  <w:style w:type="paragraph" w:customStyle="1" w:styleId="Text">
    <w:name w:val="Text"/>
    <w:basedOn w:val="Standard"/>
    <w:link w:val="TextZchn"/>
    <w:rPr>
      <w:lang w:val="en-US"/>
    </w:rPr>
  </w:style>
  <w:style w:type="paragraph" w:customStyle="1" w:styleId="berschrift31">
    <w:name w:val="Überschrift 31"/>
    <w:basedOn w:val="berschrift11"/>
    <w:next w:val="Text"/>
    <w:rPr>
      <w:sz w:val="22"/>
    </w:rPr>
  </w:style>
  <w:style w:type="paragraph" w:styleId="Sprechblasentext">
    <w:name w:val="Balloon Text"/>
    <w:basedOn w:val="Standard"/>
    <w:link w:val="SprechblasentextZchn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locktext">
    <w:name w:val="Block Text"/>
    <w:basedOn w:val="Standard"/>
    <w:uiPriority w:val="99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krper">
    <w:name w:val="Body Text"/>
    <w:basedOn w:val="Standard"/>
    <w:link w:val="TextkrperZchn"/>
    <w:uiPriority w:val="99"/>
  </w:style>
  <w:style w:type="paragraph" w:styleId="Textkrper2">
    <w:name w:val="Body Text 2"/>
    <w:basedOn w:val="Standard"/>
    <w:link w:val="Textkrper2Zchn"/>
    <w:uiPriority w:val="99"/>
  </w:style>
  <w:style w:type="paragraph" w:styleId="Textkrper3">
    <w:name w:val="Body Text 3"/>
    <w:basedOn w:val="Standard"/>
    <w:link w:val="Textkrper3Zchn"/>
    <w:uiPriority w:val="99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pPr>
      <w:ind w:firstLine="360"/>
    </w:pPr>
  </w:style>
  <w:style w:type="paragraph" w:styleId="Textkrper-Zeileneinzug">
    <w:name w:val="Body Text Indent"/>
    <w:basedOn w:val="Standard"/>
    <w:link w:val="Textkrper-ZeileneinzugZchn"/>
    <w:uiPriority w:val="99"/>
    <w:pPr>
      <w:ind w:left="283"/>
    </w:pPr>
  </w:style>
  <w:style w:type="paragraph" w:styleId="Textkrper-Erstzeileneinzug2">
    <w:name w:val="Body Text First Indent 2"/>
    <w:basedOn w:val="Textkrper-Zeileneinzug"/>
    <w:link w:val="Textkrper-Erstzeileneinzug2Zchn"/>
    <w:uiPriority w:val="99"/>
    <w:pPr>
      <w:ind w:left="360" w:firstLine="360"/>
    </w:pPr>
  </w:style>
  <w:style w:type="paragraph" w:styleId="Textkrper-Einzug2">
    <w:name w:val="Body Text Indent 2"/>
    <w:basedOn w:val="Standard"/>
    <w:link w:val="Textkrper-Einzug2Zchn"/>
    <w:uiPriority w:val="99"/>
    <w:pPr>
      <w:ind w:left="283"/>
    </w:pPr>
  </w:style>
  <w:style w:type="paragraph" w:styleId="Textkrper-Einzug3">
    <w:name w:val="Body Text Indent 3"/>
    <w:basedOn w:val="Standard"/>
    <w:link w:val="Textkrper-Einzug3Zchn"/>
    <w:uiPriority w:val="99"/>
    <w:pPr>
      <w:ind w:left="283"/>
    </w:pPr>
    <w:rPr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b/>
      <w:iCs/>
      <w:szCs w:val="18"/>
    </w:rPr>
  </w:style>
  <w:style w:type="paragraph" w:styleId="Gruformel">
    <w:name w:val="Closing"/>
    <w:basedOn w:val="Standard"/>
    <w:link w:val="GruformelZchn"/>
    <w:uiPriority w:val="99"/>
    <w:pPr>
      <w:spacing w:after="0" w:line="240" w:lineRule="auto"/>
      <w:ind w:left="4252"/>
    </w:p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pPr>
      <w:spacing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Pr>
      <w:b/>
      <w:bCs/>
    </w:rPr>
  </w:style>
  <w:style w:type="paragraph" w:styleId="Datum">
    <w:name w:val="Date"/>
    <w:basedOn w:val="Standard"/>
    <w:next w:val="Standard"/>
    <w:link w:val="DatumZchn"/>
    <w:uiPriority w:val="99"/>
  </w:style>
  <w:style w:type="paragraph" w:styleId="Dokumentstruktur">
    <w:name w:val="Document Map"/>
    <w:basedOn w:val="Standard"/>
    <w:link w:val="DokumentstrukturZchn"/>
    <w:uiPriority w:val="99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Endnotenzeichen">
    <w:name w:val="endnote reference"/>
    <w:basedOn w:val="Absatz-Standardschriftart"/>
    <w:uiPriority w:val="99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pPr>
      <w:spacing w:after="0" w:line="240" w:lineRule="auto"/>
    </w:pPr>
  </w:style>
  <w:style w:type="paragraph" w:styleId="Umschlagadresse">
    <w:name w:val="envelope address"/>
    <w:basedOn w:val="Standard"/>
    <w:uiPriority w:val="99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mschlagabsenderadresse">
    <w:name w:val="envelope return"/>
    <w:basedOn w:val="Standard"/>
    <w:uiPriority w:val="99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BesuchterLink">
    <w:name w:val="FollowedHyperlink"/>
    <w:basedOn w:val="Absatz-Standardschriftart"/>
    <w:uiPriority w:val="99"/>
    <w:rPr>
      <w:color w:val="954F72" w:themeColor="followedHyperlink"/>
      <w:u w:val="singl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Funotenzeichen">
    <w:name w:val="footnote reference"/>
    <w:basedOn w:val="Absatz-Standardschriftart"/>
    <w:uiPriority w:val="99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HTMLAkronym">
    <w:name w:val="HTML Acronym"/>
    <w:basedOn w:val="Absatz-Standardschriftart"/>
    <w:uiPriority w:val="99"/>
  </w:style>
  <w:style w:type="paragraph" w:styleId="HTMLAdresse">
    <w:name w:val="HTML Address"/>
    <w:basedOn w:val="Standard"/>
    <w:link w:val="HTMLAdresseZchn"/>
    <w:uiPriority w:val="99"/>
    <w:pPr>
      <w:spacing w:after="0" w:line="240" w:lineRule="auto"/>
    </w:pPr>
    <w:rPr>
      <w:i/>
      <w:iCs/>
    </w:rPr>
  </w:style>
  <w:style w:type="character" w:styleId="HTMLZitat">
    <w:name w:val="HTML Cite"/>
    <w:basedOn w:val="Absatz-Standardschriftart"/>
    <w:uiPriority w:val="99"/>
    <w:rPr>
      <w:i/>
      <w:iCs/>
    </w:rPr>
  </w:style>
  <w:style w:type="character" w:styleId="HTMLCode">
    <w:name w:val="HTML Code"/>
    <w:basedOn w:val="Absatz-Standardschriftart"/>
    <w:uiPriority w:val="99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rPr>
      <w:i/>
      <w:iCs/>
    </w:rPr>
  </w:style>
  <w:style w:type="character" w:styleId="HTMLTastatur">
    <w:name w:val="HTML Keyboard"/>
    <w:basedOn w:val="Absatz-Standardschriftart"/>
    <w:uiPriority w:val="99"/>
    <w:rPr>
      <w:rFonts w:ascii="Consolas" w:hAnsi="Consolas"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pPr>
      <w:spacing w:after="0" w:line="240" w:lineRule="auto"/>
    </w:pPr>
    <w:rPr>
      <w:rFonts w:ascii="Consolas" w:hAnsi="Consolas"/>
    </w:rPr>
  </w:style>
  <w:style w:type="character" w:styleId="HTMLBeispiel">
    <w:name w:val="HTML Sample"/>
    <w:basedOn w:val="Absatz-Standardschriftart"/>
    <w:uiPriority w:val="99"/>
    <w:rPr>
      <w:rFonts w:ascii="Consolas" w:hAnsi="Consolas"/>
      <w:sz w:val="24"/>
      <w:szCs w:val="24"/>
    </w:rPr>
  </w:style>
  <w:style w:type="character" w:styleId="HTMLSchreibmaschine">
    <w:name w:val="HTML Typewriter"/>
    <w:basedOn w:val="Absatz-Standardschriftart"/>
    <w:uiPriority w:val="99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rPr>
      <w:i/>
      <w:iCs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Index1">
    <w:name w:val="index 1"/>
    <w:basedOn w:val="Standard"/>
    <w:next w:val="Standard"/>
    <w:uiPriority w:val="99"/>
    <w:pPr>
      <w:spacing w:after="0" w:line="240" w:lineRule="auto"/>
      <w:ind w:left="200" w:hanging="200"/>
    </w:pPr>
  </w:style>
  <w:style w:type="paragraph" w:styleId="Index2">
    <w:name w:val="index 2"/>
    <w:basedOn w:val="Standard"/>
    <w:next w:val="Standard"/>
    <w:uiPriority w:val="99"/>
    <w:pPr>
      <w:spacing w:after="0" w:line="240" w:lineRule="auto"/>
      <w:ind w:left="400" w:hanging="200"/>
    </w:pPr>
  </w:style>
  <w:style w:type="paragraph" w:styleId="Index3">
    <w:name w:val="index 3"/>
    <w:basedOn w:val="Standard"/>
    <w:next w:val="Standard"/>
    <w:uiPriority w:val="99"/>
    <w:pPr>
      <w:spacing w:after="0" w:line="240" w:lineRule="auto"/>
      <w:ind w:left="600" w:hanging="200"/>
    </w:pPr>
  </w:style>
  <w:style w:type="paragraph" w:styleId="Index4">
    <w:name w:val="index 4"/>
    <w:basedOn w:val="Standard"/>
    <w:next w:val="Standard"/>
    <w:uiPriority w:val="99"/>
    <w:pPr>
      <w:spacing w:after="0" w:line="240" w:lineRule="auto"/>
      <w:ind w:left="800" w:hanging="200"/>
    </w:pPr>
  </w:style>
  <w:style w:type="paragraph" w:styleId="Index5">
    <w:name w:val="index 5"/>
    <w:basedOn w:val="Standard"/>
    <w:next w:val="Standard"/>
    <w:uiPriority w:val="99"/>
    <w:pPr>
      <w:spacing w:after="0" w:line="240" w:lineRule="auto"/>
      <w:ind w:left="1000" w:hanging="200"/>
    </w:pPr>
  </w:style>
  <w:style w:type="paragraph" w:styleId="Index6">
    <w:name w:val="index 6"/>
    <w:basedOn w:val="Standard"/>
    <w:next w:val="Standard"/>
    <w:uiPriority w:val="99"/>
    <w:pPr>
      <w:spacing w:after="0" w:line="240" w:lineRule="auto"/>
      <w:ind w:left="1200" w:hanging="200"/>
    </w:pPr>
  </w:style>
  <w:style w:type="paragraph" w:styleId="Index7">
    <w:name w:val="index 7"/>
    <w:basedOn w:val="Standard"/>
    <w:next w:val="Standard"/>
    <w:uiPriority w:val="99"/>
    <w:pPr>
      <w:spacing w:after="0" w:line="240" w:lineRule="auto"/>
      <w:ind w:left="1400" w:hanging="200"/>
    </w:pPr>
  </w:style>
  <w:style w:type="paragraph" w:styleId="Index8">
    <w:name w:val="index 8"/>
    <w:basedOn w:val="Standard"/>
    <w:next w:val="Standard"/>
    <w:uiPriority w:val="99"/>
    <w:pPr>
      <w:spacing w:after="0" w:line="240" w:lineRule="auto"/>
      <w:ind w:left="1600" w:hanging="200"/>
    </w:pPr>
  </w:style>
  <w:style w:type="paragraph" w:styleId="Index9">
    <w:name w:val="index 9"/>
    <w:basedOn w:val="Standard"/>
    <w:next w:val="Standard"/>
    <w:uiPriority w:val="99"/>
    <w:pPr>
      <w:spacing w:after="0" w:line="240" w:lineRule="auto"/>
      <w:ind w:left="1800" w:hanging="200"/>
    </w:pPr>
  </w:style>
  <w:style w:type="paragraph" w:styleId="Indexberschrift">
    <w:name w:val="index heading"/>
    <w:basedOn w:val="Standard"/>
    <w:next w:val="Index1"/>
    <w:uiPriority w:val="99"/>
    <w:rPr>
      <w:rFonts w:asciiTheme="majorHAnsi" w:eastAsiaTheme="majorEastAsia" w:hAnsiTheme="majorHAnsi" w:cstheme="majorBidi"/>
      <w:b/>
      <w:bCs/>
    </w:rPr>
  </w:style>
  <w:style w:type="character" w:styleId="Zeilennummer">
    <w:name w:val="line number"/>
    <w:basedOn w:val="Absatz-Standardschriftart"/>
    <w:uiPriority w:val="99"/>
  </w:style>
  <w:style w:type="paragraph" w:styleId="Liste">
    <w:name w:val="List"/>
    <w:basedOn w:val="Standard"/>
    <w:uiPriority w:val="99"/>
    <w:pPr>
      <w:ind w:left="283" w:hanging="283"/>
      <w:contextualSpacing/>
    </w:pPr>
  </w:style>
  <w:style w:type="paragraph" w:styleId="Liste2">
    <w:name w:val="List 2"/>
    <w:basedOn w:val="Standard"/>
    <w:uiPriority w:val="99"/>
    <w:pPr>
      <w:ind w:left="566" w:hanging="283"/>
      <w:contextualSpacing/>
    </w:pPr>
  </w:style>
  <w:style w:type="paragraph" w:styleId="Liste3">
    <w:name w:val="List 3"/>
    <w:basedOn w:val="Standard"/>
    <w:uiPriority w:val="99"/>
    <w:pPr>
      <w:ind w:left="849" w:hanging="283"/>
      <w:contextualSpacing/>
    </w:pPr>
  </w:style>
  <w:style w:type="paragraph" w:styleId="Liste4">
    <w:name w:val="List 4"/>
    <w:basedOn w:val="Standard"/>
    <w:uiPriority w:val="99"/>
    <w:pPr>
      <w:ind w:left="1132" w:hanging="283"/>
      <w:contextualSpacing/>
    </w:pPr>
  </w:style>
  <w:style w:type="paragraph" w:styleId="Liste5">
    <w:name w:val="List 5"/>
    <w:basedOn w:val="Standard"/>
    <w:uiPriority w:val="99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pPr>
      <w:tabs>
        <w:tab w:val="left" w:pos="360"/>
      </w:tabs>
      <w:ind w:left="360" w:hanging="360"/>
      <w:contextualSpacing/>
    </w:pPr>
  </w:style>
  <w:style w:type="paragraph" w:styleId="Aufzhlungszeichen2">
    <w:name w:val="List Bullet 2"/>
    <w:basedOn w:val="Standard"/>
    <w:uiPriority w:val="99"/>
    <w:pPr>
      <w:tabs>
        <w:tab w:val="left" w:pos="643"/>
      </w:tabs>
      <w:ind w:left="643" w:hanging="360"/>
      <w:contextualSpacing/>
    </w:pPr>
  </w:style>
  <w:style w:type="paragraph" w:styleId="Aufzhlungszeichen3">
    <w:name w:val="List Bullet 3"/>
    <w:basedOn w:val="Standard"/>
    <w:uiPriority w:val="99"/>
    <w:pPr>
      <w:tabs>
        <w:tab w:val="left" w:pos="926"/>
      </w:tabs>
      <w:ind w:left="926" w:hanging="360"/>
      <w:contextualSpacing/>
    </w:pPr>
  </w:style>
  <w:style w:type="paragraph" w:styleId="Aufzhlungszeichen4">
    <w:name w:val="List Bullet 4"/>
    <w:basedOn w:val="Standard"/>
    <w:uiPriority w:val="99"/>
    <w:pPr>
      <w:tabs>
        <w:tab w:val="left" w:pos="1209"/>
      </w:tabs>
      <w:ind w:left="1209" w:hanging="360"/>
      <w:contextualSpacing/>
    </w:pPr>
  </w:style>
  <w:style w:type="paragraph" w:styleId="Aufzhlungszeichen5">
    <w:name w:val="List Bullet 5"/>
    <w:basedOn w:val="Standard"/>
    <w:uiPriority w:val="99"/>
    <w:pPr>
      <w:tabs>
        <w:tab w:val="left" w:pos="1492"/>
      </w:tabs>
      <w:ind w:left="1492" w:hanging="360"/>
      <w:contextualSpacing/>
    </w:pPr>
  </w:style>
  <w:style w:type="paragraph" w:styleId="Listenfortsetzung">
    <w:name w:val="List Continue"/>
    <w:basedOn w:val="Standard"/>
    <w:uiPriority w:val="99"/>
    <w:pPr>
      <w:ind w:left="283"/>
      <w:contextualSpacing/>
    </w:pPr>
  </w:style>
  <w:style w:type="paragraph" w:styleId="Listenfortsetzung2">
    <w:name w:val="List Continue 2"/>
    <w:basedOn w:val="Standard"/>
    <w:uiPriority w:val="99"/>
    <w:pPr>
      <w:ind w:left="566"/>
      <w:contextualSpacing/>
    </w:pPr>
  </w:style>
  <w:style w:type="paragraph" w:styleId="Listenfortsetzung3">
    <w:name w:val="List Continue 3"/>
    <w:basedOn w:val="Standard"/>
    <w:uiPriority w:val="99"/>
    <w:pPr>
      <w:ind w:left="849"/>
      <w:contextualSpacing/>
    </w:pPr>
  </w:style>
  <w:style w:type="paragraph" w:styleId="Listenfortsetzung4">
    <w:name w:val="List Continue 4"/>
    <w:basedOn w:val="Standard"/>
    <w:uiPriority w:val="99"/>
    <w:pPr>
      <w:ind w:left="1132"/>
      <w:contextualSpacing/>
    </w:pPr>
  </w:style>
  <w:style w:type="paragraph" w:styleId="Listenfortsetzung5">
    <w:name w:val="List Continue 5"/>
    <w:basedOn w:val="Standard"/>
    <w:uiPriority w:val="99"/>
    <w:pPr>
      <w:ind w:left="1415"/>
      <w:contextualSpacing/>
    </w:pPr>
  </w:style>
  <w:style w:type="paragraph" w:styleId="Listennummer">
    <w:name w:val="List Number"/>
    <w:basedOn w:val="Standard"/>
    <w:uiPriority w:val="99"/>
    <w:pPr>
      <w:tabs>
        <w:tab w:val="left" w:pos="360"/>
      </w:tabs>
      <w:ind w:left="360" w:hanging="360"/>
      <w:contextualSpacing/>
    </w:pPr>
  </w:style>
  <w:style w:type="paragraph" w:styleId="Listennummer2">
    <w:name w:val="List Number 2"/>
    <w:basedOn w:val="Standard"/>
    <w:uiPriority w:val="99"/>
    <w:pPr>
      <w:tabs>
        <w:tab w:val="left" w:pos="643"/>
      </w:tabs>
      <w:ind w:left="643" w:hanging="360"/>
      <w:contextualSpacing/>
    </w:pPr>
  </w:style>
  <w:style w:type="paragraph" w:styleId="Listennummer3">
    <w:name w:val="List Number 3"/>
    <w:basedOn w:val="Standard"/>
    <w:uiPriority w:val="99"/>
    <w:pPr>
      <w:tabs>
        <w:tab w:val="left" w:pos="926"/>
      </w:tabs>
      <w:ind w:left="926" w:hanging="360"/>
      <w:contextualSpacing/>
    </w:pPr>
  </w:style>
  <w:style w:type="paragraph" w:styleId="Listennummer4">
    <w:name w:val="List Number 4"/>
    <w:basedOn w:val="Standard"/>
    <w:uiPriority w:val="99"/>
    <w:pPr>
      <w:tabs>
        <w:tab w:val="left" w:pos="1209"/>
      </w:tabs>
      <w:ind w:left="1209" w:hanging="360"/>
      <w:contextualSpacing/>
    </w:pPr>
  </w:style>
  <w:style w:type="paragraph" w:styleId="Listennummer5">
    <w:name w:val="List Number 5"/>
    <w:basedOn w:val="Standard"/>
    <w:uiPriority w:val="99"/>
    <w:pPr>
      <w:tabs>
        <w:tab w:val="left" w:pos="1492"/>
      </w:tabs>
      <w:ind w:left="1492" w:hanging="360"/>
      <w:contextualSpacing/>
    </w:pPr>
  </w:style>
  <w:style w:type="paragraph" w:styleId="Makrotext">
    <w:name w:val="macro"/>
    <w:link w:val="MakrotextZchn"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480" w:lineRule="auto"/>
    </w:pPr>
    <w:rPr>
      <w:rFonts w:ascii="Consolas" w:hAnsi="Consolas"/>
      <w:lang w:val="en-GB" w:eastAsia="ko-KR"/>
    </w:rPr>
  </w:style>
  <w:style w:type="paragraph" w:styleId="Nachrichtenkopf">
    <w:name w:val="Message Header"/>
    <w:basedOn w:val="Standard"/>
    <w:link w:val="NachrichtenkopfZchn"/>
    <w:uiPriority w:val="9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StandardWeb">
    <w:name w:val="Normal (Web)"/>
    <w:basedOn w:val="Standard"/>
    <w:uiPriority w:val="99"/>
    <w:rPr>
      <w:sz w:val="24"/>
      <w:szCs w:val="24"/>
    </w:rPr>
  </w:style>
  <w:style w:type="paragraph" w:styleId="Standardeinzug">
    <w:name w:val="Normal Indent"/>
    <w:basedOn w:val="Standard"/>
    <w:uiPriority w:val="99"/>
    <w:pPr>
      <w:ind w:left="708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pPr>
      <w:spacing w:after="0" w:line="240" w:lineRule="auto"/>
    </w:pPr>
  </w:style>
  <w:style w:type="character" w:styleId="Seitenzahl">
    <w:name w:val="page number"/>
    <w:basedOn w:val="Absatz-Standardschriftart"/>
    <w:uiPriority w:val="99"/>
  </w:style>
  <w:style w:type="paragraph" w:styleId="NurText">
    <w:name w:val="Plain Text"/>
    <w:basedOn w:val="Standard"/>
    <w:link w:val="NurTextZchn"/>
    <w:uiPriority w:val="99"/>
    <w:pPr>
      <w:spacing w:after="0" w:line="240" w:lineRule="auto"/>
    </w:pPr>
    <w:rPr>
      <w:rFonts w:ascii="Consolas" w:hAnsi="Consolas"/>
      <w:sz w:val="21"/>
      <w:szCs w:val="21"/>
    </w:rPr>
  </w:style>
  <w:style w:type="paragraph" w:styleId="Anrede">
    <w:name w:val="Salutation"/>
    <w:basedOn w:val="Standard"/>
    <w:next w:val="Standard"/>
    <w:link w:val="AnredeZchn"/>
    <w:uiPriority w:val="99"/>
  </w:style>
  <w:style w:type="paragraph" w:styleId="Unterschrift">
    <w:name w:val="Signature"/>
    <w:basedOn w:val="Standard"/>
    <w:link w:val="UnterschriftZchn"/>
    <w:uiPriority w:val="99"/>
    <w:pPr>
      <w:spacing w:after="0" w:line="240" w:lineRule="auto"/>
      <w:ind w:left="4252"/>
    </w:pPr>
  </w:style>
  <w:style w:type="character" w:styleId="Fett">
    <w:name w:val="Strong"/>
    <w:basedOn w:val="Absatz-Standardschriftart"/>
    <w:uiPriority w:val="22"/>
    <w:qFormat/>
    <w:rPr>
      <w:b/>
      <w:bCs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after="160"/>
    </w:pPr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htsgrundlagenverzeichnis">
    <w:name w:val="table of authorities"/>
    <w:basedOn w:val="Standard"/>
    <w:next w:val="Standard"/>
    <w:uiPriority w:val="99"/>
    <w:pPr>
      <w:spacing w:after="0"/>
      <w:ind w:left="200" w:hanging="200"/>
    </w:pPr>
  </w:style>
  <w:style w:type="paragraph" w:styleId="Abbildungsverzeichnis">
    <w:name w:val="table of figures"/>
    <w:basedOn w:val="Standard"/>
    <w:next w:val="Standard"/>
    <w:uiPriority w:val="99"/>
    <w:pPr>
      <w:spacing w:after="0"/>
    </w:pPr>
  </w:style>
  <w:style w:type="paragraph" w:styleId="Titel">
    <w:name w:val="Title"/>
    <w:basedOn w:val="Standard"/>
    <w:next w:val="Standard"/>
    <w:link w:val="TitelZchn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GV-berschrift">
    <w:name w:val="toa heading"/>
    <w:basedOn w:val="Standard"/>
    <w:next w:val="Standard"/>
    <w:uiPriority w:val="9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Verzeichnis1">
    <w:name w:val="toc 1"/>
    <w:basedOn w:val="Standard"/>
    <w:next w:val="Standard"/>
    <w:uiPriority w:val="39"/>
    <w:pPr>
      <w:spacing w:after="100"/>
    </w:pPr>
  </w:style>
  <w:style w:type="paragraph" w:styleId="Verzeichnis2">
    <w:name w:val="toc 2"/>
    <w:basedOn w:val="Standard"/>
    <w:next w:val="Standard"/>
    <w:uiPriority w:val="39"/>
    <w:pPr>
      <w:spacing w:after="100"/>
      <w:ind w:left="200"/>
    </w:pPr>
  </w:style>
  <w:style w:type="paragraph" w:styleId="Verzeichnis3">
    <w:name w:val="toc 3"/>
    <w:basedOn w:val="Standard"/>
    <w:next w:val="Standard"/>
    <w:uiPriority w:val="39"/>
    <w:pPr>
      <w:spacing w:after="100"/>
      <w:ind w:left="400"/>
    </w:pPr>
  </w:style>
  <w:style w:type="paragraph" w:styleId="Verzeichnis4">
    <w:name w:val="toc 4"/>
    <w:basedOn w:val="Standard"/>
    <w:next w:val="Standard"/>
    <w:uiPriority w:val="39"/>
    <w:pPr>
      <w:spacing w:after="100"/>
      <w:ind w:left="600"/>
    </w:pPr>
  </w:style>
  <w:style w:type="paragraph" w:styleId="Verzeichnis5">
    <w:name w:val="toc 5"/>
    <w:basedOn w:val="Standard"/>
    <w:next w:val="Standard"/>
    <w:uiPriority w:val="39"/>
    <w:pPr>
      <w:spacing w:after="100"/>
      <w:ind w:left="800"/>
    </w:pPr>
  </w:style>
  <w:style w:type="paragraph" w:styleId="Verzeichnis6">
    <w:name w:val="toc 6"/>
    <w:basedOn w:val="Standard"/>
    <w:next w:val="Standard"/>
    <w:uiPriority w:val="39"/>
    <w:pPr>
      <w:spacing w:after="100"/>
      <w:ind w:left="1000"/>
    </w:pPr>
  </w:style>
  <w:style w:type="paragraph" w:styleId="Verzeichnis7">
    <w:name w:val="toc 7"/>
    <w:basedOn w:val="Standard"/>
    <w:next w:val="Standard"/>
    <w:uiPriority w:val="39"/>
    <w:pPr>
      <w:spacing w:after="100"/>
      <w:ind w:left="1200"/>
    </w:pPr>
  </w:style>
  <w:style w:type="paragraph" w:styleId="Verzeichnis8">
    <w:name w:val="toc 8"/>
    <w:basedOn w:val="Standard"/>
    <w:next w:val="Standard"/>
    <w:uiPriority w:val="39"/>
    <w:pPr>
      <w:spacing w:after="100"/>
      <w:ind w:left="1400"/>
    </w:pPr>
  </w:style>
  <w:style w:type="paragraph" w:styleId="Verzeichnis9">
    <w:name w:val="toc 9"/>
    <w:basedOn w:val="Standard"/>
    <w:next w:val="Standard"/>
    <w:uiPriority w:val="39"/>
    <w:pPr>
      <w:spacing w:after="100"/>
      <w:ind w:left="1600"/>
    </w:pPr>
  </w:style>
  <w:style w:type="table" w:styleId="HelleSchattierung">
    <w:name w:val="Light Shading"/>
    <w:basedOn w:val="NormaleTabelle"/>
    <w:uiPriority w:val="60"/>
    <w:semiHidden/>
    <w:unhideWhenUsed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Pr>
      <w:color w:val="2F5496" w:themeColor="accent1" w:themeShade="BF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HelleListe">
    <w:name w:val="Light List"/>
    <w:basedOn w:val="NormaleTabelle"/>
    <w:uiPriority w:val="61"/>
    <w:semiHidden/>
    <w:unhideWhenUsed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unhideWhenUsed/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HellesRaster-Akzent1">
    <w:name w:val="Light Grid Accent 1"/>
    <w:basedOn w:val="NormaleTabelle"/>
    <w:uiPriority w:val="62"/>
    <w:unhideWhenUsed/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unhideWhenUsed/>
    <w:tblPr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unhideWhenUsed/>
    <w:rPr>
      <w:color w:val="000000" w:themeColor="text1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DunkleListe">
    <w:name w:val="Dark List"/>
    <w:basedOn w:val="NormaleTabelle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bigeSchattierung">
    <w:name w:val="Colorful Shading"/>
    <w:basedOn w:val="NormaleTabelle"/>
    <w:uiPriority w:val="71"/>
    <w:semiHidden/>
    <w:unhideWhenUsed/>
    <w:rPr>
      <w:color w:val="000000" w:themeColor="text1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Raster">
    <w:name w:val="Colorful Grid"/>
    <w:basedOn w:val="NormaleTabelle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customStyle="1" w:styleId="HeaderInfo">
    <w:name w:val="Header Info"/>
    <w:basedOn w:val="Standard"/>
    <w:pPr>
      <w:tabs>
        <w:tab w:val="left" w:pos="1985"/>
      </w:tabs>
    </w:pPr>
    <w:rPr>
      <w:rFonts w:ascii="Arial" w:hAnsi="Arial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Pr>
      <w:rFonts w:ascii="Segoe UI" w:hAnsi="Segoe UI" w:cs="Segoe UI"/>
      <w:sz w:val="18"/>
      <w:szCs w:val="18"/>
      <w:lang w:val="en-GB" w:eastAsia="ko-KR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lang w:val="en-GB" w:eastAsia="ko-KR"/>
    </w:rPr>
  </w:style>
  <w:style w:type="character" w:customStyle="1" w:styleId="KommentarthemaZchn">
    <w:name w:val="Kommentarthema Zchn"/>
    <w:basedOn w:val="KommentartextZchn"/>
    <w:link w:val="Kommentarthema"/>
    <w:uiPriority w:val="99"/>
    <w:rPr>
      <w:b/>
      <w:bCs/>
      <w:lang w:val="en-GB" w:eastAsia="ko-KR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b/>
      <w:sz w:val="28"/>
      <w:lang w:val="en-US" w:eastAsia="ko-KR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Theme="majorHAnsi" w:eastAsiaTheme="majorEastAsia" w:hAnsiTheme="majorHAnsi" w:cstheme="majorBidi"/>
      <w:i/>
      <w:iCs/>
      <w:color w:val="2F5496" w:themeColor="accent1" w:themeShade="BF"/>
      <w:lang w:val="en-GB" w:eastAsia="ko-KR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Theme="majorHAnsi" w:eastAsiaTheme="majorEastAsia" w:hAnsiTheme="majorHAnsi" w:cstheme="majorBidi"/>
      <w:color w:val="2F5496" w:themeColor="accent1" w:themeShade="BF"/>
      <w:lang w:val="en-GB" w:eastAsia="ko-KR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Theme="majorHAnsi" w:eastAsiaTheme="majorEastAsia" w:hAnsiTheme="majorHAnsi" w:cstheme="majorBidi"/>
      <w:color w:val="1F3864" w:themeColor="accent1" w:themeShade="80"/>
      <w:lang w:val="en-GB" w:eastAsia="ko-KR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Theme="majorHAnsi" w:eastAsiaTheme="majorEastAsia" w:hAnsiTheme="majorHAnsi" w:cstheme="majorBidi"/>
      <w:i/>
      <w:iCs/>
      <w:color w:val="1F3864" w:themeColor="accent1" w:themeShade="80"/>
      <w:lang w:val="en-GB" w:eastAsia="ko-KR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Theme="majorHAnsi" w:eastAsiaTheme="majorEastAsia" w:hAnsiTheme="majorHAnsi" w:cstheme="majorBidi"/>
      <w:color w:val="262626" w:themeColor="text1" w:themeTint="D9"/>
      <w:sz w:val="21"/>
      <w:szCs w:val="21"/>
      <w:lang w:val="en-GB" w:eastAsia="ko-KR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  <w:lang w:val="en-GB" w:eastAsia="ko-KR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b/>
      <w:sz w:val="36"/>
      <w:lang w:val="en-GB" w:eastAsia="ko-KR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b/>
      <w:sz w:val="22"/>
      <w:lang w:val="en-US" w:eastAsia="ko-KR"/>
    </w:rPr>
  </w:style>
  <w:style w:type="character" w:customStyle="1" w:styleId="KopfzeileZchn">
    <w:name w:val="Kopfzeile Zchn"/>
    <w:basedOn w:val="Absatz-Standardschriftart"/>
    <w:link w:val="Kopfzeile"/>
    <w:uiPriority w:val="99"/>
    <w:rPr>
      <w:lang w:val="en-GB" w:eastAsia="ko-KR"/>
    </w:rPr>
  </w:style>
  <w:style w:type="character" w:customStyle="1" w:styleId="FuzeileZchn">
    <w:name w:val="Fußzeile Zchn"/>
    <w:basedOn w:val="Absatz-Standardschriftart"/>
    <w:link w:val="Fuzeile"/>
    <w:uiPriority w:val="99"/>
    <w:rPr>
      <w:lang w:val="en-GB" w:eastAsia="ko-KR"/>
    </w:rPr>
  </w:style>
  <w:style w:type="paragraph" w:customStyle="1" w:styleId="Inhaltsverzeichnisberschrift1">
    <w:name w:val="Inhaltsverzeichnisüberschrift1"/>
    <w:basedOn w:val="berschrift1"/>
    <w:next w:val="Standard"/>
    <w:uiPriority w:val="39"/>
    <w:unhideWhenUsed/>
    <w:qFormat/>
    <w:pPr>
      <w:keepNext/>
      <w:keepLines/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customStyle="1" w:styleId="Literaturverzeichnis1">
    <w:name w:val="Literaturverzeichnis1"/>
    <w:basedOn w:val="Standard"/>
    <w:next w:val="Standard"/>
    <w:uiPriority w:val="37"/>
    <w:unhideWhenUsed/>
  </w:style>
  <w:style w:type="character" w:customStyle="1" w:styleId="Buchtitel1">
    <w:name w:val="Buchtitel1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IntensiverVerweis1">
    <w:name w:val="Intensiver Verweis1"/>
    <w:basedOn w:val="Absatz-Standardschriftart"/>
    <w:uiPriority w:val="32"/>
    <w:qFormat/>
    <w:rPr>
      <w:b/>
      <w:bCs/>
      <w:smallCaps/>
      <w:color w:val="4472C4" w:themeColor="accent1"/>
      <w:spacing w:val="5"/>
    </w:rPr>
  </w:style>
  <w:style w:type="character" w:customStyle="1" w:styleId="SchwacherVerweis1">
    <w:name w:val="Schwacher Verweis1"/>
    <w:basedOn w:val="Absatz-Standardschriftart"/>
    <w:uiPriority w:val="31"/>
    <w:qFormat/>
    <w:rPr>
      <w:smallCaps/>
      <w:color w:val="595959" w:themeColor="text1" w:themeTint="A6"/>
    </w:rPr>
  </w:style>
  <w:style w:type="character" w:customStyle="1" w:styleId="IntensiveHervorhebung1">
    <w:name w:val="Intensive Hervorhebung1"/>
    <w:basedOn w:val="Absatz-Standardschriftart"/>
    <w:uiPriority w:val="21"/>
    <w:qFormat/>
    <w:rPr>
      <w:i/>
      <w:iCs/>
      <w:color w:val="4472C4" w:themeColor="accent1"/>
    </w:rPr>
  </w:style>
  <w:style w:type="character" w:customStyle="1" w:styleId="SchwacheHervorhebung1">
    <w:name w:val="Schwache Hervorhebung1"/>
    <w:basedOn w:val="Absatz-Standardschriftart"/>
    <w:uiPriority w:val="19"/>
    <w:qFormat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4472C4" w:themeColor="accent1"/>
      <w:lang w:val="en-GB" w:eastAsia="ko-KR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  <w:lang w:val="en-GB" w:eastAsia="ko-KR"/>
    </w:rPr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paragraph" w:styleId="KeinLeerraum">
    <w:name w:val="No Spacing"/>
    <w:link w:val="KeinLeerraumZchn"/>
    <w:uiPriority w:val="1"/>
    <w:qFormat/>
    <w:rPr>
      <w:lang w:val="en-GB" w:eastAsia="ko-KR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Pr>
      <w:rFonts w:ascii="Consolas" w:hAnsi="Consolas"/>
      <w:lang w:val="en-GB" w:eastAsia="ko-KR"/>
    </w:rPr>
  </w:style>
  <w:style w:type="character" w:customStyle="1" w:styleId="HTMLAdresseZchn">
    <w:name w:val="HTML Adresse Zchn"/>
    <w:basedOn w:val="Absatz-Standardschriftart"/>
    <w:link w:val="HTMLAdresse"/>
    <w:uiPriority w:val="99"/>
    <w:rPr>
      <w:i/>
      <w:iCs/>
      <w:lang w:val="en-GB" w:eastAsia="ko-KR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onsolas" w:hAnsi="Consolas"/>
      <w:sz w:val="21"/>
      <w:szCs w:val="21"/>
      <w:lang w:val="en-GB" w:eastAsia="ko-KR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Pr>
      <w:rFonts w:ascii="Segoe UI" w:hAnsi="Segoe UI" w:cs="Segoe UI"/>
      <w:sz w:val="16"/>
      <w:szCs w:val="16"/>
      <w:lang w:val="en-GB" w:eastAsia="ko-KR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Pr>
      <w:sz w:val="16"/>
      <w:szCs w:val="16"/>
      <w:lang w:val="en-GB" w:eastAsia="ko-KR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rPr>
      <w:lang w:val="en-GB" w:eastAsia="ko-KR"/>
    </w:rPr>
  </w:style>
  <w:style w:type="character" w:customStyle="1" w:styleId="Textkrper3Zchn">
    <w:name w:val="Textkörper 3 Zchn"/>
    <w:basedOn w:val="Absatz-Standardschriftart"/>
    <w:link w:val="Textkrper3"/>
    <w:uiPriority w:val="99"/>
    <w:rPr>
      <w:sz w:val="16"/>
      <w:szCs w:val="16"/>
      <w:lang w:val="en-GB" w:eastAsia="ko-KR"/>
    </w:rPr>
  </w:style>
  <w:style w:type="character" w:customStyle="1" w:styleId="Textkrper2Zchn">
    <w:name w:val="Textkörper 2 Zchn"/>
    <w:basedOn w:val="Absatz-Standardschriftart"/>
    <w:link w:val="Textkrper2"/>
    <w:uiPriority w:val="99"/>
    <w:rPr>
      <w:lang w:val="en-GB" w:eastAsia="ko-KR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rPr>
      <w:lang w:val="en-GB" w:eastAsia="ko-KR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Pr>
      <w:lang w:val="en-GB" w:eastAsia="ko-KR"/>
    </w:r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Pr>
      <w:lang w:val="en-GB" w:eastAsia="ko-KR"/>
    </w:rPr>
  </w:style>
  <w:style w:type="character" w:customStyle="1" w:styleId="TextkrperZchn">
    <w:name w:val="Textkörper Zchn"/>
    <w:basedOn w:val="Absatz-Standardschriftart"/>
    <w:link w:val="Textkrper"/>
    <w:uiPriority w:val="99"/>
    <w:rPr>
      <w:lang w:val="en-GB" w:eastAsia="ko-KR"/>
    </w:r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Pr>
      <w:lang w:val="en-GB" w:eastAsia="ko-KR"/>
    </w:rPr>
  </w:style>
  <w:style w:type="character" w:customStyle="1" w:styleId="DatumZchn">
    <w:name w:val="Datum Zchn"/>
    <w:basedOn w:val="Absatz-Standardschriftart"/>
    <w:link w:val="Datum"/>
    <w:uiPriority w:val="99"/>
    <w:rPr>
      <w:lang w:val="en-GB" w:eastAsia="ko-KR"/>
    </w:rPr>
  </w:style>
  <w:style w:type="character" w:customStyle="1" w:styleId="AnredeZchn">
    <w:name w:val="Anrede Zchn"/>
    <w:basedOn w:val="Absatz-Standardschriftart"/>
    <w:link w:val="Anrede"/>
    <w:uiPriority w:val="99"/>
    <w:rPr>
      <w:lang w:val="en-GB" w:eastAsia="ko-KR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inorHAnsi" w:eastAsiaTheme="minorEastAsia" w:hAnsiTheme="minorHAnsi" w:cstheme="minorBidi"/>
      <w:color w:val="595959" w:themeColor="text1" w:themeTint="A6"/>
      <w:spacing w:val="15"/>
      <w:sz w:val="22"/>
      <w:szCs w:val="22"/>
      <w:lang w:val="en-GB" w:eastAsia="ko-KR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ko-KR"/>
    </w:rPr>
  </w:style>
  <w:style w:type="character" w:customStyle="1" w:styleId="UnterschriftZchn">
    <w:name w:val="Unterschrift Zchn"/>
    <w:basedOn w:val="Absatz-Standardschriftart"/>
    <w:link w:val="Unterschrift"/>
    <w:uiPriority w:val="99"/>
    <w:rPr>
      <w:lang w:val="en-GB" w:eastAsia="ko-KR"/>
    </w:rPr>
  </w:style>
  <w:style w:type="character" w:customStyle="1" w:styleId="GruformelZchn">
    <w:name w:val="Grußformel Zchn"/>
    <w:basedOn w:val="Absatz-Standardschriftart"/>
    <w:link w:val="Gruformel"/>
    <w:uiPriority w:val="99"/>
    <w:rPr>
      <w:lang w:val="en-GB" w:eastAsia="ko-KR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ko-KR"/>
    </w:rPr>
  </w:style>
  <w:style w:type="character" w:customStyle="1" w:styleId="MakrotextZchn">
    <w:name w:val="Makrotext Zchn"/>
    <w:basedOn w:val="Absatz-Standardschriftart"/>
    <w:link w:val="Makrotext"/>
    <w:uiPriority w:val="99"/>
    <w:rPr>
      <w:rFonts w:ascii="Consolas" w:hAnsi="Consolas"/>
      <w:lang w:val="en-GB" w:eastAsia="ko-KR"/>
    </w:rPr>
  </w:style>
  <w:style w:type="character" w:customStyle="1" w:styleId="EndnotentextZchn">
    <w:name w:val="Endnotentext Zchn"/>
    <w:basedOn w:val="Absatz-Standardschriftart"/>
    <w:link w:val="Endnotentext"/>
    <w:uiPriority w:val="99"/>
    <w:rPr>
      <w:lang w:val="en-GB" w:eastAsia="ko-KR"/>
    </w:rPr>
  </w:style>
  <w:style w:type="character" w:customStyle="1" w:styleId="FunotentextZchn">
    <w:name w:val="Fußnotentext Zchn"/>
    <w:basedOn w:val="Absatz-Standardschriftart"/>
    <w:link w:val="Funotentext"/>
    <w:uiPriority w:val="99"/>
    <w:rPr>
      <w:lang w:val="en-GB" w:eastAsia="ko-KR"/>
    </w:rPr>
  </w:style>
  <w:style w:type="paragraph" w:customStyle="1" w:styleId="CitaviBibliographyEntry">
    <w:name w:val="Citavi Bibliography Entry"/>
    <w:basedOn w:val="Text"/>
    <w:link w:val="CitaviBibliographyEntryZchn"/>
    <w:pPr>
      <w:tabs>
        <w:tab w:val="left" w:pos="720"/>
      </w:tabs>
      <w:spacing w:before="120" w:after="0" w:line="240" w:lineRule="auto"/>
      <w:ind w:left="720" w:hanging="720"/>
    </w:pPr>
  </w:style>
  <w:style w:type="character" w:customStyle="1" w:styleId="berschrift11Zchn">
    <w:name w:val="Überschrift 11 Zchn"/>
    <w:basedOn w:val="Absatz-Standardschriftart"/>
    <w:link w:val="berschrift11"/>
    <w:rPr>
      <w:b/>
      <w:sz w:val="36"/>
      <w:lang w:val="en-GB" w:eastAsia="ko-KR"/>
    </w:rPr>
  </w:style>
  <w:style w:type="character" w:customStyle="1" w:styleId="CitaviBibliographyEntryZchn">
    <w:name w:val="Citavi Bibliography Entry Zchn"/>
    <w:basedOn w:val="berschrift11Zchn"/>
    <w:link w:val="CitaviBibliographyEntry"/>
    <w:rPr>
      <w:b w:val="0"/>
      <w:sz w:val="36"/>
      <w:lang w:val="en-US" w:eastAsia="ko-KR"/>
    </w:rPr>
  </w:style>
  <w:style w:type="paragraph" w:customStyle="1" w:styleId="CitaviBibliographyHeading">
    <w:name w:val="Citavi Bibliography Heading"/>
    <w:basedOn w:val="berschrift1"/>
    <w:link w:val="CitaviBibliographyHeadingZchn"/>
  </w:style>
  <w:style w:type="character" w:customStyle="1" w:styleId="CitaviBibliographyHeadingZchn">
    <w:name w:val="Citavi Bibliography Heading Zchn"/>
    <w:basedOn w:val="berschrift11Zchn"/>
    <w:link w:val="CitaviBibliographyHeading"/>
    <w:rPr>
      <w:b/>
      <w:sz w:val="36"/>
      <w:lang w:val="en-GB" w:eastAsia="ko-KR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</w:style>
  <w:style w:type="character" w:customStyle="1" w:styleId="CitaviChapterBibliographyHeadingZchn">
    <w:name w:val="Citavi Chapter Bibliography Heading Zchn"/>
    <w:basedOn w:val="berschrift11Zchn"/>
    <w:link w:val="CitaviChapterBibliographyHeading"/>
    <w:uiPriority w:val="99"/>
    <w:rPr>
      <w:b/>
      <w:sz w:val="28"/>
      <w:lang w:val="en-GB" w:eastAsia="ko-KR"/>
    </w:rPr>
  </w:style>
  <w:style w:type="paragraph" w:customStyle="1" w:styleId="CitaviBibliographySubheading1">
    <w:name w:val="Citavi Bibliography Subheading 1"/>
    <w:basedOn w:val="berschrift2"/>
    <w:link w:val="CitaviBibliographySubheading1Zchn"/>
    <w:pPr>
      <w:outlineLvl w:val="9"/>
    </w:pPr>
    <w:rPr>
      <w:sz w:val="36"/>
    </w:rPr>
  </w:style>
  <w:style w:type="character" w:customStyle="1" w:styleId="CitaviBibliographySubheading1Zchn">
    <w:name w:val="Citavi Bibliography Subheading 1 Zchn"/>
    <w:basedOn w:val="berschrift11Zchn"/>
    <w:link w:val="CitaviBibliographySubheading1"/>
    <w:rPr>
      <w:b/>
      <w:sz w:val="36"/>
      <w:lang w:val="en-GB" w:eastAsia="ko-KR"/>
    </w:rPr>
  </w:style>
  <w:style w:type="paragraph" w:customStyle="1" w:styleId="CitaviBibliographySubheading2">
    <w:name w:val="Citavi Bibliography Subheading 2"/>
    <w:basedOn w:val="berschrift3"/>
    <w:link w:val="CitaviBibliographySubheading2Zchn"/>
    <w:pPr>
      <w:numPr>
        <w:ilvl w:val="1"/>
        <w:numId w:val="1"/>
      </w:numPr>
      <w:ind w:left="0" w:firstLine="0"/>
      <w:outlineLvl w:val="9"/>
    </w:pPr>
    <w:rPr>
      <w:sz w:val="36"/>
    </w:rPr>
  </w:style>
  <w:style w:type="character" w:customStyle="1" w:styleId="CitaviBibliographySubheading2Zchn">
    <w:name w:val="Citavi Bibliography Subheading 2 Zchn"/>
    <w:basedOn w:val="berschrift11Zchn"/>
    <w:link w:val="CitaviBibliographySubheading2"/>
    <w:rPr>
      <w:b/>
      <w:sz w:val="36"/>
      <w:lang w:val="en-US" w:eastAsia="ko-KR"/>
    </w:rPr>
  </w:style>
  <w:style w:type="paragraph" w:customStyle="1" w:styleId="CitaviBibliographySubheading3">
    <w:name w:val="Citavi Bibliography Subheading 3"/>
    <w:basedOn w:val="berschrift4"/>
    <w:link w:val="CitaviBibliographySubheading3Zchn"/>
    <w:pPr>
      <w:outlineLvl w:val="9"/>
    </w:pPr>
    <w:rPr>
      <w:sz w:val="36"/>
    </w:rPr>
  </w:style>
  <w:style w:type="character" w:customStyle="1" w:styleId="CitaviBibliographySubheading3Zchn">
    <w:name w:val="Citavi Bibliography Subheading 3 Zchn"/>
    <w:basedOn w:val="berschrift11Zchn"/>
    <w:link w:val="CitaviBibliographySubheading3"/>
    <w:rPr>
      <w:rFonts w:asciiTheme="majorHAnsi" w:eastAsiaTheme="majorEastAsia" w:hAnsiTheme="majorHAnsi" w:cstheme="majorBidi"/>
      <w:b w:val="0"/>
      <w:i/>
      <w:iCs/>
      <w:color w:val="2F5496" w:themeColor="accent1" w:themeShade="BF"/>
      <w:sz w:val="36"/>
      <w:lang w:val="en-GB" w:eastAsia="ko-KR"/>
    </w:rPr>
  </w:style>
  <w:style w:type="paragraph" w:customStyle="1" w:styleId="CitaviBibliographySubheading4">
    <w:name w:val="Citavi Bibliography Subheading 4"/>
    <w:basedOn w:val="berschrift5"/>
    <w:link w:val="CitaviBibliographySubheading4Zchn"/>
    <w:pPr>
      <w:outlineLvl w:val="9"/>
    </w:pPr>
    <w:rPr>
      <w:sz w:val="36"/>
    </w:rPr>
  </w:style>
  <w:style w:type="character" w:customStyle="1" w:styleId="CitaviBibliographySubheading4Zchn">
    <w:name w:val="Citavi Bibliography Subheading 4 Zchn"/>
    <w:basedOn w:val="berschrift11Zchn"/>
    <w:link w:val="CitaviBibliographySubheading4"/>
    <w:rPr>
      <w:rFonts w:asciiTheme="majorHAnsi" w:eastAsiaTheme="majorEastAsia" w:hAnsiTheme="majorHAnsi" w:cstheme="majorBidi"/>
      <w:b w:val="0"/>
      <w:color w:val="2F5496" w:themeColor="accent1" w:themeShade="BF"/>
      <w:sz w:val="36"/>
      <w:lang w:val="en-GB" w:eastAsia="ko-KR"/>
    </w:rPr>
  </w:style>
  <w:style w:type="paragraph" w:customStyle="1" w:styleId="CitaviBibliographySubheading5">
    <w:name w:val="Citavi Bibliography Subheading 5"/>
    <w:basedOn w:val="berschrift6"/>
    <w:link w:val="CitaviBibliographySubheading5Zchn"/>
    <w:pPr>
      <w:outlineLvl w:val="9"/>
    </w:pPr>
    <w:rPr>
      <w:sz w:val="36"/>
    </w:rPr>
  </w:style>
  <w:style w:type="character" w:customStyle="1" w:styleId="CitaviBibliographySubheading5Zchn">
    <w:name w:val="Citavi Bibliography Subheading 5 Zchn"/>
    <w:basedOn w:val="berschrift11Zchn"/>
    <w:link w:val="CitaviBibliographySubheading5"/>
    <w:rPr>
      <w:rFonts w:asciiTheme="majorHAnsi" w:eastAsiaTheme="majorEastAsia" w:hAnsiTheme="majorHAnsi" w:cstheme="majorBidi"/>
      <w:b w:val="0"/>
      <w:color w:val="1F3864" w:themeColor="accent1" w:themeShade="80"/>
      <w:sz w:val="36"/>
      <w:lang w:val="en-GB" w:eastAsia="ko-KR"/>
    </w:rPr>
  </w:style>
  <w:style w:type="paragraph" w:customStyle="1" w:styleId="CitaviBibliographySubheading6">
    <w:name w:val="Citavi Bibliography Subheading 6"/>
    <w:basedOn w:val="berschrift7"/>
    <w:link w:val="CitaviBibliographySubheading6Zchn"/>
    <w:pPr>
      <w:outlineLvl w:val="9"/>
    </w:pPr>
    <w:rPr>
      <w:sz w:val="36"/>
    </w:rPr>
  </w:style>
  <w:style w:type="character" w:customStyle="1" w:styleId="CitaviBibliographySubheading6Zchn">
    <w:name w:val="Citavi Bibliography Subheading 6 Zchn"/>
    <w:basedOn w:val="berschrift11Zchn"/>
    <w:link w:val="CitaviBibliographySubheading6"/>
    <w:rPr>
      <w:rFonts w:asciiTheme="majorHAnsi" w:eastAsiaTheme="majorEastAsia" w:hAnsiTheme="majorHAnsi" w:cstheme="majorBidi"/>
      <w:b w:val="0"/>
      <w:i/>
      <w:iCs/>
      <w:color w:val="1F3864" w:themeColor="accent1" w:themeShade="80"/>
      <w:sz w:val="36"/>
      <w:lang w:val="en-GB" w:eastAsia="ko-KR"/>
    </w:rPr>
  </w:style>
  <w:style w:type="paragraph" w:customStyle="1" w:styleId="CitaviBibliographySubheading7">
    <w:name w:val="Citavi Bibliography Subheading 7"/>
    <w:basedOn w:val="berschrift8"/>
    <w:link w:val="CitaviBibliographySubheading7Zchn"/>
    <w:pPr>
      <w:outlineLvl w:val="9"/>
    </w:pPr>
    <w:rPr>
      <w:color w:val="262626" w:themeColor="text1" w:themeTint="D9"/>
      <w:sz w:val="36"/>
    </w:rPr>
  </w:style>
  <w:style w:type="character" w:customStyle="1" w:styleId="CitaviBibliographySubheading7Zchn">
    <w:name w:val="Citavi Bibliography Subheading 7 Zchn"/>
    <w:basedOn w:val="berschrift11Zchn"/>
    <w:link w:val="CitaviBibliographySubheading7"/>
    <w:rPr>
      <w:rFonts w:asciiTheme="majorHAnsi" w:eastAsiaTheme="majorEastAsia" w:hAnsiTheme="majorHAnsi" w:cstheme="majorBidi"/>
      <w:b w:val="0"/>
      <w:color w:val="262626" w:themeColor="text1" w:themeTint="D9"/>
      <w:sz w:val="36"/>
      <w:szCs w:val="21"/>
      <w:lang w:val="en-GB" w:eastAsia="ko-KR"/>
    </w:rPr>
  </w:style>
  <w:style w:type="paragraph" w:customStyle="1" w:styleId="CitaviBibliographySubheading8">
    <w:name w:val="Citavi Bibliography Subheading 8"/>
    <w:basedOn w:val="berschrift9"/>
    <w:link w:val="CitaviBibliographySubheading8Zchn"/>
    <w:pPr>
      <w:outlineLvl w:val="9"/>
    </w:pPr>
    <w:rPr>
      <w:color w:val="262626" w:themeColor="text1" w:themeTint="D9"/>
      <w:sz w:val="36"/>
    </w:rPr>
  </w:style>
  <w:style w:type="character" w:customStyle="1" w:styleId="CitaviBibliographySubheading8Zchn">
    <w:name w:val="Citavi Bibliography Subheading 8 Zchn"/>
    <w:basedOn w:val="berschrift11Zchn"/>
    <w:link w:val="CitaviBibliographySubheading8"/>
    <w:rPr>
      <w:rFonts w:asciiTheme="majorHAnsi" w:eastAsiaTheme="majorEastAsia" w:hAnsiTheme="majorHAnsi" w:cstheme="majorBidi"/>
      <w:b w:val="0"/>
      <w:i/>
      <w:iCs/>
      <w:color w:val="262626" w:themeColor="text1" w:themeTint="D9"/>
      <w:sz w:val="36"/>
      <w:szCs w:val="21"/>
      <w:lang w:val="en-GB" w:eastAsia="ko-KR"/>
    </w:rPr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character" w:customStyle="1" w:styleId="BasictextZchn">
    <w:name w:val="Basic text Zchn"/>
    <w:link w:val="Basictext"/>
    <w:locked/>
    <w:rPr>
      <w:color w:val="000000"/>
      <w:sz w:val="22"/>
      <w:szCs w:val="15"/>
      <w:lang w:val="en-GB" w:eastAsia="en-US"/>
    </w:rPr>
  </w:style>
  <w:style w:type="paragraph" w:customStyle="1" w:styleId="Basictext">
    <w:name w:val="Basic text"/>
    <w:link w:val="BasictextZchn"/>
    <w:pPr>
      <w:spacing w:after="60"/>
      <w:jc w:val="both"/>
    </w:pPr>
    <w:rPr>
      <w:color w:val="000000"/>
      <w:sz w:val="22"/>
      <w:szCs w:val="15"/>
      <w:lang w:val="en-GB"/>
    </w:rPr>
  </w:style>
  <w:style w:type="paragraph" w:customStyle="1" w:styleId="berschrift32">
    <w:name w:val="Überschrift 32"/>
    <w:basedOn w:val="Standard"/>
    <w:next w:val="Standard"/>
    <w:pPr>
      <w:spacing w:after="240"/>
    </w:pPr>
    <w:rPr>
      <w:b/>
      <w:sz w:val="22"/>
    </w:rPr>
  </w:style>
  <w:style w:type="paragraph" w:customStyle="1" w:styleId="berschrift10">
    <w:name w:val="Überschrift_1"/>
    <w:basedOn w:val="Text"/>
    <w:link w:val="berschrift1Zchn0"/>
    <w:qFormat/>
    <w:pPr>
      <w:outlineLvl w:val="0"/>
    </w:pPr>
    <w:rPr>
      <w:b/>
      <w:sz w:val="28"/>
      <w:lang w:val="en-GB"/>
    </w:rPr>
  </w:style>
  <w:style w:type="paragraph" w:customStyle="1" w:styleId="berschrift20">
    <w:name w:val="Überschrift_2"/>
    <w:basedOn w:val="Text"/>
    <w:link w:val="berschrift2Zchn0"/>
    <w:qFormat/>
    <w:pPr>
      <w:outlineLvl w:val="1"/>
    </w:pPr>
    <w:rPr>
      <w:b/>
      <w:sz w:val="22"/>
    </w:rPr>
  </w:style>
  <w:style w:type="character" w:customStyle="1" w:styleId="TextZchn">
    <w:name w:val="Text Zchn"/>
    <w:basedOn w:val="Absatz-Standardschriftart"/>
    <w:link w:val="Text"/>
    <w:rPr>
      <w:lang w:val="en-US" w:eastAsia="ko-KR"/>
    </w:rPr>
  </w:style>
  <w:style w:type="character" w:customStyle="1" w:styleId="berschrift1Zchn0">
    <w:name w:val="Überschrift_1 Zchn"/>
    <w:basedOn w:val="TextZchn"/>
    <w:link w:val="berschrift10"/>
    <w:rPr>
      <w:b/>
      <w:sz w:val="28"/>
      <w:lang w:val="en-GB" w:eastAsia="ko-KR"/>
    </w:rPr>
  </w:style>
  <w:style w:type="character" w:customStyle="1" w:styleId="berschrift2Zchn0">
    <w:name w:val="Überschrift_2 Zchn"/>
    <w:basedOn w:val="TextZchn"/>
    <w:link w:val="berschrift20"/>
    <w:rPr>
      <w:b/>
      <w:sz w:val="22"/>
      <w:lang w:val="en-US" w:eastAsia="ko-KR"/>
    </w:rPr>
  </w:style>
  <w:style w:type="paragraph" w:customStyle="1" w:styleId="Formatvorlage1">
    <w:name w:val="Formatvorlage1"/>
    <w:basedOn w:val="berschrift10"/>
    <w:next w:val="Standard"/>
    <w:qFormat/>
  </w:style>
  <w:style w:type="paragraph" w:customStyle="1" w:styleId="Table">
    <w:name w:val="Table"/>
    <w:basedOn w:val="Basictext"/>
    <w:pPr>
      <w:jc w:val="left"/>
    </w:pPr>
    <w:rPr>
      <w:sz w:val="20"/>
      <w:szCs w:val="20"/>
    </w:rPr>
  </w:style>
  <w:style w:type="paragraph" w:customStyle="1" w:styleId="Bullet">
    <w:name w:val="Bullet"/>
    <w:basedOn w:val="Standard"/>
    <w:pPr>
      <w:numPr>
        <w:numId w:val="2"/>
      </w:numPr>
      <w:tabs>
        <w:tab w:val="clear" w:pos="360"/>
        <w:tab w:val="left" w:pos="284"/>
      </w:tabs>
      <w:spacing w:before="120" w:after="0" w:line="240" w:lineRule="auto"/>
      <w:ind w:left="284" w:hanging="284"/>
      <w:jc w:val="both"/>
    </w:pPr>
    <w:rPr>
      <w:rFonts w:cs="Arial"/>
      <w:color w:val="000000"/>
      <w:sz w:val="22"/>
      <w:szCs w:val="22"/>
      <w:lang w:val="en-US" w:eastAsia="en-US"/>
    </w:rPr>
  </w:style>
  <w:style w:type="paragraph" w:customStyle="1" w:styleId="Bullet2">
    <w:name w:val="Bullet 2"/>
    <w:basedOn w:val="Standard"/>
    <w:pPr>
      <w:numPr>
        <w:ilvl w:val="1"/>
        <w:numId w:val="2"/>
      </w:numPr>
      <w:tabs>
        <w:tab w:val="clear" w:pos="1080"/>
        <w:tab w:val="left" w:pos="567"/>
      </w:tabs>
      <w:spacing w:before="120" w:after="0" w:line="240" w:lineRule="auto"/>
      <w:ind w:left="567" w:hanging="283"/>
      <w:jc w:val="both"/>
    </w:pPr>
    <w:rPr>
      <w:rFonts w:cs="Arial"/>
      <w:color w:val="000000"/>
      <w:sz w:val="22"/>
      <w:szCs w:val="22"/>
      <w:lang w:eastAsia="en-US"/>
    </w:rPr>
  </w:style>
  <w:style w:type="paragraph" w:customStyle="1" w:styleId="Funotentext1">
    <w:name w:val="Fußnotentext1"/>
    <w:basedOn w:val="Funotentext"/>
    <w:link w:val="FootnotetextZchn"/>
    <w:qFormat/>
    <w:pPr>
      <w:tabs>
        <w:tab w:val="left" w:pos="425"/>
      </w:tabs>
      <w:spacing w:before="120"/>
      <w:jc w:val="both"/>
    </w:pPr>
    <w:rPr>
      <w:color w:val="000000"/>
      <w:sz w:val="18"/>
      <w:szCs w:val="16"/>
      <w:lang w:eastAsia="en-US"/>
    </w:rPr>
  </w:style>
  <w:style w:type="character" w:customStyle="1" w:styleId="FootnotetextZchn">
    <w:name w:val="Footnote text Zchn"/>
    <w:basedOn w:val="FunotentextZchn"/>
    <w:link w:val="Funotentext1"/>
    <w:rPr>
      <w:color w:val="000000"/>
      <w:sz w:val="18"/>
      <w:szCs w:val="16"/>
      <w:lang w:val="en-GB" w:eastAsia="en-US"/>
    </w:rPr>
  </w:style>
  <w:style w:type="paragraph" w:customStyle="1" w:styleId="Figure">
    <w:name w:val="Figure"/>
    <w:basedOn w:val="Basictext"/>
    <w:next w:val="Figuretitle"/>
    <w:pPr>
      <w:keepNext/>
      <w:spacing w:before="240"/>
      <w:jc w:val="left"/>
    </w:pPr>
  </w:style>
  <w:style w:type="paragraph" w:customStyle="1" w:styleId="Figuretitle">
    <w:name w:val="Figure title"/>
    <w:basedOn w:val="Basictext"/>
    <w:next w:val="Basictext"/>
    <w:pPr>
      <w:tabs>
        <w:tab w:val="left" w:pos="1418"/>
      </w:tabs>
      <w:spacing w:after="120"/>
      <w:ind w:left="1418" w:hanging="1418"/>
      <w:jc w:val="left"/>
    </w:pPr>
    <w:rPr>
      <w:i/>
    </w:rPr>
  </w:style>
  <w:style w:type="paragraph" w:customStyle="1" w:styleId="Footnote">
    <w:name w:val="Footnote"/>
    <w:basedOn w:val="Basictext"/>
    <w:link w:val="FootnoteZchn"/>
    <w:qFormat/>
    <w:rPr>
      <w:vertAlign w:val="superscript"/>
    </w:rPr>
  </w:style>
  <w:style w:type="character" w:customStyle="1" w:styleId="FootnoteZchn">
    <w:name w:val="Footnote Zchn"/>
    <w:link w:val="Footnote"/>
    <w:rPr>
      <w:color w:val="000000"/>
      <w:sz w:val="22"/>
      <w:szCs w:val="15"/>
      <w:vertAlign w:val="superscript"/>
      <w:lang w:val="en-GB" w:eastAsia="en-US"/>
    </w:rPr>
  </w:style>
  <w:style w:type="paragraph" w:customStyle="1" w:styleId="Maintitle">
    <w:name w:val="Main title"/>
    <w:basedOn w:val="Basictext"/>
    <w:next w:val="Standard"/>
    <w:pPr>
      <w:spacing w:after="480"/>
      <w:jc w:val="center"/>
    </w:pPr>
    <w:rPr>
      <w:b/>
      <w:caps/>
      <w:sz w:val="32"/>
      <w:szCs w:val="32"/>
    </w:rPr>
  </w:style>
  <w:style w:type="paragraph" w:customStyle="1" w:styleId="Abstract">
    <w:name w:val="Abstract"/>
    <w:basedOn w:val="Basictext"/>
    <w:next w:val="Basictext"/>
    <w:link w:val="AbstractZchn"/>
    <w:rPr>
      <w:i/>
      <w:szCs w:val="18"/>
      <w:lang w:val="en-US"/>
    </w:rPr>
  </w:style>
  <w:style w:type="character" w:customStyle="1" w:styleId="AbstractZchn">
    <w:name w:val="Abstract Zchn"/>
    <w:basedOn w:val="BasictextZchn"/>
    <w:link w:val="Abstract"/>
    <w:rPr>
      <w:i/>
      <w:color w:val="000000"/>
      <w:sz w:val="22"/>
      <w:szCs w:val="18"/>
      <w:lang w:val="en-US" w:eastAsia="en-US"/>
    </w:rPr>
  </w:style>
  <w:style w:type="paragraph" w:customStyle="1" w:styleId="Author">
    <w:name w:val="Author"/>
    <w:basedOn w:val="Standard"/>
    <w:link w:val="AuthorChar"/>
    <w:qFormat/>
    <w:pPr>
      <w:spacing w:before="120" w:after="0" w:line="240" w:lineRule="auto"/>
      <w:ind w:left="284" w:hanging="284"/>
    </w:pPr>
    <w:rPr>
      <w:color w:val="000000"/>
      <w:sz w:val="24"/>
      <w:szCs w:val="24"/>
      <w:lang w:val="zh-CN" w:eastAsia="zh-CN"/>
    </w:rPr>
  </w:style>
  <w:style w:type="character" w:customStyle="1" w:styleId="AuthorChar">
    <w:name w:val="Author Char"/>
    <w:link w:val="Author"/>
    <w:rPr>
      <w:color w:val="000000"/>
      <w:sz w:val="24"/>
      <w:szCs w:val="24"/>
      <w:lang w:val="zh-CN" w:eastAsia="zh-CN"/>
    </w:rPr>
  </w:style>
  <w:style w:type="paragraph" w:customStyle="1" w:styleId="Reference">
    <w:name w:val="Reference"/>
    <w:basedOn w:val="Standard"/>
    <w:link w:val="ReferenceZchn"/>
    <w:pPr>
      <w:spacing w:after="0" w:line="240" w:lineRule="auto"/>
      <w:ind w:left="284" w:hanging="284"/>
      <w:jc w:val="both"/>
    </w:pPr>
    <w:rPr>
      <w:color w:val="000000"/>
      <w:sz w:val="22"/>
      <w:szCs w:val="15"/>
      <w:lang w:eastAsia="en-US"/>
    </w:rPr>
  </w:style>
  <w:style w:type="character" w:customStyle="1" w:styleId="ReferenceZchn">
    <w:name w:val="Reference Zchn"/>
    <w:link w:val="Reference"/>
    <w:rPr>
      <w:color w:val="000000"/>
      <w:sz w:val="22"/>
      <w:szCs w:val="15"/>
      <w:lang w:val="en-GB" w:eastAsia="en-US"/>
    </w:rPr>
  </w:style>
  <w:style w:type="paragraph" w:customStyle="1" w:styleId="Typeofpaper">
    <w:name w:val="Type of paper"/>
    <w:basedOn w:val="Standard"/>
    <w:link w:val="TypeofpaperZchn"/>
    <w:qFormat/>
    <w:pPr>
      <w:spacing w:before="120" w:after="0" w:line="240" w:lineRule="auto"/>
      <w:ind w:left="284" w:hanging="284"/>
      <w:jc w:val="center"/>
    </w:pPr>
    <w:rPr>
      <w:i/>
      <w:color w:val="000000"/>
      <w:sz w:val="24"/>
      <w:szCs w:val="24"/>
      <w:lang w:val="en-US" w:eastAsia="en-US"/>
    </w:rPr>
  </w:style>
  <w:style w:type="character" w:customStyle="1" w:styleId="TypeofpaperZchn">
    <w:name w:val="Type of paper Zchn"/>
    <w:link w:val="Typeofpaper"/>
    <w:rPr>
      <w:i/>
      <w:color w:val="000000"/>
      <w:sz w:val="24"/>
      <w:szCs w:val="24"/>
      <w:lang w:val="en-US" w:eastAsia="en-US"/>
    </w:rPr>
  </w:style>
  <w:style w:type="paragraph" w:customStyle="1" w:styleId="Importantremark">
    <w:name w:val="Important remark"/>
    <w:basedOn w:val="Standard"/>
    <w:pPr>
      <w:spacing w:before="120" w:after="0" w:line="240" w:lineRule="auto"/>
      <w:ind w:left="284" w:hanging="284"/>
    </w:pPr>
    <w:rPr>
      <w:b/>
      <w:bCs/>
      <w:color w:val="000000"/>
      <w:sz w:val="24"/>
      <w:szCs w:val="24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customStyle="1" w:styleId="berarbeitung1">
    <w:name w:val="Überarbeitung1"/>
    <w:hidden/>
    <w:uiPriority w:val="99"/>
    <w:rPr>
      <w:rFonts w:cs="Arial"/>
      <w:color w:val="000000"/>
      <w:sz w:val="22"/>
      <w:szCs w:val="15"/>
      <w:lang w:val="en-GB"/>
    </w:rPr>
  </w:style>
  <w:style w:type="character" w:customStyle="1" w:styleId="KeinLeerraumZchn">
    <w:name w:val="Kein Leerraum Zchn"/>
    <w:basedOn w:val="Absatz-Standardschriftart"/>
    <w:link w:val="KeinLeerraum"/>
    <w:uiPriority w:val="1"/>
    <w:rPr>
      <w:lang w:val="en-GB" w:eastAsia="ko-KR"/>
    </w:rPr>
  </w:style>
  <w:style w:type="paragraph" w:customStyle="1" w:styleId="TabelleAbbildung">
    <w:name w:val="Tabelle/Abbildung"/>
    <w:link w:val="TabelleAbbildungZchn"/>
    <w:qFormat/>
    <w:pPr>
      <w:spacing w:beforeLines="20" w:before="48" w:line="276" w:lineRule="auto"/>
      <w:jc w:val="center"/>
    </w:pPr>
    <w:rPr>
      <w:rFonts w:ascii="Arial" w:eastAsiaTheme="minorHAnsi" w:hAnsi="Arial" w:cs="Arial"/>
      <w:sz w:val="16"/>
      <w:szCs w:val="16"/>
    </w:rPr>
  </w:style>
  <w:style w:type="character" w:customStyle="1" w:styleId="TabelleAbbildungZchn">
    <w:name w:val="Tabelle/Abbildung Zchn"/>
    <w:basedOn w:val="Absatz-Standardschriftart"/>
    <w:link w:val="TabelleAbbildung"/>
    <w:rPr>
      <w:rFonts w:ascii="Arial" w:eastAsiaTheme="minorHAnsi" w:hAnsi="Arial" w:cs="Arial"/>
      <w:sz w:val="16"/>
      <w:szCs w:val="16"/>
      <w:lang w:val="en-US" w:eastAsia="en-US"/>
    </w:rPr>
  </w:style>
  <w:style w:type="character" w:customStyle="1" w:styleId="ListenabsatzZchn">
    <w:name w:val="Listenabsatz Zchn"/>
    <w:basedOn w:val="Absatz-Standardschriftart"/>
    <w:link w:val="Listenabsatz"/>
    <w:uiPriority w:val="34"/>
    <w:rPr>
      <w:lang w:val="en-GB" w:eastAsia="ko-KR"/>
    </w:rPr>
  </w:style>
  <w:style w:type="table" w:customStyle="1" w:styleId="MittlereListe1-Akzent11">
    <w:name w:val="Mittlere Liste 1 - Akzent 11"/>
    <w:basedOn w:val="NormaleTabelle"/>
    <w:uiPriority w:val="65"/>
    <w:semiHidden/>
    <w:unhideWhenUsed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customStyle="1" w:styleId="MittlereSchattierung2-Akzent11">
    <w:name w:val="Mittlere Schattierung 2 - Akzent 11"/>
    <w:basedOn w:val="NormaleTabelle"/>
    <w:uiPriority w:val="64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1-Akzent11">
    <w:name w:val="Mittlere Schattierung 1 - Akzent 11"/>
    <w:basedOn w:val="NormaleTabelle"/>
    <w:uiPriority w:val="63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-Akzent11">
    <w:name w:val="Helles Raster - Akzent 11"/>
    <w:basedOn w:val="NormaleTabelle"/>
    <w:uiPriority w:val="62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auto"/>
        </w:tcBorders>
      </w:tcPr>
    </w:tblStylePr>
  </w:style>
  <w:style w:type="table" w:customStyle="1" w:styleId="HelleListe-Akzent11">
    <w:name w:val="Helle Liste - Akzent 11"/>
    <w:basedOn w:val="NormaleTabelle"/>
    <w:uiPriority w:val="61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customStyle="1" w:styleId="HelleSchattierung-Akzent11">
    <w:name w:val="Helle Schattierung - Akzent 11"/>
    <w:basedOn w:val="NormaleTabelle"/>
    <w:uiPriority w:val="60"/>
    <w:semiHidden/>
    <w:unhideWhenUsed/>
    <w:rPr>
      <w:rFonts w:asciiTheme="minorHAnsi" w:eastAsiaTheme="minorHAnsi" w:hAnsiTheme="minorHAnsi" w:cstheme="minorBidi"/>
      <w:color w:val="2F5496" w:themeColor="accent1" w:themeShade="BF"/>
      <w:sz w:val="22"/>
      <w:szCs w:val="22"/>
      <w:lang w:val="en-GB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customStyle="1" w:styleId="FarbigesRaster1">
    <w:name w:val="Farbiges Raster1"/>
    <w:basedOn w:val="NormaleTabelle"/>
    <w:uiPriority w:val="73"/>
    <w:semiHidden/>
    <w:unhideWhenUsed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FarbigeListe1">
    <w:name w:val="Farbige Liste1"/>
    <w:basedOn w:val="NormaleTabelle"/>
    <w:uiPriority w:val="72"/>
    <w:semiHidden/>
    <w:unhideWhenUsed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FarbigeSchattierung1">
    <w:name w:val="Farbige Schattierung1"/>
    <w:basedOn w:val="NormaleTabelle"/>
    <w:uiPriority w:val="71"/>
    <w:semiHidden/>
    <w:unhideWhenUsed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DunkleListe1">
    <w:name w:val="Dunkle Liste1"/>
    <w:basedOn w:val="NormaleTabelle"/>
    <w:uiPriority w:val="70"/>
    <w:semiHidden/>
    <w:unhideWhenUsed/>
    <w:rPr>
      <w:rFonts w:asciiTheme="minorHAnsi" w:eastAsiaTheme="minorHAnsi" w:hAnsiTheme="minorHAnsi" w:cstheme="minorBidi"/>
      <w:color w:val="FFFFFF" w:themeColor="background1"/>
      <w:sz w:val="22"/>
      <w:szCs w:val="22"/>
      <w:lang w:val="en-GB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MittleresRaster31">
    <w:name w:val="Mittleres Raster 31"/>
    <w:basedOn w:val="NormaleTabelle"/>
    <w:uiPriority w:val="69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customStyle="1" w:styleId="MittleresRaster21">
    <w:name w:val="Mittleres Raster 21"/>
    <w:basedOn w:val="NormaleTabelle"/>
    <w:uiPriority w:val="68"/>
    <w:semiHidden/>
    <w:unhideWhenUsed/>
    <w:rPr>
      <w:rFonts w:asciiTheme="majorHAnsi" w:eastAsiaTheme="majorEastAsia" w:hAnsiTheme="majorHAnsi" w:cstheme="majorBidi"/>
      <w:color w:val="000000" w:themeColor="text1"/>
      <w:sz w:val="22"/>
      <w:szCs w:val="22"/>
      <w:lang w:val="en-GB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ittleresRaster11">
    <w:name w:val="Mittleres Raster 11"/>
    <w:basedOn w:val="NormaleTabelle"/>
    <w:uiPriority w:val="67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ittlereListe21">
    <w:name w:val="Mittlere Liste 21"/>
    <w:basedOn w:val="NormaleTabelle"/>
    <w:uiPriority w:val="66"/>
    <w:semiHidden/>
    <w:unhideWhenUsed/>
    <w:rPr>
      <w:rFonts w:asciiTheme="majorHAnsi" w:eastAsiaTheme="majorEastAsia" w:hAnsiTheme="majorHAnsi" w:cstheme="majorBidi"/>
      <w:color w:val="000000" w:themeColor="text1"/>
      <w:sz w:val="22"/>
      <w:szCs w:val="22"/>
      <w:lang w:val="en-GB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ittlereListe11">
    <w:name w:val="Mittlere Liste 11"/>
    <w:basedOn w:val="NormaleTabelle"/>
    <w:uiPriority w:val="65"/>
    <w:semiHidden/>
    <w:unhideWhenUsed/>
    <w:rPr>
      <w:rFonts w:asciiTheme="minorHAnsi" w:eastAsiaTheme="minorHAnsi" w:hAnsiTheme="minorHAnsi" w:cstheme="minorBidi"/>
      <w:color w:val="000000" w:themeColor="text1"/>
      <w:sz w:val="22"/>
      <w:szCs w:val="22"/>
      <w:lang w:val="en-GB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ittlereSchattierung21">
    <w:name w:val="Mittlere Schattierung 21"/>
    <w:basedOn w:val="NormaleTabelle"/>
    <w:uiPriority w:val="64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MittlereSchattierung11">
    <w:name w:val="Mittlere Schattierung 11"/>
    <w:basedOn w:val="NormaleTabelle"/>
    <w:uiPriority w:val="63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Raster1">
    <w:name w:val="Helles Raster1"/>
    <w:basedOn w:val="NormaleTabelle"/>
    <w:uiPriority w:val="62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HelleListe1">
    <w:name w:val="Helle Liste1"/>
    <w:basedOn w:val="NormaleTabelle"/>
    <w:uiPriority w:val="61"/>
    <w:semiHidden/>
    <w:unhideWhenUsed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HelleSchattierung1">
    <w:name w:val="Helle Schattierung1"/>
    <w:basedOn w:val="NormaleTabelle"/>
    <w:uiPriority w:val="60"/>
    <w:semiHidden/>
    <w:unhideWhenUsed/>
    <w:rPr>
      <w:rFonts w:asciiTheme="minorHAnsi" w:eastAsiaTheme="minorHAnsi" w:hAnsiTheme="minorHAnsi" w:cstheme="minorBidi"/>
      <w:color w:val="000000" w:themeColor="text1" w:themeShade="BF"/>
      <w:sz w:val="22"/>
      <w:szCs w:val="22"/>
      <w:lang w:val="en-GB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ighlight">
    <w:name w:val="highlight"/>
    <w:basedOn w:val="Absatz-Standardschriftart"/>
  </w:style>
  <w:style w:type="character" w:customStyle="1" w:styleId="docdata">
    <w:name w:val="docdata"/>
    <w:basedOn w:val="Absatz-Standardschriftart"/>
  </w:style>
  <w:style w:type="character" w:customStyle="1" w:styleId="gnkrckgcmrb">
    <w:name w:val="gnkrckgcmrb"/>
    <w:basedOn w:val="Absatz-Standardschriftart"/>
  </w:style>
  <w:style w:type="character" w:customStyle="1" w:styleId="gd15mcfceub">
    <w:name w:val="gd15mcfceub"/>
    <w:basedOn w:val="Absatz-Standardschriftart"/>
  </w:style>
  <w:style w:type="paragraph" w:customStyle="1" w:styleId="Appendix1">
    <w:name w:val="Appendix1"/>
    <w:basedOn w:val="Listenabsatz"/>
    <w:link w:val="Appendix1Zchn"/>
    <w:qFormat/>
    <w:pPr>
      <w:numPr>
        <w:numId w:val="3"/>
      </w:numPr>
      <w:spacing w:after="240" w:line="360" w:lineRule="auto"/>
      <w:ind w:left="567" w:hanging="567"/>
      <w:jc w:val="both"/>
    </w:pPr>
    <w:rPr>
      <w:rFonts w:eastAsiaTheme="minorHAnsi"/>
      <w:b/>
      <w:sz w:val="24"/>
      <w:szCs w:val="24"/>
      <w:lang w:val="en-US" w:eastAsia="en-US"/>
    </w:rPr>
  </w:style>
  <w:style w:type="character" w:customStyle="1" w:styleId="Appendix1Zchn">
    <w:name w:val="Appendix1 Zchn"/>
    <w:basedOn w:val="ListenabsatzZchn"/>
    <w:link w:val="Appendix1"/>
    <w:rPr>
      <w:rFonts w:eastAsiaTheme="minorHAnsi"/>
      <w:b/>
      <w:sz w:val="24"/>
      <w:szCs w:val="24"/>
      <w:lang w:val="en-US" w:eastAsia="en-US"/>
    </w:rPr>
  </w:style>
  <w:style w:type="paragraph" w:customStyle="1" w:styleId="Beschriftunganhang">
    <w:name w:val="Beschriftung anhang"/>
    <w:basedOn w:val="Beschriftung"/>
    <w:qFormat/>
    <w:pPr>
      <w:keepNext/>
      <w:tabs>
        <w:tab w:val="left" w:pos="993"/>
      </w:tabs>
      <w:spacing w:before="240" w:after="0" w:line="276" w:lineRule="auto"/>
      <w:ind w:left="992"/>
      <w:jc w:val="both"/>
    </w:pPr>
    <w:rPr>
      <w:rFonts w:eastAsiaTheme="minorHAnsi"/>
      <w:b w:val="0"/>
      <w:i/>
      <w:szCs w:val="20"/>
      <w:lang w:val="en-US" w:eastAsia="en-US"/>
    </w:rPr>
  </w:style>
  <w:style w:type="paragraph" w:customStyle="1" w:styleId="SOurce">
    <w:name w:val="SOurce"/>
    <w:basedOn w:val="Standard"/>
    <w:qFormat/>
    <w:pPr>
      <w:spacing w:before="120" w:after="360" w:line="360" w:lineRule="auto"/>
      <w:ind w:left="45"/>
    </w:pPr>
    <w:rPr>
      <w:rFonts w:eastAsiaTheme="minorHAnsi"/>
      <w:szCs w:val="24"/>
      <w:lang w:val="en-US" w:eastAsia="en-US"/>
    </w:rPr>
  </w:style>
  <w:style w:type="character" w:customStyle="1" w:styleId="tii-glimpsehighlight">
    <w:name w:val="tii-glimpse_highlight"/>
    <w:basedOn w:val="Absatz-Standardschriftart"/>
  </w:style>
  <w:style w:type="character" w:customStyle="1" w:styleId="markedcontent">
    <w:name w:val="markedcontent"/>
    <w:basedOn w:val="Absatz-Standardschriftart"/>
  </w:style>
  <w:style w:type="paragraph" w:customStyle="1" w:styleId="CitaviLiteraturverzeichnis">
    <w:name w:val="Citavi Literaturverzeichnis"/>
    <w:basedOn w:val="Standard"/>
    <w:pPr>
      <w:spacing w:line="259" w:lineRule="auto"/>
    </w:pPr>
    <w:rPr>
      <w:rFonts w:ascii="Calibri" w:eastAsia="Calibri" w:hAnsi="Calibri" w:cs="Calibri"/>
      <w:sz w:val="22"/>
      <w:szCs w:val="22"/>
      <w:lang w:val="de-DE" w:eastAsia="de-DE"/>
    </w:rPr>
  </w:style>
  <w:style w:type="paragraph" w:customStyle="1" w:styleId="pf0">
    <w:name w:val="pf0"/>
    <w:basedOn w:val="Standard"/>
    <w:pPr>
      <w:spacing w:before="100" w:beforeAutospacing="1" w:after="100" w:afterAutospacing="1" w:line="240" w:lineRule="auto"/>
    </w:pPr>
    <w:rPr>
      <w:sz w:val="24"/>
      <w:szCs w:val="24"/>
      <w:lang w:val="de-DE" w:eastAsia="de-DE"/>
    </w:rPr>
  </w:style>
  <w:style w:type="character" w:customStyle="1" w:styleId="cf01">
    <w:name w:val="cf01"/>
    <w:basedOn w:val="Absatz-Standardschriftart"/>
    <w:rPr>
      <w:rFonts w:ascii="Segoe UI" w:hAnsi="Segoe UI" w:cs="Segoe UI" w:hint="default"/>
      <w:color w:val="FF0000"/>
      <w:sz w:val="18"/>
      <w:szCs w:val="18"/>
    </w:rPr>
  </w:style>
  <w:style w:type="character" w:customStyle="1" w:styleId="cf11">
    <w:name w:val="cf11"/>
    <w:basedOn w:val="Absatz-Standardschriftart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Absatz-Standardschriftart"/>
    <w:rPr>
      <w:rFonts w:ascii="Segoe UI" w:hAnsi="Segoe UI" w:cs="Segoe UI" w:hint="default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customStyle="1" w:styleId="msonormal0">
    <w:name w:val="msonormal"/>
    <w:basedOn w:val="Standard"/>
    <w:pPr>
      <w:spacing w:before="100" w:beforeAutospacing="1" w:after="100" w:afterAutospacing="1" w:line="240" w:lineRule="auto"/>
    </w:pPr>
    <w:rPr>
      <w:sz w:val="24"/>
      <w:szCs w:val="24"/>
      <w:lang w:val="de-DE" w:eastAsia="de-DE"/>
    </w:rPr>
  </w:style>
  <w:style w:type="paragraph" w:customStyle="1" w:styleId="font5">
    <w:name w:val="font5"/>
    <w:basedOn w:val="Standard"/>
    <w:pPr>
      <w:spacing w:before="100" w:beforeAutospacing="1" w:after="100" w:afterAutospacing="1" w:line="240" w:lineRule="auto"/>
    </w:pPr>
    <w:rPr>
      <w:color w:val="000000"/>
      <w:sz w:val="36"/>
      <w:szCs w:val="36"/>
      <w:lang w:val="de-DE" w:eastAsia="de-DE"/>
    </w:rPr>
  </w:style>
  <w:style w:type="paragraph" w:customStyle="1" w:styleId="font6">
    <w:name w:val="font6"/>
    <w:basedOn w:val="Standard"/>
    <w:pPr>
      <w:spacing w:before="100" w:beforeAutospacing="1" w:after="100" w:afterAutospacing="1" w:line="240" w:lineRule="auto"/>
    </w:pPr>
    <w:rPr>
      <w:i/>
      <w:iCs/>
      <w:color w:val="000000"/>
      <w:sz w:val="36"/>
      <w:szCs w:val="36"/>
      <w:lang w:val="de-DE" w:eastAsia="de-DE"/>
    </w:rPr>
  </w:style>
  <w:style w:type="paragraph" w:customStyle="1" w:styleId="xl66">
    <w:name w:val="xl66"/>
    <w:basedOn w:val="Standard"/>
    <w:pPr>
      <w:spacing w:before="100" w:beforeAutospacing="1" w:after="100" w:afterAutospacing="1" w:line="240" w:lineRule="auto"/>
      <w:ind w:firstLineChars="500" w:firstLine="500"/>
      <w:textAlignment w:val="center"/>
    </w:pPr>
    <w:rPr>
      <w:sz w:val="36"/>
      <w:szCs w:val="3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2307/2514876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95496-A4BC-45BC-813B-AEE4ECA44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10080</Words>
  <Characters>57461</Characters>
  <Application>Microsoft Office Word</Application>
  <DocSecurity>0</DocSecurity>
  <Lines>478</Lines>
  <Paragraphs>134</Paragraphs>
  <ScaleCrop>false</ScaleCrop>
  <LinksUpToDate>false</LinksUpToDate>
  <CharactersWithSpaces>67407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2023-10-25T08:44:00Z</dcterms:created>
  <dcterms:modified xsi:type="dcterms:W3CDTF">2023-10-25T08:44:00Z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795CEF41824F457CA3E144B485A4AE9F</vt:lpwstr>
  </property>
</Properties>
</file>