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 w:val="36"/>
          <w:szCs w:val="36"/>
          <w:lang w:val="en-US" w:eastAsia="de-DE"/>
        </w:rPr>
      </w:pPr>
      <w:bookmarkStart w:id="2" w:name="_GoBack"/>
      <w:bookmarkEnd w:id="2"/>
      <w:r>
        <w:rPr>
          <w:rFonts w:ascii="Times New Roman" w:hAnsi="Times New Roman" w:cs="Times New Roman"/>
          <w:b/>
          <w:sz w:val="36"/>
          <w:szCs w:val="36"/>
          <w:lang w:val="en-US"/>
        </w:rPr>
        <w:t>Online Appendix</w:t>
      </w:r>
    </w:p>
    <w:tbl>
      <w:tblPr>
        <w:tblStyle w:val="12"/>
        <w:tblW w:w="0" w:type="auto"/>
        <w:tblInd w:w="0" w:type="dxa"/>
        <w:tblBorders>
          <w:top w:val="single" w:color="BEBEBE" w:themeColor="background1" w:themeShade="BF" w:sz="4" w:space="0"/>
          <w:left w:val="single" w:color="BEBEBE" w:themeColor="background1" w:themeShade="BF" w:sz="4" w:space="0"/>
          <w:bottom w:val="single" w:color="BEBEBE" w:themeColor="background1" w:themeShade="BF" w:sz="4" w:space="0"/>
          <w:right w:val="single" w:color="BEBEBE" w:themeColor="background1" w:themeShade="BF" w:sz="4" w:space="0"/>
          <w:insideH w:val="single" w:color="BEBEBE" w:themeColor="background1" w:themeShade="BF" w:sz="4" w:space="0"/>
          <w:insideV w:val="single" w:color="BEBEBE" w:themeColor="background1" w:themeShade="BF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463"/>
        <w:gridCol w:w="2863"/>
        <w:gridCol w:w="1755"/>
        <w:gridCol w:w="1716"/>
      </w:tblGrid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Author</w:t>
            </w:r>
          </w:p>
        </w:tc>
        <w:tc>
          <w:tcPr>
            <w:tcW w:w="146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Context</w:t>
            </w:r>
          </w:p>
        </w:tc>
        <w:tc>
          <w:tcPr>
            <w:tcW w:w="2863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Contribution</w:t>
            </w:r>
          </w:p>
        </w:tc>
        <w:tc>
          <w:tcPr>
            <w:tcW w:w="1755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Method</w:t>
            </w:r>
          </w:p>
        </w:tc>
        <w:tc>
          <w:tcPr>
            <w:tcW w:w="171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Sample Size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Janssen et al. (2020)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 (general)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Overview of design elements for CAs regarding the topics intelligence, interaction and context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Taxonomy development 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Assessment of 103 chatbots from 23 domains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Rapp et al. (2021)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 (general)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Overview of prior research on text-based CAs: topics, user experience, technology acceptance, challenges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Structured literature review 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 articles from 3 digital databases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2410981"/>
            <w:r>
              <w:rPr>
                <w:rFonts w:ascii="Times New Roman" w:hAnsi="Times New Roman" w:cs="Times New Roman"/>
                <w:sz w:val="20"/>
                <w:szCs w:val="20"/>
              </w:rPr>
              <w:t>Diederich et al. (2022)</w:t>
            </w:r>
            <w:bookmarkEnd w:id="0"/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 (general)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Overview of the status quo of CA research regarding user interaction, context, agent design, CA perceptions and outcomes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Structured literature review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Review of 262 studies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Kvale et al. (2021)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customer service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Derivation of determinants for user satisfaction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Analysis of customer satisfaction data from practice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5.687 customer satisfaction reports from user-CA interactions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Gkinko &amp; Elbanna (2023)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 for workplace applications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Derivation of key dimensions for the adoption of an AI CA and specification of user types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Taxonomy devel-opment: Case study in an organization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 interviewees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Stieglitz et al. (2022)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emergency management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Development of meta-requirements and design principles for CAs for emergency management 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Semi-structured interviews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16 interviewees 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Tamayo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-Moreno &amp; Péréz-Marín (2016)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education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Adaptation of a pedagogic CA for early childhood education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study with field observation 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participants and 2 educators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Okonkwo and Ade-Ibijola (2021)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 for education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Overview of prior research on educational CAs: Potentials, challenges and research gaps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Structured literature review 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 articles from 6 digital databases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Pérez et al. (2020)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 for education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Overview of prior research on educational CAs: Types, technology usage, quality, learning experience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Structured literature review 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articles from 7 digital databases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Nguyen et al.  (2019)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education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Design of an intelligent tutoring CA for solving mathematical function problems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Exemplary application demonstrations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-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Anh et al. (2021)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education</w:t>
            </w:r>
          </w:p>
        </w:tc>
        <w:tc>
          <w:tcPr>
            <w:tcW w:w="2863" w:type="dxa"/>
            <w:vAlign w:val="center"/>
          </w:tcPr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val="en-US" w:eastAsia="de-DE"/>
              </w:rPr>
              <w:t>Design of a CA for teaching and learning Mathematics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Tool assessment in a field study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75 participants from 4 high schools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Alaaeldin et al. (2021)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data-related work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 of a CA to support decision-makers in the understanding of data analytics results and KPIs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DSR: qualitative interviews and test session 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participants consisting of 4 decision makers and 1 field expert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Narechania et al. (2021) 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data-related work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 of a toolkit, translating natural language requests into specifications for data visualization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Exemplary application demonstrations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Simud et al. (2020)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data-related work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 of a CA supporting database queries in natural language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Test-set method for performance evaluation in a practical use case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8.970 generated queries splitted in 80% training, 20% test data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Hoon et al. (2020)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data-related work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 of a CA supporting database queries in natural language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 evaluation via a pilot case study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Data on reserva-tions, customers in a hotel 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Zhang et al. (2019)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data-related work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 of a CA to discover suitable datasets or tools in data-intensive communities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 evaluation via perplexity metric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Collection of papers, tools and datasets for 2 domains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Keyner et al. (2019)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open data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 of a toolkit to automatically generate CAs for querying individual open data sources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Neumaier et al. (2017)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open data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 of a CA to query open data sources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Usability study with test users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participants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Holowka et al. (2021)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citizen science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Proposition of a CA for participatory research with chronically-ill patients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Assessment of currently available tools and participant survey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 applications, 98 participants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Isacco et al. (2018)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citizen science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Development of an online platform including a CA for gathering flood information 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Tool demonstration in pilot applications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Lia et al. (2023)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citizen science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Development of a </w:t>
            </w:r>
            <w:r>
              <w:rPr>
                <w:rFonts w:ascii="Times New Roman" w:hAnsi="Times New Roman" w:cs="Times New Roman"/>
                <w:color w:val="1F1F1F"/>
                <w:sz w:val="20"/>
                <w:lang w:val="en-US"/>
              </w:rPr>
              <w:t>CA as recreation monitor for data collecting with citizens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Tool assessment in a field study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1F1F1F"/>
                <w:sz w:val="20"/>
                <w:lang w:val="en-US"/>
              </w:rPr>
              <w:t>14 study sites, 1,618 visitors sent 12,550 messages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Tallyn et al. (2018)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citizen science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 of a CA for participatory collection of ethnographic data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Tool assessment in a field study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participants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Portela (2021)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citizen science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CA potentials for communicating with citizen scientists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Tool evaluation via an experimental study (Wizard-of- Oz method)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participants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Tavanapour et al. (2019)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citizen science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Development of a CA for collecting citizens’ ideas: Derivation of 6 design principles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DSR: semi-structured interviews, experimental study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interview participants, 32 experiment participants</w:t>
            </w:r>
          </w:p>
        </w:tc>
      </w:tr>
      <w:tr>
        <w:tblPrEx>
          <w:tblBorders>
            <w:top w:val="single" w:color="BEBEBE" w:themeColor="background1" w:themeShade="BF" w:sz="4" w:space="0"/>
            <w:left w:val="single" w:color="BEBEBE" w:themeColor="background1" w:themeShade="BF" w:sz="4" w:space="0"/>
            <w:bottom w:val="single" w:color="BEBEBE" w:themeColor="background1" w:themeShade="BF" w:sz="4" w:space="0"/>
            <w:right w:val="single" w:color="BEBEBE" w:themeColor="background1" w:themeShade="BF" w:sz="4" w:space="0"/>
            <w:insideH w:val="single" w:color="BEBEBE" w:themeColor="background1" w:themeShade="BF" w:sz="4" w:space="0"/>
            <w:insideV w:val="single" w:color="BEBEBE" w:themeColor="background1" w:themeShade="BF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Athreya et al. (2018)</w:t>
            </w:r>
          </w:p>
        </w:tc>
        <w:tc>
          <w:tcPr>
            <w:tcW w:w="14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 for citizen science</w:t>
            </w:r>
          </w:p>
        </w:tc>
        <w:tc>
          <w:tcPr>
            <w:tcW w:w="2863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Proposition of a CA for answering recurrent question within digital communities</w:t>
            </w:r>
          </w:p>
        </w:tc>
        <w:tc>
          <w:tcPr>
            <w:tcW w:w="1755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716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1400 users within six months (no evaluation)</w:t>
            </w:r>
          </w:p>
        </w:tc>
      </w:tr>
    </w:tbl>
    <w:p>
      <w:pPr>
        <w:keepNext/>
        <w:spacing w:before="240"/>
        <w:rPr>
          <w:rFonts w:ascii="Times New Roman" w:hAnsi="Times New Roman" w:cs="Times New Roman"/>
          <w:b/>
          <w:color w:val="000000"/>
          <w:sz w:val="20"/>
          <w:lang w:val="en-US"/>
        </w:rPr>
      </w:pPr>
      <w:bookmarkStart w:id="1" w:name="_Ref152086954"/>
      <w:r>
        <w:rPr>
          <w:rFonts w:ascii="Times New Roman" w:hAnsi="Times New Roman" w:cs="Times New Roman"/>
          <w:b/>
          <w:color w:val="000000"/>
          <w:sz w:val="20"/>
          <w:lang w:val="en-US"/>
        </w:rPr>
        <w:t xml:space="preserve">Table </w:t>
      </w:r>
      <w:bookmarkEnd w:id="1"/>
      <w:r>
        <w:rPr>
          <w:rFonts w:ascii="Times New Roman" w:hAnsi="Times New Roman" w:cs="Times New Roman"/>
          <w:b/>
          <w:color w:val="000000"/>
          <w:sz w:val="20"/>
          <w:lang w:val="en-US"/>
        </w:rPr>
        <w:t>1: Overview of key contributions in the literature on conversational agents (CAs)</w:t>
      </w:r>
    </w:p>
    <w:p>
      <w:pPr>
        <w:rPr>
          <w:lang w:val="en-US"/>
        </w:rPr>
      </w:pPr>
    </w:p>
    <w:sectPr>
      <w:pgSz w:w="11906" w:h="16838"/>
      <w:pgMar w:top="1417" w:right="1417" w:bottom="1134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E6437A"/>
    <w:multiLevelType w:val="multilevel"/>
    <w:tmpl w:val="41E6437A"/>
    <w:lvl w:ilvl="0" w:tentative="0">
      <w:start w:val="1"/>
      <w:numFmt w:val="decimal"/>
      <w:pStyle w:val="9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removePersonalInformation/>
  <w:trackRevisions w:val="1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U2NDM2NLQ0sDAzszRX0lEKTi0uzszPAykwqwUA/OfvMiwAAAA="/>
  </w:docVars>
  <w:rsids>
    <w:rsidRoot w:val="00785586"/>
    <w:rsid w:val="00040209"/>
    <w:rsid w:val="00042979"/>
    <w:rsid w:val="0009274D"/>
    <w:rsid w:val="00155CA3"/>
    <w:rsid w:val="002402B0"/>
    <w:rsid w:val="002729A8"/>
    <w:rsid w:val="0029438B"/>
    <w:rsid w:val="002A290B"/>
    <w:rsid w:val="002A6013"/>
    <w:rsid w:val="0032488D"/>
    <w:rsid w:val="003B0BD6"/>
    <w:rsid w:val="00410D87"/>
    <w:rsid w:val="004867B4"/>
    <w:rsid w:val="004A0FD2"/>
    <w:rsid w:val="004A458D"/>
    <w:rsid w:val="004C379A"/>
    <w:rsid w:val="005341E8"/>
    <w:rsid w:val="00553203"/>
    <w:rsid w:val="005B42B6"/>
    <w:rsid w:val="00624C8F"/>
    <w:rsid w:val="007523A7"/>
    <w:rsid w:val="00785586"/>
    <w:rsid w:val="007B5C24"/>
    <w:rsid w:val="007D6E73"/>
    <w:rsid w:val="00804272"/>
    <w:rsid w:val="00831052"/>
    <w:rsid w:val="008A292D"/>
    <w:rsid w:val="008E17B7"/>
    <w:rsid w:val="00907D64"/>
    <w:rsid w:val="009D3FA4"/>
    <w:rsid w:val="00A05731"/>
    <w:rsid w:val="00A64FAB"/>
    <w:rsid w:val="00AC572E"/>
    <w:rsid w:val="00AE59DB"/>
    <w:rsid w:val="00B41F93"/>
    <w:rsid w:val="00B66210"/>
    <w:rsid w:val="00BF0C3D"/>
    <w:rsid w:val="00C93E7C"/>
    <w:rsid w:val="00C944F6"/>
    <w:rsid w:val="00CD3F40"/>
    <w:rsid w:val="00D249E1"/>
    <w:rsid w:val="00D26C21"/>
    <w:rsid w:val="00EE272A"/>
    <w:rsid w:val="00F229BF"/>
    <w:rsid w:val="00F232B8"/>
    <w:rsid w:val="1968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de-DE" w:eastAsia="en-US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7">
    <w:name w:val="header"/>
    <w:basedOn w:val="1"/>
    <w:link w:val="14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8">
    <w:name w:val="Table Grid"/>
    <w:basedOn w:val="4"/>
    <w:qFormat/>
    <w:uiPriority w:val="39"/>
    <w:pPr>
      <w:spacing w:after="0" w:line="240" w:lineRule="auto"/>
    </w:pPr>
    <w:rPr>
      <w:rFonts w:ascii="Calibri" w:hAnsi="Calibri" w:eastAsia="Times New Roman" w:cs="Times New Roman"/>
      <w:sz w:val="20"/>
      <w:szCs w:val="20"/>
      <w:lang w:eastAsia="de-D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HoP"/>
    <w:basedOn w:val="2"/>
    <w:link w:val="10"/>
    <w:qFormat/>
    <w:uiPriority w:val="0"/>
    <w:pPr>
      <w:numPr>
        <w:ilvl w:val="0"/>
        <w:numId w:val="1"/>
      </w:numPr>
      <w:ind w:hanging="360"/>
    </w:pPr>
    <w:rPr>
      <w:color w:val="99A5D5"/>
      <w:lang w:val="en-AU"/>
    </w:rPr>
  </w:style>
  <w:style w:type="character" w:customStyle="1" w:styleId="10">
    <w:name w:val="HoP Zchn"/>
    <w:basedOn w:val="11"/>
    <w:link w:val="9"/>
    <w:qFormat/>
    <w:uiPriority w:val="0"/>
    <w:rPr>
      <w:rFonts w:asciiTheme="majorHAnsi" w:hAnsiTheme="majorHAnsi" w:eastAsiaTheme="majorEastAsia" w:cstheme="majorBidi"/>
      <w:color w:val="99A5D5"/>
      <w:sz w:val="26"/>
      <w:szCs w:val="26"/>
      <w:lang w:val="en-AU"/>
    </w:rPr>
  </w:style>
  <w:style w:type="character" w:customStyle="1" w:styleId="11">
    <w:name w:val="Überschrift 2 Zchn"/>
    <w:basedOn w:val="3"/>
    <w:link w:val="2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26"/>
      <w:szCs w:val="26"/>
    </w:rPr>
  </w:style>
  <w:style w:type="table" w:customStyle="1" w:styleId="12">
    <w:name w:val="Grid Table Light"/>
    <w:basedOn w:val="4"/>
    <w:qFormat/>
    <w:uiPriority w:val="40"/>
    <w:pPr>
      <w:spacing w:after="0"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character" w:customStyle="1" w:styleId="13">
    <w:name w:val="Sprechblasentext Zchn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4">
    <w:name w:val="Kopfzeile Zchn"/>
    <w:basedOn w:val="3"/>
    <w:link w:val="7"/>
    <w:qFormat/>
    <w:uiPriority w:val="99"/>
  </w:style>
  <w:style w:type="character" w:customStyle="1" w:styleId="15">
    <w:name w:val="Fußzeile Zchn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2C1C1-7BE0-4AB5-A060-091B9F56BD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753</Words>
  <Characters>4346</Characters>
  <Lines>334</Lines>
  <Paragraphs>154</Paragraphs>
  <TotalTime>0</TotalTime>
  <ScaleCrop>false</ScaleCrop>
  <LinksUpToDate>false</LinksUpToDate>
  <CharactersWithSpaces>4945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2024-03-15T10:43:00Z</dcterms:created>
  <dcterms:modified xsi:type="dcterms:W3CDTF">2024-03-16T03:55:01Z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fe524a7dd444415fe19ebc8a3d74dc8407386b23169d002060c9d0bbeb1ab714</vt:lpwstr>
  </property>
  <property fmtid="{D5CDD505-2E9C-101B-9397-08002B2CF9AE}" pid="3" name="KSOProductBuildVer">
    <vt:lpwstr>1033-12.2.0.13489</vt:lpwstr>
  </property>
  <property fmtid="{D5CDD505-2E9C-101B-9397-08002B2CF9AE}" pid="4" name="ICV">
    <vt:lpwstr>30CBAA4F7E2348E8B0A22FBC15325038_12</vt:lpwstr>
  </property>
</Properties>
</file>