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5390" w:type="pct"/>
        <w:tblInd w:w="-42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94"/>
        <w:gridCol w:w="1159"/>
        <w:gridCol w:w="1159"/>
        <w:gridCol w:w="3480"/>
        <w:gridCol w:w="4141"/>
      </w:tblGrid>
      <w:tr w14:paraId="24B1274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5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5A5A5" w:fill="A5A5A5"/>
            <w:vAlign w:val="center"/>
          </w:tcPr>
          <w:p w14:paraId="14E8EE0F">
            <w:pPr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>
              <w:rPr>
                <w:rFonts w:eastAsia="Times New Roman"/>
                <w:b/>
                <w:bCs/>
                <w:color w:val="000000"/>
                <w:lang w:val="en-US" w:eastAsia="de-DE"/>
              </w:rPr>
              <w:t>Conceptual construct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5A5A5" w:fill="A5A5A5"/>
            <w:vAlign w:val="center"/>
          </w:tcPr>
          <w:p w14:paraId="470170A4">
            <w:pPr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>
              <w:rPr>
                <w:rFonts w:eastAsia="Times New Roman"/>
                <w:b/>
                <w:bCs/>
                <w:color w:val="000000"/>
                <w:lang w:val="en-US" w:eastAsia="de-DE"/>
              </w:rPr>
              <w:t>Abbre-viation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5A5A5" w:fill="A5A5A5"/>
            <w:vAlign w:val="center"/>
          </w:tcPr>
          <w:p w14:paraId="688E82B1">
            <w:pPr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>
              <w:rPr>
                <w:rFonts w:eastAsia="Times New Roman"/>
                <w:b/>
                <w:bCs/>
                <w:color w:val="000000"/>
                <w:lang w:val="en-US" w:eastAsia="de-DE"/>
              </w:rPr>
              <w:t>Type of measure-ment</w:t>
            </w:r>
          </w:p>
        </w:tc>
        <w:tc>
          <w:tcPr>
            <w:tcW w:w="1521" w:type="pct"/>
            <w:tcBorders>
              <w:left w:val="nil"/>
              <w:bottom w:val="nil"/>
            </w:tcBorders>
            <w:shd w:val="clear" w:color="A5A5A5" w:fill="A5A5A5"/>
            <w:vAlign w:val="center"/>
          </w:tcPr>
          <w:p w14:paraId="2088FA32">
            <w:pPr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>
              <w:rPr>
                <w:rFonts w:eastAsia="Times New Roman"/>
                <w:b/>
                <w:bCs/>
                <w:color w:val="000000"/>
                <w:lang w:val="en-US" w:eastAsia="de-DE"/>
              </w:rPr>
              <w:t>Measurable item in survey</w:t>
            </w:r>
          </w:p>
        </w:tc>
        <w:tc>
          <w:tcPr>
            <w:tcW w:w="1811" w:type="pct"/>
            <w:tcBorders>
              <w:bottom w:val="nil"/>
            </w:tcBorders>
            <w:shd w:val="clear" w:color="A5A5A5" w:fill="A5A5A5"/>
            <w:vAlign w:val="center"/>
          </w:tcPr>
          <w:p w14:paraId="41F30FC7">
            <w:pPr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>
              <w:rPr>
                <w:rFonts w:eastAsia="Times New Roman"/>
                <w:b/>
                <w:bCs/>
                <w:color w:val="000000"/>
                <w:lang w:val="en-US" w:eastAsia="de-DE"/>
              </w:rPr>
              <w:t>Response scale</w:t>
            </w:r>
          </w:p>
        </w:tc>
      </w:tr>
      <w:tr w14:paraId="4413E0C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56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D7EED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Customer needs satisfaction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B2EA7">
            <w:pPr>
              <w:rPr>
                <w:rFonts w:eastAsia="Times New Roman"/>
                <w:lang w:val="en-US" w:eastAsia="de-DE"/>
              </w:rPr>
            </w:pPr>
            <w:r>
              <w:rPr>
                <w:rFonts w:eastAsia="Times New Roman"/>
                <w:lang w:val="en-US" w:eastAsia="de-DE"/>
              </w:rPr>
              <w:t>ORC1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11AAD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A8367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setup is built to satisfy customer needs.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7DBFD9CF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7C7554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65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2C819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Value co-creation with customer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33B75">
            <w:pPr>
              <w:rPr>
                <w:rFonts w:eastAsia="Times New Roman"/>
                <w:lang w:val="en-US" w:eastAsia="de-DE"/>
              </w:rPr>
            </w:pPr>
            <w:r>
              <w:rPr>
                <w:rFonts w:eastAsia="Times New Roman"/>
                <w:lang w:val="en-US" w:eastAsia="de-DE"/>
              </w:rPr>
              <w:t>ORC2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09028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DD96E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setup is built to co-create value together with our customers.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2EAB4B52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01A2080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0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50561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Customer relationship orientation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C31AD">
            <w:pPr>
              <w:rPr>
                <w:rFonts w:eastAsia="Times New Roman"/>
                <w:lang w:val="en-US" w:eastAsia="de-DE"/>
              </w:rPr>
            </w:pPr>
            <w:r>
              <w:rPr>
                <w:rFonts w:eastAsia="Times New Roman"/>
                <w:lang w:val="en-US" w:eastAsia="de-DE"/>
              </w:rPr>
              <w:t>ORC3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AF83B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0C6FF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setup is oriented towards an interactive customer relationship.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048F1EEC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31D1C3F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20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98752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Customer data flow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92BC9">
            <w:pPr>
              <w:rPr>
                <w:rFonts w:eastAsia="Times New Roman"/>
                <w:lang w:val="en-US" w:eastAsia="de-DE"/>
              </w:rPr>
            </w:pPr>
            <w:r>
              <w:rPr>
                <w:rFonts w:eastAsia="Times New Roman"/>
                <w:lang w:val="en-US" w:eastAsia="de-DE"/>
              </w:rPr>
              <w:t>ORC4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A1AA8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21E25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setup is built to ensure customer data flow along all touch-points.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5C5B3374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7FA91ED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0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4AD82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Service domain structure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13171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ORV1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3E24E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99D2F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setup is structured in service domains, meaning that internal areas are divided into service domains instead of functional departments.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2DDFD989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2DD1EEC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0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19958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Service value system approach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47A18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ORV2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E61F9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303E2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setup is based on a service value system, following its guiding principles, governance, practice and continual improvement elements.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2AA8EE7D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77FF9C7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0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21910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Service value processes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873AC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ORV3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68DBB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CE6CD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setup is built around service value processes, meaning that it follows a process-based chain of activities from the demand input to value creation.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625F2AF3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7C632C7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0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ADA8B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Service into workflow logic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ECECD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ARO1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F63FB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73290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architecture builts services as workflows, meaning that services are designed as a chain of activities within a workflow.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227BA484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5CD4A12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0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F0E75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Full service-lifecycle approach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A5DF7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ARO2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C689A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0A86F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architecture follows a full service lifecycle approach, meaning it manages a service from planning via execution to analysis and decomissioning.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4FFA9FE3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35A020F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13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F8E8D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Loose coupling of modules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C9F99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ARM1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78139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A4238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architecture is loosely coupled, meaning that internal changes in one application do not affect the behaviour of others.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300B1E8F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57DCEAE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7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DE62B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IT standardization of moduls and interfaces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3E72D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ARM2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61A83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 xml:space="preserve">Formative 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146A3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architecture is built upon standardized interfaces, meaning it follows organizationwide guidelines prespecifying how our applications connect and interoperate with each other.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49BFA2FF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726B6DC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0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D5B37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Modern built methods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13402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ARM3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BDE83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78F17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architecture is built with modern methods like cloud, container or web service solutions.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44C91D07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302BAA3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59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CD0A7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Extension of SM Tools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D67BD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TRT1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177D0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5728C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technology uses (E)SM tools to digitalize and standardize workflows or services.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4E085181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68D1B56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65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EC0FA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Workflow-logic tool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DEFFE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TRT2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70E3D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51AC9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technology uses an (E)SM tool with a workflow logic to process service workflows.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52718A41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3025CD4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65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92FCC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Self-service portal core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B76DB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TRT3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CF479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FDC3C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technology offers a self-service portal to process service workflows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2410B613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5150113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65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1A0A5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Internal technical self-service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CB116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TRT4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978D7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A43B2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technology offers an internal self-service tool for the technical teams (IT, DevOps etc.)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48A3DC87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312AAA8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33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CD268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Automation of workflows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0CCCC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TRA1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E71AC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7CAF0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technology uses technological advances to automate ESM services / workflows / tasks.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04A10ADE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1F17A87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52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D12F9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 xml:space="preserve">Usage of Machine Learning / Artificial Intelligence 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DC60E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TRA2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740A1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C36EF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technology uses technological advances like Machine Learning or Artificial Intelligence to process ESM services / workflows (e.g. by using an automated ticket routing system or Q&amp;A bot)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4AF4741F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24FD398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91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7E4CE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Real-time analytics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1966A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TRA3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C7F7E">
            <w:pPr>
              <w:rPr>
                <w:rFonts w:hint="default" w:eastAsia="Times New Roman"/>
                <w:color w:val="000000"/>
                <w:lang w:val="en-US" w:eastAsia="de-DE"/>
              </w:rPr>
            </w:pPr>
            <w:r>
              <w:rPr>
                <w:rFonts w:hint="default"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200C6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technology uses technological advances for real-time analytics to optimize ESM services / workflows.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73E4A0E4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4203995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0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1FB7D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Know-how transfer on SM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9D70E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IRK1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CB5AF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67090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information on Service Management was transferred from the IT department to business departments.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2F393DC6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00C7DAE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65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E723A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Upskilling and training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0E9D1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IRK2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6A526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65117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information is generated by upskilling and training of the employees in the area of (Enterprise) Service Management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01C1BEF8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747C91F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20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4B8B8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Intra-organizational communication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F2030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IRK3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6C7C4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E50C6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 xml:space="preserve">Our organization's information is ensured through intra-organizational communication, meaning the removal of structural silos and use of multichannel, extensively available communication platforms. 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175D61C5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47CA4E8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65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11AE6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Reference framework application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1AAF7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IRS1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8AFD1">
            <w:pPr>
              <w:rPr>
                <w:rFonts w:eastAsia="Times New Roman"/>
                <w:lang w:val="en-US" w:eastAsia="de-DE"/>
              </w:rPr>
            </w:pPr>
            <w:r>
              <w:rPr>
                <w:rFonts w:eastAsia="Times New Roman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03504">
            <w:pPr>
              <w:rPr>
                <w:rFonts w:eastAsia="Times New Roman"/>
                <w:lang w:val="en-US" w:eastAsia="de-DE"/>
              </w:rPr>
            </w:pPr>
            <w:r>
              <w:rPr>
                <w:rFonts w:eastAsia="Times New Roman"/>
                <w:lang w:val="en-US" w:eastAsia="de-DE"/>
              </w:rPr>
              <w:t>Our organization's information is based on common best practices from existing service frameworks like ITSM and ITIL also for non-IT areas.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781E91BF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72E25B2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5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3CB3E">
            <w:pPr>
              <w:rPr>
                <w:rFonts w:eastAsia="Times New Roman"/>
                <w:lang w:val="en-US" w:eastAsia="de-DE"/>
              </w:rPr>
            </w:pPr>
            <w:r>
              <w:rPr>
                <w:rFonts w:eastAsia="Times New Roman"/>
                <w:lang w:val="en-US" w:eastAsia="de-DE"/>
              </w:rPr>
              <w:t>Usage of modelling standards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8CB76">
            <w:pPr>
              <w:rPr>
                <w:rFonts w:eastAsia="Times New Roman"/>
                <w:lang w:val="en-US" w:eastAsia="de-DE"/>
              </w:rPr>
            </w:pPr>
            <w:r>
              <w:rPr>
                <w:rFonts w:eastAsia="Times New Roman"/>
                <w:lang w:val="en-US" w:eastAsia="de-DE"/>
              </w:rPr>
              <w:t>IRS2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FC6C5">
            <w:pPr>
              <w:rPr>
                <w:rFonts w:eastAsia="Times New Roman"/>
                <w:lang w:val="en-US" w:eastAsia="de-DE"/>
              </w:rPr>
            </w:pPr>
            <w:r>
              <w:rPr>
                <w:rFonts w:eastAsia="Times New Roman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3F9E9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information is based on common modelling standards to design workflows, like SOA principles.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40575EF3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7B25D2F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0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F5B67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Extension of Service Desk as SPOC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23F28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PRR1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E0153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715F8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people extended the Service Desk as an ESM Single Point of Contact, meaning it goes beyond the IT department including also business-related employees.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5FA29472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6598CF9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20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A7F94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Adjusted service support model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D3FBD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PRR2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7F49C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20281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people adjusted the service support model, meaning the IT and business organization have a structured support center to deliver ESM services.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75C6C5A2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6A5B48D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95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98D55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Management support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FCBAC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PRE1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72640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27DFF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people have management who supports the ESM implementation initiative (strongly and openly).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3A084567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3067F6D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20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785A7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Culture Alignment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F2E0F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PRE2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65EF9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054DC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people have a corporate culture which is committed towards ESM.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71143CA8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49A8EDE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65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548AF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Cascading vision and goals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22C5A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PRE3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F5128">
            <w:pPr>
              <w:rPr>
                <w:rFonts w:eastAsia="Times New Roman"/>
                <w:lang w:val="en-US" w:eastAsia="de-DE"/>
              </w:rPr>
            </w:pPr>
            <w:r>
              <w:rPr>
                <w:rFonts w:eastAsia="Times New Roman"/>
                <w:lang w:val="en-US" w:eastAsia="de-DE"/>
              </w:rPr>
              <w:t>formative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BC6F7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Our organization's people know the vision and goals which are cascaded throughout the whole organization.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3ECC9625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1E93343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05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AF4AB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Overall firm performance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91D83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NVF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F35AE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reflective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EB253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Over the last 3 years, our financial performance has been outstanding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Over the last 3 years, our financial performance has exceeded our competitors'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Over the last 3 years, our sales growth has been outstanding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Over the last 3 years, we have been more profitable than out competitors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Over the last 3 years, our sales growth has exceeded our competitors'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458BC862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3F0A6B0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0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6E8F1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IT performance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3198E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NVI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3439B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reflective</w:t>
            </w: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371FF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New information technologies have dramatically increased our productivity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New information technologies have improved our competitive advantage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New information technologies have dramatically increased our sales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New information technologies have dramatically increased our profitability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New information technologies have improved our overall performance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730918D4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  <w:tr w14:paraId="6854334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08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85C9">
            <w:pPr>
              <w:rPr>
                <w:rFonts w:eastAsia="Times New Roman"/>
                <w:lang w:val="en-US" w:eastAsia="de-DE"/>
              </w:rPr>
            </w:pP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54F07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DEMO1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18110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72BD7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Please specify the number of employees of your organization (in case of a global company, provide the total number)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17A9CE18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– 49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50 – 249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250 – 499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500 – 999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1.000– 2.499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2.500 – 4.999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5.000 – 9.999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10.000 – 49.999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50.000 – 99.999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100.000 or more</w:t>
            </w:r>
          </w:p>
        </w:tc>
      </w:tr>
      <w:tr w14:paraId="255E42E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0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00C5B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69F35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DEMO2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63327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0A091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Please specify the number of IT employees of your organization (in case of a global company, provide the total number)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0E9C831A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0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1-4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5-14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15-24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25-49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50-99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100-249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250-499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500-999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1.000-4.999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5.000 or more</w:t>
            </w:r>
          </w:p>
        </w:tc>
      </w:tr>
      <w:tr w14:paraId="406F29F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355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9F1A0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74474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DEMO3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6A660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A8880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Please specify the main industry your organization operates in.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0FD383AC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Accommodation Services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Administrative and Support Services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Construction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Consumer Services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Education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Entertainment Providers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Farming, Ranching, Forestry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Financial Services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Government Administration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Holding Companies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Hospitals and Health Care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Manufacturing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Oil, Gas, and Mining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Professional Services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Real Estate and Equipment Rental Services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Retail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Technology, Information and Media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Transportation, Logistics, Supply Chain and Storage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Utilities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Wholesale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Other [Please specify]</w:t>
            </w:r>
          </w:p>
        </w:tc>
      </w:tr>
      <w:tr w14:paraId="22EDCF9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65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A93D9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6A381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DEMO4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D1EC7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443DC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Please specify the business type your organization has.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38BC17E7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B2B (Business to Business)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B2C (Business to Customer)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Other [please specify]</w:t>
            </w:r>
          </w:p>
        </w:tc>
      </w:tr>
      <w:tr w14:paraId="53A72CC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23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27395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8E1C9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DEMO5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61796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CB6B4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Please specify in which country your organization resides (in case of a global company, choose the headquarter country).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3DE9F6A0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Drop Down: Top 150 countries per GDP year 2022 as per IMF data</w:t>
            </w:r>
          </w:p>
        </w:tc>
      </w:tr>
      <w:tr w14:paraId="59C7491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E4B53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C985A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DEMO6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46DE4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08E73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Please specify your job position in the organization.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7AE5B7C0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Free text field</w:t>
            </w:r>
          </w:p>
        </w:tc>
      </w:tr>
      <w:tr w14:paraId="038A55E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CF437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1C689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DEMO7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E351F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870E8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Please specify to which organizational area you belong.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38006E0A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IT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Business</w:t>
            </w:r>
          </w:p>
        </w:tc>
      </w:tr>
      <w:tr w14:paraId="2162246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EDB81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7DA79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DEMO8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41929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F6270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Please specify how many years of experience you have in the Service Management area.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3180484B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Number free field</w:t>
            </w:r>
          </w:p>
        </w:tc>
      </w:tr>
      <w:tr w14:paraId="0985713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32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BAEB4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A1212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DEMO9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02A4C">
            <w:pPr>
              <w:rPr>
                <w:rFonts w:eastAsia="Times New Roman"/>
                <w:lang w:val="en-US" w:eastAsia="de-DE"/>
              </w:rPr>
            </w:pP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FDA68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Please specify how many years you have been working for the organization in question.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17AAAB97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&lt;1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1-2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3-5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6-10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11-20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&gt;20</w:t>
            </w:r>
          </w:p>
        </w:tc>
      </w:tr>
      <w:tr w14:paraId="2F3E9CA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5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5D92C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946AC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DEMO10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71BC2">
            <w:pPr>
              <w:rPr>
                <w:rFonts w:eastAsia="Times New Roman"/>
                <w:lang w:val="en-US" w:eastAsia="de-DE"/>
              </w:rPr>
            </w:pP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7372B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Please specify your work level at this organization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508C3E4B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 xml:space="preserve"> Executive level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Senior Management level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Manager level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Staff level</w:t>
            </w:r>
            <w:r>
              <w:rPr>
                <w:rFonts w:eastAsia="Times New Roman"/>
                <w:color w:val="000000"/>
                <w:lang w:val="en-US" w:eastAsia="de-DE"/>
              </w:rPr>
              <w:br w:type="textWrapping"/>
            </w:r>
            <w:r>
              <w:rPr>
                <w:rFonts w:eastAsia="Times New Roman"/>
                <w:color w:val="000000"/>
                <w:lang w:val="en-US" w:eastAsia="de-DE"/>
              </w:rPr>
              <w:t>External / Consultant</w:t>
            </w:r>
          </w:p>
        </w:tc>
      </w:tr>
      <w:tr w14:paraId="42E0179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65" w:hRule="atLeast"/>
        </w:trPr>
        <w:tc>
          <w:tcPr>
            <w:tcW w:w="652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70358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816B2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VER</w:t>
            </w:r>
          </w:p>
        </w:tc>
        <w:tc>
          <w:tcPr>
            <w:tcW w:w="506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E4B29">
            <w:pPr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1521" w:type="pct"/>
            <w:tcBorders>
              <w:top w:val="single" w:color="A5A5A5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6A8DD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 xml:space="preserve">Please specify to what extent the following statements are true for you: </w:t>
            </w:r>
          </w:p>
          <w:p w14:paraId="47054042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Blue is a beautiful color.</w:t>
            </w:r>
          </w:p>
          <w:p w14:paraId="33BC6CC1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I like the color blue.</w:t>
            </w:r>
          </w:p>
          <w:p w14:paraId="1AB8CDE2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Blue is a pleasant color.</w:t>
            </w:r>
          </w:p>
        </w:tc>
        <w:tc>
          <w:tcPr>
            <w:tcW w:w="1811" w:type="pct"/>
            <w:tcBorders>
              <w:top w:val="single" w:color="A5A5A5" w:sz="4" w:space="0"/>
              <w:left w:val="nil"/>
              <w:bottom w:val="nil"/>
              <w:right w:val="single" w:color="A5A5A5" w:sz="4" w:space="0"/>
            </w:tcBorders>
            <w:shd w:val="clear" w:color="auto" w:fill="auto"/>
            <w:vAlign w:val="center"/>
          </w:tcPr>
          <w:p w14:paraId="3EBF1046">
            <w:pPr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 = not at all, 2 = to a very small extent, 3 = to a small extent, 4 = to a moderate extent, 5 = to a large extent, 6 = to a very large extent, 7 = to a full extent</w:t>
            </w:r>
          </w:p>
        </w:tc>
      </w:tr>
    </w:tbl>
    <w:p w14:paraId="0C17CA2C">
      <w:pPr>
        <w:rPr>
          <w:lang w:val="en-US"/>
        </w:rPr>
      </w:pPr>
      <w:bookmarkStart w:id="0" w:name="_GoBack"/>
      <w:bookmarkEnd w:id="0"/>
    </w:p>
    <w:sectPr>
      <w:headerReference r:id="rId3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046F6">
    <w:pPr>
      <w:pStyle w:val="14"/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6D"/>
    <w:rsid w:val="001B23A6"/>
    <w:rsid w:val="005E3034"/>
    <w:rsid w:val="006E0666"/>
    <w:rsid w:val="00770DA4"/>
    <w:rsid w:val="007737B8"/>
    <w:rsid w:val="007C5A81"/>
    <w:rsid w:val="009134FE"/>
    <w:rsid w:val="00A530F1"/>
    <w:rsid w:val="00B3436D"/>
    <w:rsid w:val="00D26660"/>
    <w:rsid w:val="00D72849"/>
    <w:rsid w:val="00D92191"/>
    <w:rsid w:val="00DC0C59"/>
    <w:rsid w:val="20F228D8"/>
    <w:rsid w:val="23754831"/>
    <w:rsid w:val="23D50B53"/>
    <w:rsid w:val="3775524D"/>
    <w:rsid w:val="42492D4F"/>
    <w:rsid w:val="674C6704"/>
    <w:rsid w:val="6CAA5C57"/>
    <w:rsid w:val="7DED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HAnsi"/>
      <w:lang w:val="de-DE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</w:pPr>
  </w:style>
  <w:style w:type="paragraph" w:styleId="14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</w:pPr>
  </w:style>
  <w:style w:type="paragraph" w:styleId="15">
    <w:name w:val="Subtitle"/>
    <w:basedOn w:val="1"/>
    <w:next w:val="1"/>
    <w:link w:val="27"/>
    <w:qFormat/>
    <w:uiPriority w:val="11"/>
    <w:p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Überschrift 1 Zchn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Überschrift 2 Zchn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Überschrift 3 Zchn"/>
    <w:basedOn w:val="11"/>
    <w:link w:val="4"/>
    <w:semiHidden/>
    <w:qFormat/>
    <w:uiPriority w:val="9"/>
    <w:rPr>
      <w:rFonts w:asciiTheme="minorHAnsi" w:hAnsiTheme="minorHAnsi" w:eastAsiaTheme="majorEastAsia" w:cstheme="majorBidi"/>
      <w:color w:val="104862" w:themeColor="accent1" w:themeShade="BF"/>
      <w:sz w:val="28"/>
      <w:szCs w:val="28"/>
    </w:rPr>
  </w:style>
  <w:style w:type="character" w:customStyle="1" w:styleId="20">
    <w:name w:val="Überschrift 4 Zchn"/>
    <w:basedOn w:val="11"/>
    <w:link w:val="5"/>
    <w:semiHidden/>
    <w:qFormat/>
    <w:uiPriority w:val="9"/>
    <w:rPr>
      <w:rFonts w:asciiTheme="minorHAnsi" w:hAnsiTheme="minorHAnsi" w:eastAsiaTheme="majorEastAsia" w:cstheme="majorBidi"/>
      <w:i/>
      <w:iCs/>
      <w:color w:val="104862" w:themeColor="accent1" w:themeShade="BF"/>
    </w:rPr>
  </w:style>
  <w:style w:type="character" w:customStyle="1" w:styleId="21">
    <w:name w:val="Überschrift 5 Zchn"/>
    <w:basedOn w:val="11"/>
    <w:link w:val="6"/>
    <w:semiHidden/>
    <w:qFormat/>
    <w:uiPriority w:val="9"/>
    <w:rPr>
      <w:rFonts w:asciiTheme="minorHAnsi" w:hAnsiTheme="minorHAnsi" w:eastAsiaTheme="majorEastAsia" w:cstheme="majorBidi"/>
      <w:color w:val="104862" w:themeColor="accent1" w:themeShade="BF"/>
    </w:rPr>
  </w:style>
  <w:style w:type="character" w:customStyle="1" w:styleId="22">
    <w:name w:val="Überschrift 6 Zchn"/>
    <w:basedOn w:val="11"/>
    <w:link w:val="7"/>
    <w:semiHidden/>
    <w:qFormat/>
    <w:uiPriority w:val="9"/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Überschrift 7 Zchn"/>
    <w:basedOn w:val="11"/>
    <w:link w:val="8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Überschrift 8 Zchn"/>
    <w:basedOn w:val="11"/>
    <w:link w:val="9"/>
    <w:semiHidden/>
    <w:qFormat/>
    <w:uiPriority w:val="9"/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Überschrift 9 Zchn"/>
    <w:basedOn w:val="11"/>
    <w:link w:val="10"/>
    <w:semiHidden/>
    <w:qFormat/>
    <w:uiPriority w:val="9"/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itel Zchn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Untertitel Zchn"/>
    <w:basedOn w:val="11"/>
    <w:link w:val="15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Zitat Zchn"/>
    <w:basedOn w:val="11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Intensives Zitat Zchn"/>
    <w:basedOn w:val="11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Kopfzeile Zchn"/>
    <w:basedOn w:val="11"/>
    <w:link w:val="14"/>
    <w:qFormat/>
    <w:uiPriority w:val="99"/>
  </w:style>
  <w:style w:type="character" w:customStyle="1" w:styleId="36">
    <w:name w:val="Fußzeile Zchn"/>
    <w:basedOn w:val="11"/>
    <w:link w:val="1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1802</Words>
  <Characters>11359</Characters>
  <Lines>94</Lines>
  <Paragraphs>26</Paragraphs>
  <TotalTime>9</TotalTime>
  <ScaleCrop>false</ScaleCrop>
  <LinksUpToDate>false</LinksUpToDate>
  <CharactersWithSpaces>13135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2024-08-05T19:34:00Z</dcterms:created>
  <dc:creator>Daaron Faber</dc:creator>
  <cp:lastModifiedBy>Joseph  Villarosa</cp:lastModifiedBy>
  <dcterms:modified xsi:type="dcterms:W3CDTF">2024-10-08T09:34:50Z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0754520AD3204AC58FE35394BF2A7ACA_13</vt:lpwstr>
  </property>
</Properties>
</file>