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9062"/>
      </w:tblGrid>
      <w:tr w:rsidR="000552F3" w:rsidRPr="00FD6217" w14:paraId="2BB042EE" w14:textId="77777777" w:rsidTr="000552F3">
        <w:tc>
          <w:tcPr>
            <w:tcW w:w="9062" w:type="dxa"/>
            <w:shd w:val="clear" w:color="auto" w:fill="F2F2F2" w:themeFill="background1" w:themeFillShade="F2"/>
          </w:tcPr>
          <w:p w14:paraId="34368C47" w14:textId="7BBCF1E2" w:rsidR="000552F3" w:rsidRPr="000552F3" w:rsidRDefault="000552F3">
            <w:pPr>
              <w:rPr>
                <w:rFonts w:ascii="Times New Roman" w:hAnsi="Times New Roman" w:cs="Times New Roman"/>
                <w:b/>
                <w:bCs/>
                <w:sz w:val="20"/>
                <w:szCs w:val="20"/>
                <w:lang w:val="en-US"/>
              </w:rPr>
            </w:pPr>
            <w:r w:rsidRPr="000552F3">
              <w:rPr>
                <w:rFonts w:ascii="Times New Roman" w:hAnsi="Times New Roman" w:cs="Times New Roman"/>
                <w:b/>
                <w:bCs/>
                <w:sz w:val="20"/>
                <w:szCs w:val="20"/>
                <w:lang w:val="en-US"/>
              </w:rPr>
              <w:t xml:space="preserve">A definition of digital product passports (DPPs) from </w:t>
            </w:r>
            <w:r w:rsidR="00377A71">
              <w:rPr>
                <w:rFonts w:ascii="Times New Roman" w:hAnsi="Times New Roman" w:cs="Times New Roman"/>
                <w:b/>
                <w:bCs/>
                <w:sz w:val="20"/>
                <w:szCs w:val="20"/>
                <w:lang w:val="en-US"/>
              </w:rPr>
              <w:t>the</w:t>
            </w:r>
            <w:r w:rsidRPr="000552F3">
              <w:rPr>
                <w:rFonts w:ascii="Times New Roman" w:hAnsi="Times New Roman" w:cs="Times New Roman"/>
                <w:b/>
                <w:bCs/>
                <w:sz w:val="20"/>
                <w:szCs w:val="20"/>
                <w:lang w:val="en-US"/>
              </w:rPr>
              <w:t xml:space="preserve"> information systems</w:t>
            </w:r>
            <w:r w:rsidR="00377A71">
              <w:rPr>
                <w:rFonts w:ascii="Times New Roman" w:hAnsi="Times New Roman" w:cs="Times New Roman"/>
                <w:b/>
                <w:bCs/>
                <w:sz w:val="20"/>
                <w:szCs w:val="20"/>
                <w:lang w:val="en-US"/>
              </w:rPr>
              <w:t xml:space="preserve"> research perspective</w:t>
            </w:r>
          </w:p>
        </w:tc>
      </w:tr>
      <w:tr w:rsidR="000552F3" w:rsidRPr="00FD6217" w14:paraId="59FE3232" w14:textId="77777777" w:rsidTr="000552F3">
        <w:tc>
          <w:tcPr>
            <w:tcW w:w="9062" w:type="dxa"/>
          </w:tcPr>
          <w:p w14:paraId="240474B6" w14:textId="3BF5E21C" w:rsidR="000552F3" w:rsidRPr="000552F3" w:rsidRDefault="00377A71">
            <w:pPr>
              <w:rPr>
                <w:rFonts w:ascii="Times New Roman" w:hAnsi="Times New Roman" w:cs="Times New Roman"/>
                <w:i/>
                <w:iCs/>
                <w:sz w:val="20"/>
                <w:szCs w:val="20"/>
                <w:lang w:val="en-US"/>
              </w:rPr>
            </w:pPr>
            <w:r w:rsidRPr="00377A71">
              <w:rPr>
                <w:rFonts w:ascii="Times New Roman" w:hAnsi="Times New Roman" w:cs="Times New Roman"/>
                <w:i/>
                <w:iCs/>
                <w:sz w:val="20"/>
                <w:szCs w:val="20"/>
                <w:lang w:val="en-US"/>
              </w:rPr>
              <w:t>A Digital Product Passport (DPP) is a policy-driven digital representation of a unique, identifiable product, product batch, or product model that is mandated by the ESPR to capture, organize, and disclose mandated product data across organizational and ecosystem boundaries throughout the product lifecycle via a data carrier and interfaces, acting as a digital artifact to support regulatory compliance</w:t>
            </w:r>
            <w:r w:rsidR="000552F3" w:rsidRPr="000552F3">
              <w:rPr>
                <w:rFonts w:ascii="Times New Roman" w:hAnsi="Times New Roman" w:cs="Times New Roman"/>
                <w:i/>
                <w:iCs/>
                <w:sz w:val="20"/>
                <w:szCs w:val="20"/>
                <w:lang w:val="en-US"/>
              </w:rPr>
              <w:t>.</w:t>
            </w:r>
          </w:p>
        </w:tc>
      </w:tr>
    </w:tbl>
    <w:p w14:paraId="044873FB" w14:textId="53625EAB" w:rsidR="0009344D" w:rsidRDefault="0009344D">
      <w:pPr>
        <w:rPr>
          <w:lang w:val="en-US"/>
        </w:rPr>
      </w:pPr>
    </w:p>
    <w:tbl>
      <w:tblPr>
        <w:tblStyle w:val="Tabellenraster"/>
        <w:tblW w:w="0" w:type="auto"/>
        <w:tblLook w:val="04A0" w:firstRow="1" w:lastRow="0" w:firstColumn="1" w:lastColumn="0" w:noHBand="0" w:noVBand="1"/>
      </w:tblPr>
      <w:tblGrid>
        <w:gridCol w:w="9062"/>
      </w:tblGrid>
      <w:tr w:rsidR="000552F3" w:rsidRPr="00FD6217" w14:paraId="1F1C765F" w14:textId="77777777" w:rsidTr="00D71639">
        <w:tc>
          <w:tcPr>
            <w:tcW w:w="9062" w:type="dxa"/>
            <w:shd w:val="clear" w:color="auto" w:fill="F2F2F2" w:themeFill="background1" w:themeFillShade="F2"/>
          </w:tcPr>
          <w:p w14:paraId="6E1E652E" w14:textId="1F91CAC3" w:rsidR="000552F3" w:rsidRDefault="000552F3">
            <w:pPr>
              <w:rPr>
                <w:lang w:val="en-US"/>
              </w:rPr>
            </w:pPr>
            <w:r w:rsidRPr="000552F3">
              <w:rPr>
                <w:rFonts w:ascii="Times New Roman" w:hAnsi="Times New Roman" w:cs="Times New Roman"/>
                <w:b/>
                <w:bCs/>
                <w:color w:val="000000" w:themeColor="text1"/>
                <w:sz w:val="20"/>
                <w:szCs w:val="20"/>
                <w:lang w:val="en-US"/>
              </w:rPr>
              <w:t>Architecture for digital product passports</w:t>
            </w:r>
          </w:p>
        </w:tc>
      </w:tr>
      <w:tr w:rsidR="000552F3" w:rsidRPr="00FD6217" w14:paraId="3EC5E796" w14:textId="77777777" w:rsidTr="000552F3">
        <w:tc>
          <w:tcPr>
            <w:tcW w:w="9062" w:type="dxa"/>
          </w:tcPr>
          <w:p w14:paraId="6FC39F5F" w14:textId="2601023E" w:rsidR="000552F3" w:rsidRDefault="00FD6217" w:rsidP="000552F3">
            <w:pPr>
              <w:jc w:val="center"/>
              <w:rPr>
                <w:lang w:val="en-US"/>
              </w:rPr>
            </w:pPr>
            <w:r w:rsidRPr="00FD6217">
              <w:rPr>
                <w:noProof/>
                <w:lang w:val="en-US"/>
              </w:rPr>
              <w:drawing>
                <wp:inline distT="0" distB="0" distL="0" distR="0" wp14:anchorId="4D677454" wp14:editId="63BEB3B5">
                  <wp:extent cx="5760720" cy="324675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246755"/>
                          </a:xfrm>
                          <a:prstGeom prst="rect">
                            <a:avLst/>
                          </a:prstGeom>
                          <a:noFill/>
                          <a:ln>
                            <a:noFill/>
                          </a:ln>
                        </pic:spPr>
                      </pic:pic>
                    </a:graphicData>
                  </a:graphic>
                </wp:inline>
              </w:drawing>
            </w:r>
          </w:p>
        </w:tc>
      </w:tr>
      <w:tr w:rsidR="000740BB" w:rsidRPr="00FD6217" w14:paraId="512551F8" w14:textId="77777777" w:rsidTr="000552F3">
        <w:tc>
          <w:tcPr>
            <w:tcW w:w="9062" w:type="dxa"/>
          </w:tcPr>
          <w:p w14:paraId="25FC0A56" w14:textId="6626AAD1" w:rsidR="000740BB" w:rsidRPr="000740BB" w:rsidRDefault="000740BB" w:rsidP="000740BB">
            <w:pPr>
              <w:jc w:val="right"/>
              <w:rPr>
                <w:rFonts w:ascii="Times New Roman" w:hAnsi="Times New Roman" w:cs="Times New Roman"/>
                <w:noProof/>
                <w:lang w:val="en-US"/>
              </w:rPr>
            </w:pPr>
            <w:r w:rsidRPr="000740BB">
              <w:rPr>
                <w:rFonts w:ascii="Times New Roman" w:hAnsi="Times New Roman" w:cs="Times New Roman"/>
                <w:sz w:val="20"/>
                <w:szCs w:val="20"/>
                <w:lang w:val="en-US"/>
              </w:rPr>
              <w:t>*The architecture presents a structured view of the core elements (grey), such as actors, data, and interfaces,</w:t>
            </w:r>
            <w:r>
              <w:rPr>
                <w:rFonts w:ascii="Times New Roman" w:hAnsi="Times New Roman" w:cs="Times New Roman"/>
                <w:sz w:val="20"/>
                <w:szCs w:val="20"/>
                <w:lang w:val="en-US"/>
              </w:rPr>
              <w:t xml:space="preserve"> </w:t>
            </w:r>
            <w:r w:rsidRPr="000740BB">
              <w:rPr>
                <w:rFonts w:ascii="Times New Roman" w:hAnsi="Times New Roman" w:cs="Times New Roman"/>
                <w:sz w:val="20"/>
                <w:szCs w:val="20"/>
                <w:lang w:val="en-US"/>
              </w:rPr>
              <w:t>as well as their non-exhaustive instantiations (white).</w:t>
            </w:r>
          </w:p>
        </w:tc>
      </w:tr>
    </w:tbl>
    <w:p w14:paraId="7FD6BA68" w14:textId="77777777" w:rsidR="000552F3" w:rsidRDefault="000552F3">
      <w:pPr>
        <w:rPr>
          <w:lang w:val="en-US"/>
        </w:rPr>
      </w:pPr>
    </w:p>
    <w:tbl>
      <w:tblPr>
        <w:tblStyle w:val="Tabellenraster"/>
        <w:tblW w:w="0" w:type="auto"/>
        <w:tblLook w:val="04A0" w:firstRow="1" w:lastRow="0" w:firstColumn="1" w:lastColumn="0" w:noHBand="0" w:noVBand="1"/>
      </w:tblPr>
      <w:tblGrid>
        <w:gridCol w:w="1696"/>
        <w:gridCol w:w="7366"/>
      </w:tblGrid>
      <w:tr w:rsidR="000552F3" w:rsidRPr="00FD6217" w14:paraId="4CF3D7B9" w14:textId="77777777" w:rsidTr="005912EC">
        <w:tc>
          <w:tcPr>
            <w:tcW w:w="9062" w:type="dxa"/>
            <w:gridSpan w:val="2"/>
            <w:shd w:val="clear" w:color="auto" w:fill="F2F2F2" w:themeFill="background1" w:themeFillShade="F2"/>
          </w:tcPr>
          <w:p w14:paraId="731021F6" w14:textId="48252BF6" w:rsidR="000552F3" w:rsidRPr="0009344D" w:rsidRDefault="000552F3" w:rsidP="005912EC">
            <w:pPr>
              <w:spacing w:before="100" w:beforeAutospacing="1" w:after="100" w:afterAutospacing="1"/>
              <w:rPr>
                <w:rFonts w:ascii="Times New Roman" w:eastAsia="Times New Roman" w:hAnsi="Times New Roman" w:cs="Times New Roman"/>
                <w:b/>
                <w:sz w:val="20"/>
                <w:szCs w:val="20"/>
                <w:lang w:val="en-US" w:eastAsia="de-DE"/>
              </w:rPr>
            </w:pPr>
            <w:r>
              <w:rPr>
                <w:rFonts w:ascii="Times New Roman" w:eastAsia="Times New Roman" w:hAnsi="Times New Roman" w:cs="Times New Roman"/>
                <w:b/>
                <w:sz w:val="20"/>
                <w:szCs w:val="20"/>
                <w:lang w:val="en-US" w:eastAsia="de-DE"/>
              </w:rPr>
              <w:t>A more detailed overview of the elements of the architecture for DPPs</w:t>
            </w:r>
          </w:p>
        </w:tc>
      </w:tr>
      <w:tr w:rsidR="000552F3" w:rsidRPr="003A0381" w14:paraId="48FB12A3" w14:textId="77777777" w:rsidTr="005912EC">
        <w:tc>
          <w:tcPr>
            <w:tcW w:w="1696" w:type="dxa"/>
            <w:shd w:val="clear" w:color="auto" w:fill="F2F2F2" w:themeFill="background1" w:themeFillShade="F2"/>
          </w:tcPr>
          <w:p w14:paraId="41A7A9B3" w14:textId="77777777" w:rsidR="000552F3" w:rsidRPr="0009344D" w:rsidRDefault="000552F3" w:rsidP="005912EC">
            <w:pPr>
              <w:spacing w:before="100" w:beforeAutospacing="1" w:after="100" w:afterAutospacing="1"/>
              <w:rPr>
                <w:rFonts w:ascii="Times New Roman" w:eastAsia="Times New Roman" w:hAnsi="Times New Roman" w:cs="Times New Roman"/>
                <w:b/>
                <w:sz w:val="20"/>
                <w:szCs w:val="20"/>
                <w:lang w:val="en-US" w:eastAsia="de-DE"/>
              </w:rPr>
            </w:pPr>
            <w:r w:rsidRPr="0009344D">
              <w:rPr>
                <w:rFonts w:ascii="Times New Roman" w:eastAsia="Times New Roman" w:hAnsi="Times New Roman" w:cs="Times New Roman"/>
                <w:b/>
                <w:sz w:val="20"/>
                <w:szCs w:val="20"/>
                <w:lang w:val="en-US" w:eastAsia="de-DE"/>
              </w:rPr>
              <w:t>Elements</w:t>
            </w:r>
          </w:p>
        </w:tc>
        <w:tc>
          <w:tcPr>
            <w:tcW w:w="7366" w:type="dxa"/>
            <w:shd w:val="clear" w:color="auto" w:fill="F2F2F2" w:themeFill="background1" w:themeFillShade="F2"/>
          </w:tcPr>
          <w:p w14:paraId="58261B88" w14:textId="77777777" w:rsidR="000552F3" w:rsidRPr="0009344D" w:rsidRDefault="000552F3" w:rsidP="005912EC">
            <w:pPr>
              <w:spacing w:before="100" w:beforeAutospacing="1" w:after="100" w:afterAutospacing="1"/>
              <w:rPr>
                <w:rFonts w:ascii="Times New Roman" w:eastAsia="Times New Roman" w:hAnsi="Times New Roman" w:cs="Times New Roman"/>
                <w:b/>
                <w:sz w:val="20"/>
                <w:szCs w:val="20"/>
                <w:lang w:val="en-US" w:eastAsia="de-DE"/>
              </w:rPr>
            </w:pPr>
            <w:r w:rsidRPr="0009344D">
              <w:rPr>
                <w:rFonts w:ascii="Times New Roman" w:eastAsia="Times New Roman" w:hAnsi="Times New Roman" w:cs="Times New Roman"/>
                <w:b/>
                <w:sz w:val="20"/>
                <w:szCs w:val="20"/>
                <w:lang w:val="en-US" w:eastAsia="de-DE"/>
              </w:rPr>
              <w:t>Descriptions</w:t>
            </w:r>
          </w:p>
        </w:tc>
      </w:tr>
      <w:tr w:rsidR="000552F3" w:rsidRPr="00FD6217" w14:paraId="3A65BD8B" w14:textId="77777777" w:rsidTr="005912EC">
        <w:tc>
          <w:tcPr>
            <w:tcW w:w="1696" w:type="dxa"/>
            <w:shd w:val="clear" w:color="auto" w:fill="D9E2F3" w:themeFill="accent1" w:themeFillTint="33"/>
          </w:tcPr>
          <w:p w14:paraId="6306D612" w14:textId="77777777" w:rsidR="000552F3" w:rsidRPr="00AA78CD" w:rsidRDefault="000552F3" w:rsidP="005912EC">
            <w:pPr>
              <w:spacing w:before="100" w:beforeAutospacing="1" w:after="100" w:afterAutospacing="1"/>
              <w:rPr>
                <w:rFonts w:ascii="Times New Roman" w:eastAsia="Times New Roman" w:hAnsi="Times New Roman" w:cs="Times New Roman"/>
                <w:b/>
                <w:bCs/>
                <w:sz w:val="20"/>
                <w:szCs w:val="20"/>
                <w:lang w:val="en-US" w:eastAsia="de-DE"/>
              </w:rPr>
            </w:pPr>
            <w:r w:rsidRPr="00AA78CD">
              <w:rPr>
                <w:rFonts w:ascii="Times New Roman" w:eastAsia="Times New Roman" w:hAnsi="Times New Roman" w:cs="Times New Roman"/>
                <w:b/>
                <w:bCs/>
                <w:sz w:val="20"/>
                <w:szCs w:val="20"/>
                <w:lang w:val="en-US" w:eastAsia="de-DE"/>
              </w:rPr>
              <w:t>Tangible object</w:t>
            </w:r>
          </w:p>
        </w:tc>
        <w:tc>
          <w:tcPr>
            <w:tcW w:w="7366" w:type="dxa"/>
            <w:shd w:val="clear" w:color="auto" w:fill="D9E2F3" w:themeFill="accent1" w:themeFillTint="33"/>
          </w:tcPr>
          <w:p w14:paraId="184F6F18" w14:textId="77777777" w:rsidR="000552F3" w:rsidRPr="0009344D" w:rsidRDefault="000552F3" w:rsidP="005912EC">
            <w:pPr>
              <w:spacing w:before="100" w:beforeAutospacing="1" w:after="100" w:afterAutospacing="1"/>
              <w:rPr>
                <w:rFonts w:ascii="Times New Roman" w:eastAsia="Times New Roman" w:hAnsi="Times New Roman" w:cs="Times New Roman"/>
                <w:sz w:val="20"/>
                <w:szCs w:val="20"/>
                <w:lang w:val="en-US" w:eastAsia="de-DE"/>
              </w:rPr>
            </w:pPr>
            <w:r w:rsidRPr="0009344D">
              <w:rPr>
                <w:rFonts w:ascii="Times New Roman" w:eastAsia="Times New Roman" w:hAnsi="Times New Roman" w:cs="Times New Roman"/>
                <w:sz w:val="20"/>
                <w:szCs w:val="20"/>
                <w:lang w:val="en-US" w:eastAsia="de-DE"/>
              </w:rPr>
              <w:t xml:space="preserve">A DPP is always associated with a tangible object. It is the entity for which the DPP collects and incorporates lifecycle data. A tangible object can have different degrees of granularity. Despite mostly referring to </w:t>
            </w:r>
            <w:r>
              <w:rPr>
                <w:rFonts w:ascii="Times New Roman" w:eastAsia="Times New Roman" w:hAnsi="Times New Roman" w:cs="Times New Roman"/>
                <w:sz w:val="20"/>
                <w:szCs w:val="20"/>
                <w:lang w:val="en-US" w:eastAsia="de-DE"/>
              </w:rPr>
              <w:t xml:space="preserve">single </w:t>
            </w:r>
            <w:r w:rsidRPr="0009344D">
              <w:rPr>
                <w:rFonts w:ascii="Times New Roman" w:eastAsia="Times New Roman" w:hAnsi="Times New Roman" w:cs="Times New Roman"/>
                <w:sz w:val="20"/>
                <w:szCs w:val="20"/>
                <w:lang w:val="en-US" w:eastAsia="de-DE"/>
              </w:rPr>
              <w:t>items, DPPs can also refer to entire batches of products (e.g., textiles or packaging) if the product value is low or product models. For modular products and complex capital goods consisting of modules, DPPs can also be created for individual modules. This is particularly the case for the reuse of modules in end-of-life products.</w:t>
            </w:r>
          </w:p>
        </w:tc>
      </w:tr>
      <w:tr w:rsidR="000552F3" w:rsidRPr="00FD6217" w14:paraId="247949D9" w14:textId="77777777" w:rsidTr="005912EC">
        <w:tc>
          <w:tcPr>
            <w:tcW w:w="1696" w:type="dxa"/>
          </w:tcPr>
          <w:p w14:paraId="6C253E75" w14:textId="77777777" w:rsidR="000552F3" w:rsidRPr="00AA78CD" w:rsidRDefault="000552F3" w:rsidP="005912EC">
            <w:pPr>
              <w:spacing w:before="100" w:beforeAutospacing="1" w:after="100" w:afterAutospacing="1"/>
              <w:rPr>
                <w:rFonts w:ascii="Times New Roman" w:eastAsia="Times New Roman" w:hAnsi="Times New Roman" w:cs="Times New Roman"/>
                <w:b/>
                <w:bCs/>
                <w:sz w:val="20"/>
                <w:szCs w:val="20"/>
                <w:lang w:val="en-US" w:eastAsia="de-DE"/>
              </w:rPr>
            </w:pPr>
            <w:r w:rsidRPr="00AA78CD">
              <w:rPr>
                <w:rFonts w:ascii="Times New Roman" w:eastAsia="Times New Roman" w:hAnsi="Times New Roman" w:cs="Times New Roman"/>
                <w:b/>
                <w:bCs/>
                <w:sz w:val="20"/>
                <w:szCs w:val="20"/>
                <w:lang w:val="en-US" w:eastAsia="de-DE"/>
              </w:rPr>
              <w:t>Data carrier</w:t>
            </w:r>
          </w:p>
        </w:tc>
        <w:tc>
          <w:tcPr>
            <w:tcW w:w="7366" w:type="dxa"/>
          </w:tcPr>
          <w:p w14:paraId="6BD9FAD9" w14:textId="77777777" w:rsidR="000552F3" w:rsidRDefault="000552F3" w:rsidP="005912EC">
            <w:pPr>
              <w:spacing w:before="100" w:beforeAutospacing="1" w:after="100" w:afterAutospacing="1"/>
              <w:rPr>
                <w:rFonts w:ascii="Times New Roman" w:eastAsia="Times New Roman" w:hAnsi="Times New Roman" w:cs="Times New Roman"/>
                <w:sz w:val="20"/>
                <w:szCs w:val="20"/>
                <w:lang w:val="en-US" w:eastAsia="de-DE"/>
              </w:rPr>
            </w:pPr>
            <w:r w:rsidRPr="0009344D">
              <w:rPr>
                <w:rFonts w:ascii="Times New Roman" w:eastAsia="Times New Roman" w:hAnsi="Times New Roman" w:cs="Times New Roman"/>
                <w:sz w:val="20"/>
                <w:szCs w:val="20"/>
                <w:lang w:val="en-US" w:eastAsia="de-DE"/>
              </w:rPr>
              <w:t xml:space="preserve">The data carrier connects the </w:t>
            </w:r>
            <w:proofErr w:type="gramStart"/>
            <w:r>
              <w:rPr>
                <w:rFonts w:ascii="Times New Roman" w:eastAsia="Times New Roman" w:hAnsi="Times New Roman" w:cs="Times New Roman"/>
                <w:sz w:val="20"/>
                <w:szCs w:val="20"/>
                <w:lang w:val="en-US" w:eastAsia="de-DE"/>
              </w:rPr>
              <w:t>1..</w:t>
            </w:r>
            <w:proofErr w:type="gramEnd"/>
            <w:r>
              <w:rPr>
                <w:rFonts w:ascii="Times New Roman" w:eastAsia="Times New Roman" w:hAnsi="Times New Roman" w:cs="Times New Roman"/>
                <w:sz w:val="20"/>
                <w:szCs w:val="20"/>
                <w:lang w:val="en-US" w:eastAsia="de-DE"/>
              </w:rPr>
              <w:t xml:space="preserve">n of tangible objects </w:t>
            </w:r>
            <w:r w:rsidRPr="0009344D">
              <w:rPr>
                <w:rFonts w:ascii="Times New Roman" w:eastAsia="Times New Roman" w:hAnsi="Times New Roman" w:cs="Times New Roman"/>
                <w:sz w:val="20"/>
                <w:szCs w:val="20"/>
                <w:lang w:val="en-US" w:eastAsia="de-DE"/>
              </w:rPr>
              <w:t>over the unique product identifier (UPI) to the DPP. The data carrier must be physically identifiable on the product, in its package, or on any supporting paperwork (e.g., QR code, RFID tag) and comply with standard (‘ISO/IEC’) 15459:2015.</w:t>
            </w:r>
          </w:p>
        </w:tc>
      </w:tr>
      <w:tr w:rsidR="000552F3" w:rsidRPr="00AA78CD" w14:paraId="2AC53CFB" w14:textId="77777777" w:rsidTr="005912EC">
        <w:tc>
          <w:tcPr>
            <w:tcW w:w="1696" w:type="dxa"/>
            <w:shd w:val="clear" w:color="auto" w:fill="D9E2F3" w:themeFill="accent1" w:themeFillTint="33"/>
          </w:tcPr>
          <w:p w14:paraId="5C12DCC7" w14:textId="77777777" w:rsidR="000552F3" w:rsidRPr="00AA78CD" w:rsidRDefault="000552F3" w:rsidP="005912EC">
            <w:pPr>
              <w:spacing w:before="100" w:beforeAutospacing="1" w:after="100" w:afterAutospacing="1"/>
              <w:rPr>
                <w:rFonts w:ascii="Times New Roman" w:eastAsia="Times New Roman" w:hAnsi="Times New Roman" w:cs="Times New Roman"/>
                <w:b/>
                <w:bCs/>
                <w:sz w:val="20"/>
                <w:szCs w:val="20"/>
                <w:lang w:val="en-US" w:eastAsia="de-DE"/>
              </w:rPr>
            </w:pPr>
            <w:r w:rsidRPr="00AA78CD">
              <w:rPr>
                <w:rFonts w:ascii="Times New Roman" w:eastAsia="Times New Roman" w:hAnsi="Times New Roman" w:cs="Times New Roman"/>
                <w:b/>
                <w:bCs/>
                <w:sz w:val="20"/>
                <w:szCs w:val="20"/>
                <w:lang w:val="en-US" w:eastAsia="de-DE"/>
              </w:rPr>
              <w:t>Unique product identifier</w:t>
            </w:r>
          </w:p>
        </w:tc>
        <w:tc>
          <w:tcPr>
            <w:tcW w:w="7366" w:type="dxa"/>
            <w:shd w:val="clear" w:color="auto" w:fill="D9E2F3" w:themeFill="accent1" w:themeFillTint="33"/>
          </w:tcPr>
          <w:p w14:paraId="5AAC9B0E" w14:textId="77777777" w:rsidR="000552F3" w:rsidRDefault="000552F3" w:rsidP="005912EC">
            <w:pPr>
              <w:spacing w:before="100" w:beforeAutospacing="1" w:after="100" w:afterAutospacing="1"/>
              <w:rPr>
                <w:rFonts w:ascii="Times New Roman" w:eastAsia="Times New Roman" w:hAnsi="Times New Roman" w:cs="Times New Roman"/>
                <w:sz w:val="20"/>
                <w:szCs w:val="20"/>
                <w:lang w:val="en-US" w:eastAsia="de-DE"/>
              </w:rPr>
            </w:pPr>
            <w:r w:rsidRPr="0009344D">
              <w:rPr>
                <w:rFonts w:ascii="Times New Roman" w:eastAsia="Times New Roman" w:hAnsi="Times New Roman" w:cs="Times New Roman"/>
                <w:sz w:val="20"/>
                <w:szCs w:val="20"/>
                <w:lang w:val="en-US" w:eastAsia="de-DE"/>
              </w:rPr>
              <w:t>The unique product identifier (UPI) is a globally unique identifier that uniquely identifies the product. It is required to link a physical item, batch or product model to its digital representation in a DPP. It aims to ensure the originality of the physical object on the one hand and the data quality of the other hand, ensuring that every data entry is associated with a unique tangible object. The UPI must comply with standard (‘ISO/IEC’) 15459:2015.</w:t>
            </w:r>
          </w:p>
        </w:tc>
      </w:tr>
      <w:tr w:rsidR="000552F3" w:rsidRPr="00FD6217" w14:paraId="6032FFEB" w14:textId="77777777" w:rsidTr="005912EC">
        <w:tc>
          <w:tcPr>
            <w:tcW w:w="1696" w:type="dxa"/>
          </w:tcPr>
          <w:p w14:paraId="6BC13B4D" w14:textId="77777777" w:rsidR="000552F3" w:rsidRPr="00AA78CD" w:rsidRDefault="000552F3" w:rsidP="005912EC">
            <w:pPr>
              <w:spacing w:before="100" w:beforeAutospacing="1" w:after="100" w:afterAutospacing="1"/>
              <w:rPr>
                <w:rFonts w:ascii="Times New Roman" w:eastAsia="Times New Roman" w:hAnsi="Times New Roman" w:cs="Times New Roman"/>
                <w:b/>
                <w:bCs/>
                <w:sz w:val="20"/>
                <w:szCs w:val="20"/>
                <w:lang w:val="en-US" w:eastAsia="de-DE"/>
              </w:rPr>
            </w:pPr>
            <w:r w:rsidRPr="00AA78CD">
              <w:rPr>
                <w:rFonts w:ascii="Times New Roman" w:eastAsia="Times New Roman" w:hAnsi="Times New Roman" w:cs="Times New Roman"/>
                <w:b/>
                <w:bCs/>
                <w:sz w:val="20"/>
                <w:szCs w:val="20"/>
                <w:lang w:val="en-US" w:eastAsia="de-DE"/>
              </w:rPr>
              <w:t>Data</w:t>
            </w:r>
          </w:p>
        </w:tc>
        <w:tc>
          <w:tcPr>
            <w:tcW w:w="7366" w:type="dxa"/>
          </w:tcPr>
          <w:p w14:paraId="6F0CFC2B" w14:textId="77777777" w:rsidR="000552F3" w:rsidRPr="0009344D" w:rsidRDefault="000552F3" w:rsidP="005912EC">
            <w:pPr>
              <w:spacing w:before="100" w:beforeAutospacing="1" w:after="100" w:afterAutospacing="1"/>
              <w:rPr>
                <w:rFonts w:ascii="Times New Roman" w:eastAsia="Times New Roman" w:hAnsi="Times New Roman" w:cs="Times New Roman"/>
                <w:sz w:val="20"/>
                <w:szCs w:val="20"/>
                <w:lang w:val="en-US" w:eastAsia="de-DE"/>
              </w:rPr>
            </w:pPr>
            <w:r>
              <w:rPr>
                <w:rFonts w:ascii="Times New Roman" w:eastAsia="Times New Roman" w:hAnsi="Times New Roman" w:cs="Times New Roman"/>
                <w:sz w:val="20"/>
                <w:szCs w:val="20"/>
                <w:lang w:val="en-US" w:eastAsia="de-DE"/>
              </w:rPr>
              <w:t>D</w:t>
            </w:r>
            <w:r w:rsidRPr="0009344D">
              <w:rPr>
                <w:rFonts w:ascii="Times New Roman" w:eastAsia="Times New Roman" w:hAnsi="Times New Roman" w:cs="Times New Roman"/>
                <w:sz w:val="20"/>
                <w:szCs w:val="20"/>
                <w:lang w:val="en-US" w:eastAsia="de-DE"/>
              </w:rPr>
              <w:t>ata represents a structured aggregation of information referring to the item, batch or product model critical for various stakeholders such as suppliers, regulators, consumers, and recyclers. It incorporates the data entries, collected throughout the lifecycle, which provide comprehensive information about a tangible object in a DPP. The data entries can include entries on material composition, production data, usage history, and compliance. All information must be machine-readable, structured, searchable, and built using an interoperable format based on open standards.</w:t>
            </w:r>
          </w:p>
        </w:tc>
      </w:tr>
      <w:tr w:rsidR="000552F3" w:rsidRPr="00FD6217" w14:paraId="71013849" w14:textId="77777777" w:rsidTr="005912EC">
        <w:tc>
          <w:tcPr>
            <w:tcW w:w="1696" w:type="dxa"/>
            <w:shd w:val="clear" w:color="auto" w:fill="D9E2F3" w:themeFill="accent1" w:themeFillTint="33"/>
          </w:tcPr>
          <w:p w14:paraId="1F90D5C8" w14:textId="77777777" w:rsidR="000552F3" w:rsidRPr="00AA78CD" w:rsidRDefault="000552F3" w:rsidP="005912EC">
            <w:pPr>
              <w:spacing w:before="100" w:beforeAutospacing="1" w:after="100" w:afterAutospacing="1"/>
              <w:rPr>
                <w:rFonts w:ascii="Times New Roman" w:eastAsia="Times New Roman" w:hAnsi="Times New Roman" w:cs="Times New Roman"/>
                <w:b/>
                <w:bCs/>
                <w:sz w:val="20"/>
                <w:szCs w:val="20"/>
                <w:lang w:val="en-US" w:eastAsia="de-DE"/>
              </w:rPr>
            </w:pPr>
            <w:r w:rsidRPr="00AA78CD">
              <w:rPr>
                <w:rFonts w:ascii="Times New Roman" w:eastAsia="Times New Roman" w:hAnsi="Times New Roman" w:cs="Times New Roman"/>
                <w:b/>
                <w:sz w:val="20"/>
                <w:szCs w:val="20"/>
                <w:lang w:val="en-US" w:eastAsia="de-DE"/>
              </w:rPr>
              <w:lastRenderedPageBreak/>
              <w:t>Actors</w:t>
            </w:r>
          </w:p>
        </w:tc>
        <w:tc>
          <w:tcPr>
            <w:tcW w:w="7366" w:type="dxa"/>
            <w:shd w:val="clear" w:color="auto" w:fill="D9E2F3" w:themeFill="accent1" w:themeFillTint="33"/>
          </w:tcPr>
          <w:p w14:paraId="1266135B" w14:textId="5AD73C64" w:rsidR="000552F3" w:rsidRDefault="003116E8" w:rsidP="005912EC">
            <w:pPr>
              <w:spacing w:before="100" w:beforeAutospacing="1" w:after="100" w:afterAutospacing="1"/>
              <w:rPr>
                <w:rFonts w:ascii="Times New Roman" w:eastAsia="Times New Roman" w:hAnsi="Times New Roman" w:cs="Times New Roman"/>
                <w:sz w:val="20"/>
                <w:szCs w:val="20"/>
                <w:lang w:val="en-US" w:eastAsia="de-DE"/>
              </w:rPr>
            </w:pPr>
            <w:r w:rsidRPr="003116E8">
              <w:rPr>
                <w:rFonts w:ascii="Times New Roman" w:eastAsia="Times New Roman" w:hAnsi="Times New Roman" w:cs="Times New Roman"/>
                <w:sz w:val="20"/>
                <w:szCs w:val="20"/>
                <w:lang w:val="en-US" w:eastAsia="de-DE"/>
              </w:rPr>
              <w:t>Actors represent the various stakeholders involved in the product lifecycle of a tangible object at an organizational level, and they interact with the DPP and benefit from the information stored in it. Typical roles include consumers who purchase the object, and value-adding partners in the supply chain, such as manufacturers, suppliers, and recyclers. Other partners include providers of repair, logistics and digital services (e.g. data management), as well as research partners. In addition to reporting obligations, regulatory authorities are also included. If a tangible object has several life cycles, value creation partners from another supply chain can also be included among the stakeholders of a DPP. Consumers, economic operators, and other relevant stakeholders shall have free access to the product passport, based on their respective access rights</w:t>
            </w:r>
            <w:r w:rsidR="000552F3" w:rsidRPr="00A3004A">
              <w:rPr>
                <w:rFonts w:ascii="Times New Roman" w:eastAsia="Times New Roman" w:hAnsi="Times New Roman" w:cs="Times New Roman"/>
                <w:sz w:val="20"/>
                <w:szCs w:val="20"/>
                <w:lang w:val="en-US" w:eastAsia="de-DE"/>
              </w:rPr>
              <w:t>.</w:t>
            </w:r>
          </w:p>
        </w:tc>
      </w:tr>
      <w:tr w:rsidR="000552F3" w:rsidRPr="00FD6217" w14:paraId="40538915" w14:textId="77777777" w:rsidTr="005912EC">
        <w:tc>
          <w:tcPr>
            <w:tcW w:w="1696" w:type="dxa"/>
          </w:tcPr>
          <w:p w14:paraId="56D94B7E" w14:textId="77777777" w:rsidR="000552F3" w:rsidRPr="00AA78CD" w:rsidRDefault="000552F3" w:rsidP="005912EC">
            <w:pPr>
              <w:spacing w:before="100" w:beforeAutospacing="1" w:after="100" w:afterAutospacing="1"/>
              <w:rPr>
                <w:rFonts w:ascii="Times New Roman" w:eastAsia="Times New Roman" w:hAnsi="Times New Roman" w:cs="Times New Roman"/>
                <w:b/>
                <w:sz w:val="20"/>
                <w:szCs w:val="20"/>
                <w:lang w:val="en-US" w:eastAsia="de-DE"/>
              </w:rPr>
            </w:pPr>
            <w:r>
              <w:rPr>
                <w:rFonts w:ascii="Times New Roman" w:eastAsia="Times New Roman" w:hAnsi="Times New Roman" w:cs="Times New Roman"/>
                <w:b/>
                <w:sz w:val="20"/>
                <w:szCs w:val="20"/>
                <w:lang w:val="en-US" w:eastAsia="de-DE"/>
              </w:rPr>
              <w:t>M</w:t>
            </w:r>
            <w:r w:rsidRPr="00AA78CD">
              <w:rPr>
                <w:rFonts w:ascii="Times New Roman" w:eastAsia="Times New Roman" w:hAnsi="Times New Roman" w:cs="Times New Roman"/>
                <w:b/>
                <w:sz w:val="20"/>
                <w:szCs w:val="20"/>
                <w:lang w:val="en-US" w:eastAsia="de-DE"/>
              </w:rPr>
              <w:t>anagement system</w:t>
            </w:r>
          </w:p>
        </w:tc>
        <w:tc>
          <w:tcPr>
            <w:tcW w:w="7366" w:type="dxa"/>
          </w:tcPr>
          <w:p w14:paraId="69320E17" w14:textId="01289536" w:rsidR="000552F3" w:rsidRPr="0009344D" w:rsidRDefault="003116E8" w:rsidP="005912EC">
            <w:pPr>
              <w:spacing w:before="100" w:beforeAutospacing="1" w:after="100" w:afterAutospacing="1"/>
              <w:rPr>
                <w:rFonts w:ascii="Times New Roman" w:eastAsia="Times New Roman" w:hAnsi="Times New Roman" w:cs="Times New Roman"/>
                <w:sz w:val="20"/>
                <w:szCs w:val="20"/>
                <w:lang w:val="en-US" w:eastAsia="de-DE"/>
              </w:rPr>
            </w:pPr>
            <w:r w:rsidRPr="003116E8">
              <w:rPr>
                <w:rFonts w:ascii="Times New Roman" w:eastAsia="Times New Roman" w:hAnsi="Times New Roman" w:cs="Times New Roman"/>
                <w:sz w:val="20"/>
                <w:szCs w:val="20"/>
                <w:lang w:val="en-US" w:eastAsia="de-DE"/>
              </w:rPr>
              <w:t>DDP management requires a management system that can create DDPs, update data attributes via new entries, and adapt the information model according to stakeholder or regulatory needs. This may necessitate specific access rights to the DPP data for stakeholders. In the event of object destruction or continued use of its individual components at the end of their lifecycle, the system should also be able to deactivate the DDP or issue a new DDP at a lower component level. For multiple lifecycles, the system should be able to transfer the DDP into new DDPs for the components of a tangible object. At the same time, the software should host the data assets.</w:t>
            </w:r>
          </w:p>
        </w:tc>
      </w:tr>
      <w:tr w:rsidR="000552F3" w:rsidRPr="00FD6217" w14:paraId="3371CFD0" w14:textId="77777777" w:rsidTr="005912EC">
        <w:tc>
          <w:tcPr>
            <w:tcW w:w="1696" w:type="dxa"/>
            <w:shd w:val="clear" w:color="auto" w:fill="D9E2F3" w:themeFill="accent1" w:themeFillTint="33"/>
          </w:tcPr>
          <w:p w14:paraId="5FBEC6B7" w14:textId="77777777" w:rsidR="000552F3" w:rsidRPr="00AA78CD" w:rsidRDefault="000552F3" w:rsidP="005912EC">
            <w:pPr>
              <w:spacing w:before="100" w:beforeAutospacing="1" w:after="100" w:afterAutospacing="1"/>
              <w:rPr>
                <w:rFonts w:ascii="Times New Roman" w:eastAsia="Times New Roman" w:hAnsi="Times New Roman" w:cs="Times New Roman"/>
                <w:b/>
                <w:bCs/>
                <w:sz w:val="20"/>
                <w:szCs w:val="20"/>
                <w:lang w:val="en-US" w:eastAsia="de-DE"/>
              </w:rPr>
            </w:pPr>
            <w:r w:rsidRPr="00AA78CD">
              <w:rPr>
                <w:rFonts w:ascii="Times New Roman" w:eastAsia="Times New Roman" w:hAnsi="Times New Roman" w:cs="Times New Roman"/>
                <w:b/>
                <w:sz w:val="20"/>
                <w:szCs w:val="20"/>
                <w:lang w:val="en-US" w:eastAsia="de-DE"/>
              </w:rPr>
              <w:t>Interfaces</w:t>
            </w:r>
          </w:p>
        </w:tc>
        <w:tc>
          <w:tcPr>
            <w:tcW w:w="7366" w:type="dxa"/>
            <w:shd w:val="clear" w:color="auto" w:fill="D9E2F3" w:themeFill="accent1" w:themeFillTint="33"/>
          </w:tcPr>
          <w:p w14:paraId="34DA3D63" w14:textId="77777777" w:rsidR="000552F3" w:rsidRPr="0009344D" w:rsidRDefault="000552F3" w:rsidP="005912EC">
            <w:pPr>
              <w:spacing w:before="100" w:beforeAutospacing="1" w:after="100" w:afterAutospacing="1"/>
              <w:rPr>
                <w:rFonts w:ascii="Times New Roman" w:eastAsia="Times New Roman" w:hAnsi="Times New Roman" w:cs="Times New Roman"/>
                <w:sz w:val="20"/>
                <w:szCs w:val="20"/>
                <w:lang w:val="en-US" w:eastAsia="de-DE"/>
              </w:rPr>
            </w:pPr>
            <w:r w:rsidRPr="00A3004A">
              <w:rPr>
                <w:rFonts w:ascii="Times New Roman" w:eastAsia="Times New Roman" w:hAnsi="Times New Roman" w:cs="Times New Roman"/>
                <w:sz w:val="20"/>
                <w:szCs w:val="20"/>
                <w:lang w:val="en-US" w:eastAsia="de-DE"/>
              </w:rPr>
              <w:t>Mechanisms that allow different systems and stakeholders to interact with the DPP, ensuring data exchange and interoperability, such as application programming interfaces, web portals, integration with enterprise systems (i.e., ERP or CRM), connectivity tunnels with smart devices.</w:t>
            </w:r>
          </w:p>
        </w:tc>
      </w:tr>
    </w:tbl>
    <w:p w14:paraId="7371737A" w14:textId="510CC572" w:rsidR="000552F3" w:rsidRDefault="000552F3">
      <w:pPr>
        <w:rPr>
          <w:lang w:val="en-US"/>
        </w:rPr>
      </w:pPr>
    </w:p>
    <w:tbl>
      <w:tblPr>
        <w:tblStyle w:val="Tabellenraster"/>
        <w:tblW w:w="0" w:type="auto"/>
        <w:tblLook w:val="04A0" w:firstRow="1" w:lastRow="0" w:firstColumn="1" w:lastColumn="0" w:noHBand="0" w:noVBand="1"/>
      </w:tblPr>
      <w:tblGrid>
        <w:gridCol w:w="1711"/>
        <w:gridCol w:w="7351"/>
      </w:tblGrid>
      <w:tr w:rsidR="00AA78CD" w:rsidRPr="00FD6217" w14:paraId="563A5030" w14:textId="77777777" w:rsidTr="004B6657">
        <w:tc>
          <w:tcPr>
            <w:tcW w:w="9062" w:type="dxa"/>
            <w:gridSpan w:val="2"/>
            <w:shd w:val="clear" w:color="auto" w:fill="F2F2F2" w:themeFill="background1" w:themeFillShade="F2"/>
          </w:tcPr>
          <w:p w14:paraId="109F9C42" w14:textId="79FE8650" w:rsidR="00AA78CD" w:rsidRPr="0009344D" w:rsidRDefault="00AA78CD" w:rsidP="00FF6535">
            <w:pPr>
              <w:spacing w:before="100" w:beforeAutospacing="1" w:after="100" w:afterAutospacing="1"/>
              <w:rPr>
                <w:rFonts w:ascii="Times New Roman" w:eastAsia="Times New Roman" w:hAnsi="Times New Roman" w:cs="Times New Roman"/>
                <w:b/>
                <w:sz w:val="20"/>
                <w:szCs w:val="20"/>
                <w:lang w:val="en-US" w:eastAsia="de-DE"/>
              </w:rPr>
            </w:pPr>
            <w:r>
              <w:rPr>
                <w:rFonts w:ascii="Times New Roman" w:eastAsia="Times New Roman" w:hAnsi="Times New Roman" w:cs="Times New Roman"/>
                <w:b/>
                <w:sz w:val="20"/>
                <w:szCs w:val="20"/>
                <w:lang w:val="en-US" w:eastAsia="de-DE"/>
              </w:rPr>
              <w:t xml:space="preserve">Additional elements to characterize the data of a DPP </w:t>
            </w:r>
          </w:p>
        </w:tc>
      </w:tr>
      <w:tr w:rsidR="000E4715" w:rsidRPr="0009344D" w14:paraId="03C68A32" w14:textId="77777777" w:rsidTr="00AA78CD">
        <w:tc>
          <w:tcPr>
            <w:tcW w:w="1711" w:type="dxa"/>
            <w:shd w:val="clear" w:color="auto" w:fill="F2F2F2" w:themeFill="background1" w:themeFillShade="F2"/>
          </w:tcPr>
          <w:p w14:paraId="10F68828" w14:textId="77777777" w:rsidR="000E4715" w:rsidRPr="0009344D" w:rsidRDefault="000E4715" w:rsidP="00FF6535">
            <w:pPr>
              <w:spacing w:before="100" w:beforeAutospacing="1" w:after="100" w:afterAutospacing="1"/>
              <w:rPr>
                <w:rFonts w:ascii="Times New Roman" w:eastAsia="Times New Roman" w:hAnsi="Times New Roman" w:cs="Times New Roman"/>
                <w:b/>
                <w:sz w:val="20"/>
                <w:szCs w:val="20"/>
                <w:lang w:val="en-US" w:eastAsia="de-DE"/>
              </w:rPr>
            </w:pPr>
            <w:r w:rsidRPr="0009344D">
              <w:rPr>
                <w:rFonts w:ascii="Times New Roman" w:eastAsia="Times New Roman" w:hAnsi="Times New Roman" w:cs="Times New Roman"/>
                <w:b/>
                <w:sz w:val="20"/>
                <w:szCs w:val="20"/>
                <w:lang w:val="en-US" w:eastAsia="de-DE"/>
              </w:rPr>
              <w:t>Elements</w:t>
            </w:r>
          </w:p>
        </w:tc>
        <w:tc>
          <w:tcPr>
            <w:tcW w:w="7351" w:type="dxa"/>
            <w:shd w:val="clear" w:color="auto" w:fill="F2F2F2" w:themeFill="background1" w:themeFillShade="F2"/>
          </w:tcPr>
          <w:p w14:paraId="5CD21D9A" w14:textId="77777777" w:rsidR="000E4715" w:rsidRPr="0009344D" w:rsidRDefault="000E4715" w:rsidP="00FF6535">
            <w:pPr>
              <w:spacing w:before="100" w:beforeAutospacing="1" w:after="100" w:afterAutospacing="1"/>
              <w:rPr>
                <w:rFonts w:ascii="Times New Roman" w:eastAsia="Times New Roman" w:hAnsi="Times New Roman" w:cs="Times New Roman"/>
                <w:b/>
                <w:sz w:val="20"/>
                <w:szCs w:val="20"/>
                <w:lang w:val="en-US" w:eastAsia="de-DE"/>
              </w:rPr>
            </w:pPr>
            <w:r w:rsidRPr="0009344D">
              <w:rPr>
                <w:rFonts w:ascii="Times New Roman" w:eastAsia="Times New Roman" w:hAnsi="Times New Roman" w:cs="Times New Roman"/>
                <w:b/>
                <w:sz w:val="20"/>
                <w:szCs w:val="20"/>
                <w:lang w:val="en-US" w:eastAsia="de-DE"/>
              </w:rPr>
              <w:t>Descriptions</w:t>
            </w:r>
          </w:p>
        </w:tc>
      </w:tr>
      <w:tr w:rsidR="00AA78CD" w:rsidRPr="00FD6217" w14:paraId="2F160112" w14:textId="77777777" w:rsidTr="00AA78CD">
        <w:tc>
          <w:tcPr>
            <w:tcW w:w="1711" w:type="dxa"/>
            <w:shd w:val="clear" w:color="auto" w:fill="D9E2F3" w:themeFill="accent1" w:themeFillTint="33"/>
          </w:tcPr>
          <w:p w14:paraId="63E8BEC0" w14:textId="377BA2B7" w:rsidR="00AA78CD" w:rsidRPr="00AA78CD" w:rsidRDefault="00AA78CD" w:rsidP="00AA78CD">
            <w:pPr>
              <w:spacing w:before="100" w:beforeAutospacing="1" w:after="100" w:afterAutospacing="1"/>
              <w:rPr>
                <w:rFonts w:ascii="Times New Roman" w:eastAsia="Times New Roman" w:hAnsi="Times New Roman" w:cs="Times New Roman"/>
                <w:b/>
                <w:sz w:val="20"/>
                <w:szCs w:val="20"/>
                <w:lang w:val="en-US" w:eastAsia="de-DE"/>
              </w:rPr>
            </w:pPr>
            <w:r w:rsidRPr="00AA78CD">
              <w:rPr>
                <w:rFonts w:ascii="Times New Roman" w:eastAsia="Times New Roman" w:hAnsi="Times New Roman" w:cs="Times New Roman"/>
                <w:b/>
                <w:bCs/>
                <w:sz w:val="20"/>
                <w:szCs w:val="20"/>
                <w:lang w:val="en-US" w:eastAsia="de-DE"/>
              </w:rPr>
              <w:t>Data attribute</w:t>
            </w:r>
          </w:p>
        </w:tc>
        <w:tc>
          <w:tcPr>
            <w:tcW w:w="7351" w:type="dxa"/>
            <w:shd w:val="clear" w:color="auto" w:fill="D9E2F3" w:themeFill="accent1" w:themeFillTint="33"/>
          </w:tcPr>
          <w:p w14:paraId="72EAA703" w14:textId="4E378236" w:rsidR="00AA78CD" w:rsidRPr="00A3004A" w:rsidRDefault="00AA78CD" w:rsidP="00AA78CD">
            <w:pPr>
              <w:spacing w:before="100" w:beforeAutospacing="1" w:after="100" w:afterAutospacing="1"/>
              <w:rPr>
                <w:rFonts w:ascii="Times New Roman" w:eastAsia="Times New Roman" w:hAnsi="Times New Roman" w:cs="Times New Roman"/>
                <w:sz w:val="20"/>
                <w:szCs w:val="20"/>
                <w:lang w:val="en-US" w:eastAsia="de-DE"/>
              </w:rPr>
            </w:pPr>
            <w:r w:rsidRPr="0009344D">
              <w:rPr>
                <w:rFonts w:ascii="Times New Roman" w:eastAsia="Times New Roman" w:hAnsi="Times New Roman" w:cs="Times New Roman"/>
                <w:sz w:val="20"/>
                <w:szCs w:val="20"/>
                <w:lang w:val="en-US" w:eastAsia="de-DE"/>
              </w:rPr>
              <w:t xml:space="preserve">A data attribute refers to a specific characteristic of a tangible object that is stored within the DPP. These fundamental units of data provide detailed and specific information that contributes to the overall data asset. </w:t>
            </w:r>
            <w:r w:rsidR="00E60FB5" w:rsidRPr="0009344D">
              <w:rPr>
                <w:rFonts w:ascii="Times New Roman" w:eastAsia="Times New Roman" w:hAnsi="Times New Roman" w:cs="Times New Roman"/>
                <w:sz w:val="20"/>
                <w:szCs w:val="20"/>
                <w:lang w:val="en-US" w:eastAsia="de-DE"/>
              </w:rPr>
              <w:t>Exampl</w:t>
            </w:r>
            <w:r w:rsidR="00E60FB5">
              <w:rPr>
                <w:rFonts w:ascii="Times New Roman" w:eastAsia="Times New Roman" w:hAnsi="Times New Roman" w:cs="Times New Roman"/>
                <w:sz w:val="20"/>
                <w:szCs w:val="20"/>
                <w:lang w:val="en-US" w:eastAsia="de-DE"/>
              </w:rPr>
              <w:t>es of</w:t>
            </w:r>
            <w:r w:rsidRPr="0009344D">
              <w:rPr>
                <w:rFonts w:ascii="Times New Roman" w:eastAsia="Times New Roman" w:hAnsi="Times New Roman" w:cs="Times New Roman"/>
                <w:sz w:val="20"/>
                <w:szCs w:val="20"/>
                <w:lang w:val="en-US" w:eastAsia="de-DE"/>
              </w:rPr>
              <w:t xml:space="preserve"> data attributes </w:t>
            </w:r>
            <w:r w:rsidR="00E60FB5">
              <w:rPr>
                <w:rFonts w:ascii="Times New Roman" w:eastAsia="Times New Roman" w:hAnsi="Times New Roman" w:cs="Times New Roman"/>
                <w:sz w:val="20"/>
                <w:szCs w:val="20"/>
                <w:lang w:val="en-US" w:eastAsia="de-DE"/>
              </w:rPr>
              <w:t>include</w:t>
            </w:r>
            <w:r w:rsidRPr="0009344D">
              <w:rPr>
                <w:rFonts w:ascii="Times New Roman" w:eastAsia="Times New Roman" w:hAnsi="Times New Roman" w:cs="Times New Roman"/>
                <w:sz w:val="20"/>
                <w:szCs w:val="20"/>
                <w:lang w:val="en-US" w:eastAsia="de-DE"/>
              </w:rPr>
              <w:t xml:space="preserve"> object identification data; material data, manufacturer and supply chain data; data on the object usage and maintenance; quality data; compliance data; environmental data; guidelines and manuals.   </w:t>
            </w:r>
          </w:p>
        </w:tc>
      </w:tr>
      <w:tr w:rsidR="00AA78CD" w:rsidRPr="00FD6217" w14:paraId="57C3B47E" w14:textId="77777777" w:rsidTr="00AA78CD">
        <w:tc>
          <w:tcPr>
            <w:tcW w:w="1711" w:type="dxa"/>
            <w:shd w:val="clear" w:color="auto" w:fill="FFFFFF" w:themeFill="background1"/>
          </w:tcPr>
          <w:p w14:paraId="13E1043A" w14:textId="26778AB9" w:rsidR="00AA78CD" w:rsidRPr="00AA78CD" w:rsidRDefault="00AA78CD" w:rsidP="00AA78CD">
            <w:pPr>
              <w:spacing w:before="100" w:beforeAutospacing="1" w:after="100" w:afterAutospacing="1"/>
              <w:rPr>
                <w:rFonts w:ascii="Times New Roman" w:eastAsia="Times New Roman" w:hAnsi="Times New Roman" w:cs="Times New Roman"/>
                <w:b/>
                <w:sz w:val="20"/>
                <w:szCs w:val="20"/>
                <w:lang w:val="en-US" w:eastAsia="de-DE"/>
              </w:rPr>
            </w:pPr>
            <w:r w:rsidRPr="00AA78CD">
              <w:rPr>
                <w:rFonts w:ascii="Times New Roman" w:eastAsia="Times New Roman" w:hAnsi="Times New Roman" w:cs="Times New Roman"/>
                <w:b/>
                <w:bCs/>
                <w:sz w:val="20"/>
                <w:szCs w:val="20"/>
                <w:lang w:val="en-US" w:eastAsia="de-DE"/>
              </w:rPr>
              <w:t>Data entry</w:t>
            </w:r>
          </w:p>
        </w:tc>
        <w:tc>
          <w:tcPr>
            <w:tcW w:w="7351" w:type="dxa"/>
            <w:shd w:val="clear" w:color="auto" w:fill="FFFFFF" w:themeFill="background1"/>
          </w:tcPr>
          <w:p w14:paraId="3A6BE1D6" w14:textId="2351CEEA" w:rsidR="00AA78CD" w:rsidRPr="00A3004A" w:rsidRDefault="00AA78CD" w:rsidP="00AA78CD">
            <w:pPr>
              <w:spacing w:before="100" w:beforeAutospacing="1" w:after="100" w:afterAutospacing="1"/>
              <w:rPr>
                <w:rFonts w:ascii="Times New Roman" w:eastAsia="Times New Roman" w:hAnsi="Times New Roman" w:cs="Times New Roman"/>
                <w:sz w:val="20"/>
                <w:szCs w:val="20"/>
                <w:lang w:val="en-US" w:eastAsia="de-DE"/>
              </w:rPr>
            </w:pPr>
            <w:r w:rsidRPr="0009344D">
              <w:rPr>
                <w:rFonts w:ascii="Times New Roman" w:eastAsia="Times New Roman" w:hAnsi="Times New Roman" w:cs="Times New Roman"/>
                <w:sz w:val="20"/>
                <w:szCs w:val="20"/>
                <w:lang w:val="en-US" w:eastAsia="de-DE"/>
              </w:rPr>
              <w:t xml:space="preserve">A data entry is an individual piece of information stored within </w:t>
            </w:r>
            <w:r w:rsidR="00E60FB5">
              <w:rPr>
                <w:rFonts w:ascii="Times New Roman" w:eastAsia="Times New Roman" w:hAnsi="Times New Roman" w:cs="Times New Roman"/>
                <w:sz w:val="20"/>
                <w:szCs w:val="20"/>
                <w:lang w:val="en-US" w:eastAsia="de-DE"/>
              </w:rPr>
              <w:t>a</w:t>
            </w:r>
            <w:r w:rsidRPr="0009344D">
              <w:rPr>
                <w:rFonts w:ascii="Times New Roman" w:eastAsia="Times New Roman" w:hAnsi="Times New Roman" w:cs="Times New Roman"/>
                <w:sz w:val="20"/>
                <w:szCs w:val="20"/>
                <w:lang w:val="en-US" w:eastAsia="de-DE"/>
              </w:rPr>
              <w:t xml:space="preserve"> data asset. Each data entry contributes to the overall data asset, building a detailed and accurate profile of the item, batch or product model. Examples of data entries include specific details </w:t>
            </w:r>
            <w:r w:rsidR="00E60FB5">
              <w:rPr>
                <w:rFonts w:ascii="Times New Roman" w:eastAsia="Times New Roman" w:hAnsi="Times New Roman" w:cs="Times New Roman"/>
                <w:sz w:val="20"/>
                <w:szCs w:val="20"/>
                <w:lang w:val="en-US" w:eastAsia="de-DE"/>
              </w:rPr>
              <w:t>such as</w:t>
            </w:r>
            <w:r w:rsidRPr="0009344D">
              <w:rPr>
                <w:rFonts w:ascii="Times New Roman" w:eastAsia="Times New Roman" w:hAnsi="Times New Roman" w:cs="Times New Roman"/>
                <w:sz w:val="20"/>
                <w:szCs w:val="20"/>
                <w:lang w:val="en-US" w:eastAsia="de-DE"/>
              </w:rPr>
              <w:t xml:space="preserve"> the date of manufacture, the type of materials used, maintenance records, and environmental impact metrics.</w:t>
            </w:r>
          </w:p>
        </w:tc>
      </w:tr>
      <w:tr w:rsidR="00AA78CD" w:rsidRPr="00FD6217" w14:paraId="1C143458" w14:textId="77777777" w:rsidTr="00AA78CD">
        <w:tc>
          <w:tcPr>
            <w:tcW w:w="1711" w:type="dxa"/>
            <w:shd w:val="clear" w:color="auto" w:fill="D9E2F3" w:themeFill="accent1" w:themeFillTint="33"/>
          </w:tcPr>
          <w:p w14:paraId="4A9AC1C6" w14:textId="77777777" w:rsidR="00AA78CD" w:rsidRPr="00AA78CD" w:rsidRDefault="00AA78CD" w:rsidP="00AA78CD">
            <w:pPr>
              <w:spacing w:before="100" w:beforeAutospacing="1" w:after="100" w:afterAutospacing="1"/>
              <w:rPr>
                <w:rFonts w:ascii="Times New Roman" w:eastAsia="Times New Roman" w:hAnsi="Times New Roman" w:cs="Times New Roman"/>
                <w:b/>
                <w:sz w:val="20"/>
                <w:szCs w:val="20"/>
                <w:lang w:val="en-US" w:eastAsia="de-DE"/>
              </w:rPr>
            </w:pPr>
            <w:r w:rsidRPr="00AA78CD">
              <w:rPr>
                <w:rFonts w:ascii="Times New Roman" w:eastAsia="Times New Roman" w:hAnsi="Times New Roman" w:cs="Times New Roman"/>
                <w:b/>
                <w:sz w:val="20"/>
                <w:szCs w:val="20"/>
                <w:lang w:val="en-US" w:eastAsia="de-DE"/>
              </w:rPr>
              <w:t>Product identification data</w:t>
            </w:r>
          </w:p>
        </w:tc>
        <w:tc>
          <w:tcPr>
            <w:tcW w:w="7351" w:type="dxa"/>
            <w:shd w:val="clear" w:color="auto" w:fill="D9E2F3" w:themeFill="accent1" w:themeFillTint="33"/>
          </w:tcPr>
          <w:p w14:paraId="2E08A0F9" w14:textId="11525374" w:rsidR="00AA78CD" w:rsidRPr="00A3004A" w:rsidRDefault="00AA78CD" w:rsidP="00AA78CD">
            <w:pPr>
              <w:spacing w:before="100" w:beforeAutospacing="1" w:after="100" w:afterAutospacing="1"/>
              <w:rPr>
                <w:rFonts w:ascii="Times New Roman" w:eastAsia="Times New Roman" w:hAnsi="Times New Roman" w:cs="Times New Roman"/>
                <w:sz w:val="20"/>
                <w:szCs w:val="20"/>
                <w:lang w:val="en-US" w:eastAsia="de-DE"/>
              </w:rPr>
            </w:pPr>
            <w:r w:rsidRPr="00A3004A">
              <w:rPr>
                <w:rFonts w:ascii="Times New Roman" w:eastAsia="Times New Roman" w:hAnsi="Times New Roman" w:cs="Times New Roman"/>
                <w:sz w:val="20"/>
                <w:szCs w:val="20"/>
                <w:lang w:val="en-US" w:eastAsia="de-DE"/>
              </w:rPr>
              <w:t xml:space="preserve">Detailed information about the tangible object, including its name, description, model number, and intended use. </w:t>
            </w:r>
          </w:p>
        </w:tc>
      </w:tr>
      <w:tr w:rsidR="00AA78CD" w:rsidRPr="00FD6217" w14:paraId="42EA43AD" w14:textId="77777777" w:rsidTr="00A3004A">
        <w:tc>
          <w:tcPr>
            <w:tcW w:w="1711" w:type="dxa"/>
          </w:tcPr>
          <w:p w14:paraId="4E28DD2C" w14:textId="176210C5" w:rsidR="00AA78CD" w:rsidRPr="00AA78CD" w:rsidRDefault="00AA78CD" w:rsidP="00AA78CD">
            <w:pPr>
              <w:spacing w:before="100" w:beforeAutospacing="1" w:after="100" w:afterAutospacing="1"/>
              <w:rPr>
                <w:rFonts w:ascii="Times New Roman" w:eastAsia="Times New Roman" w:hAnsi="Times New Roman" w:cs="Times New Roman"/>
                <w:b/>
                <w:sz w:val="20"/>
                <w:szCs w:val="20"/>
                <w:lang w:val="en-US" w:eastAsia="de-DE"/>
              </w:rPr>
            </w:pPr>
            <w:r w:rsidRPr="00AA78CD">
              <w:rPr>
                <w:rFonts w:ascii="Times New Roman" w:eastAsia="Times New Roman" w:hAnsi="Times New Roman" w:cs="Times New Roman"/>
                <w:b/>
                <w:sz w:val="20"/>
                <w:szCs w:val="20"/>
                <w:lang w:val="en-US" w:eastAsia="de-DE"/>
              </w:rPr>
              <w:t>Manufacturer attributes data</w:t>
            </w:r>
          </w:p>
        </w:tc>
        <w:tc>
          <w:tcPr>
            <w:tcW w:w="7351" w:type="dxa"/>
          </w:tcPr>
          <w:p w14:paraId="10B9CC96" w14:textId="77777777" w:rsidR="00AA78CD" w:rsidRPr="00A3004A" w:rsidRDefault="00AA78CD" w:rsidP="00AA78CD">
            <w:pPr>
              <w:spacing w:before="100" w:beforeAutospacing="1" w:after="100" w:afterAutospacing="1"/>
              <w:rPr>
                <w:rFonts w:ascii="Times New Roman" w:eastAsia="Times New Roman" w:hAnsi="Times New Roman" w:cs="Times New Roman"/>
                <w:sz w:val="20"/>
                <w:szCs w:val="20"/>
                <w:lang w:val="en-US" w:eastAsia="de-DE"/>
              </w:rPr>
            </w:pPr>
            <w:r w:rsidRPr="00A3004A">
              <w:rPr>
                <w:rFonts w:ascii="Times New Roman" w:eastAsia="Times New Roman" w:hAnsi="Times New Roman" w:cs="Times New Roman"/>
                <w:sz w:val="20"/>
                <w:szCs w:val="20"/>
                <w:lang w:val="en-US" w:eastAsia="de-DE"/>
              </w:rPr>
              <w:t>Information about the manufacturer, including name, contact details, and the location of the production facility. This attribute also incorporates data about the manufacturing process such as the date and location of manufacturing, batch or lot number, and quality control data.</w:t>
            </w:r>
          </w:p>
        </w:tc>
      </w:tr>
      <w:tr w:rsidR="00AA78CD" w:rsidRPr="00FD6217" w14:paraId="30E81C6A" w14:textId="77777777" w:rsidTr="00AA78CD">
        <w:tc>
          <w:tcPr>
            <w:tcW w:w="1711" w:type="dxa"/>
            <w:shd w:val="clear" w:color="auto" w:fill="D9E2F3" w:themeFill="accent1" w:themeFillTint="33"/>
          </w:tcPr>
          <w:p w14:paraId="30330BA1" w14:textId="6FBA87D9" w:rsidR="00AA78CD" w:rsidRPr="00AA78CD" w:rsidRDefault="00AA78CD" w:rsidP="00AA78CD">
            <w:pPr>
              <w:spacing w:before="100" w:beforeAutospacing="1" w:after="100" w:afterAutospacing="1"/>
              <w:rPr>
                <w:rFonts w:ascii="Times New Roman" w:eastAsia="Times New Roman" w:hAnsi="Times New Roman" w:cs="Times New Roman"/>
                <w:b/>
                <w:sz w:val="20"/>
                <w:szCs w:val="20"/>
                <w:lang w:val="en-US" w:eastAsia="de-DE"/>
              </w:rPr>
            </w:pPr>
            <w:r w:rsidRPr="00AA78CD">
              <w:rPr>
                <w:rFonts w:ascii="Times New Roman" w:eastAsia="Times New Roman" w:hAnsi="Times New Roman" w:cs="Times New Roman"/>
                <w:b/>
                <w:sz w:val="20"/>
                <w:szCs w:val="20"/>
                <w:lang w:val="en-US" w:eastAsia="de-DE"/>
              </w:rPr>
              <w:t>Product and material attributes data</w:t>
            </w:r>
          </w:p>
        </w:tc>
        <w:tc>
          <w:tcPr>
            <w:tcW w:w="7351" w:type="dxa"/>
            <w:shd w:val="clear" w:color="auto" w:fill="D9E2F3" w:themeFill="accent1" w:themeFillTint="33"/>
          </w:tcPr>
          <w:p w14:paraId="3151F9C7" w14:textId="38CFE171" w:rsidR="00AA78CD" w:rsidRPr="00A3004A" w:rsidRDefault="00AA78CD" w:rsidP="00AA78CD">
            <w:pPr>
              <w:spacing w:before="100" w:beforeAutospacing="1" w:after="100" w:afterAutospacing="1"/>
              <w:rPr>
                <w:rFonts w:ascii="Times New Roman" w:eastAsia="Times New Roman" w:hAnsi="Times New Roman" w:cs="Times New Roman"/>
                <w:sz w:val="20"/>
                <w:szCs w:val="20"/>
                <w:lang w:val="en-US" w:eastAsia="de-DE"/>
              </w:rPr>
            </w:pPr>
            <w:r w:rsidRPr="00A3004A">
              <w:rPr>
                <w:rFonts w:ascii="Times New Roman" w:eastAsia="Times New Roman" w:hAnsi="Times New Roman" w:cs="Times New Roman"/>
                <w:sz w:val="20"/>
                <w:szCs w:val="20"/>
                <w:lang w:val="en-US" w:eastAsia="de-DE"/>
              </w:rPr>
              <w:t>Detailed breakdown of the materials and components used in the tangible object, including raw materials and sub-components, highlighting hazardous substances material composites which require special handling. It can also include the volume of materials, the list of secondary materials or a list of components</w:t>
            </w:r>
          </w:p>
        </w:tc>
      </w:tr>
      <w:tr w:rsidR="00AA78CD" w:rsidRPr="00FD6217" w14:paraId="0DE8E2C0" w14:textId="77777777" w:rsidTr="00A3004A">
        <w:tc>
          <w:tcPr>
            <w:tcW w:w="1711" w:type="dxa"/>
          </w:tcPr>
          <w:p w14:paraId="5C23B278" w14:textId="4CD98A0B" w:rsidR="00AA78CD" w:rsidRPr="00AA78CD" w:rsidRDefault="00AA78CD" w:rsidP="00AA78CD">
            <w:pPr>
              <w:spacing w:before="100" w:beforeAutospacing="1" w:after="100" w:afterAutospacing="1"/>
              <w:rPr>
                <w:rFonts w:ascii="Times New Roman" w:eastAsia="Times New Roman" w:hAnsi="Times New Roman" w:cs="Times New Roman"/>
                <w:b/>
                <w:sz w:val="20"/>
                <w:szCs w:val="20"/>
                <w:lang w:val="en-US" w:eastAsia="de-DE"/>
              </w:rPr>
            </w:pPr>
            <w:r w:rsidRPr="00AA78CD">
              <w:rPr>
                <w:rFonts w:ascii="Times New Roman" w:eastAsia="Times New Roman" w:hAnsi="Times New Roman" w:cs="Times New Roman"/>
                <w:b/>
                <w:sz w:val="20"/>
                <w:szCs w:val="20"/>
                <w:lang w:val="en-US" w:eastAsia="de-DE"/>
              </w:rPr>
              <w:t>Usage and maintenance data</w:t>
            </w:r>
          </w:p>
        </w:tc>
        <w:tc>
          <w:tcPr>
            <w:tcW w:w="7351" w:type="dxa"/>
          </w:tcPr>
          <w:p w14:paraId="60829DB4" w14:textId="5FC0799A" w:rsidR="00AA78CD" w:rsidRPr="00A3004A" w:rsidRDefault="00AA78CD" w:rsidP="00AA78CD">
            <w:pPr>
              <w:spacing w:before="100" w:beforeAutospacing="1" w:after="100" w:afterAutospacing="1"/>
              <w:rPr>
                <w:rFonts w:ascii="Times New Roman" w:eastAsia="Times New Roman" w:hAnsi="Times New Roman" w:cs="Times New Roman"/>
                <w:sz w:val="20"/>
                <w:szCs w:val="20"/>
                <w:lang w:val="en-US" w:eastAsia="de-DE"/>
              </w:rPr>
            </w:pPr>
            <w:r>
              <w:rPr>
                <w:rFonts w:ascii="Times New Roman" w:eastAsia="Times New Roman" w:hAnsi="Times New Roman" w:cs="Times New Roman"/>
                <w:sz w:val="20"/>
                <w:szCs w:val="20"/>
                <w:lang w:val="en-US" w:eastAsia="de-DE"/>
              </w:rPr>
              <w:t>Data about the external environment and any incidents that affected the tangible object. For instance, f</w:t>
            </w:r>
            <w:r w:rsidRPr="007920DD">
              <w:rPr>
                <w:rFonts w:ascii="Times New Roman" w:eastAsia="Times New Roman" w:hAnsi="Times New Roman" w:cs="Times New Roman"/>
                <w:sz w:val="20"/>
                <w:szCs w:val="20"/>
                <w:lang w:val="en-US" w:eastAsia="de-DE"/>
              </w:rPr>
              <w:t xml:space="preserve">looding or water damage can cause defects in traction batteries and also endanger employees in remanufacturing or recycling. data on this should be included as well as </w:t>
            </w:r>
            <w:r>
              <w:rPr>
                <w:rFonts w:ascii="Times New Roman" w:eastAsia="Times New Roman" w:hAnsi="Times New Roman" w:cs="Times New Roman"/>
                <w:sz w:val="20"/>
                <w:szCs w:val="20"/>
                <w:lang w:val="en-US" w:eastAsia="de-DE"/>
              </w:rPr>
              <w:t>r</w:t>
            </w:r>
            <w:r w:rsidRPr="00A3004A">
              <w:rPr>
                <w:rFonts w:ascii="Times New Roman" w:eastAsia="Times New Roman" w:hAnsi="Times New Roman" w:cs="Times New Roman"/>
                <w:sz w:val="20"/>
                <w:szCs w:val="20"/>
                <w:lang w:val="en-US" w:eastAsia="de-DE"/>
              </w:rPr>
              <w:t>ecord</w:t>
            </w:r>
            <w:r>
              <w:rPr>
                <w:rFonts w:ascii="Times New Roman" w:eastAsia="Times New Roman" w:hAnsi="Times New Roman" w:cs="Times New Roman"/>
                <w:sz w:val="20"/>
                <w:szCs w:val="20"/>
                <w:lang w:val="en-US" w:eastAsia="de-DE"/>
              </w:rPr>
              <w:t>s</w:t>
            </w:r>
            <w:r w:rsidRPr="00A3004A">
              <w:rPr>
                <w:rFonts w:ascii="Times New Roman" w:eastAsia="Times New Roman" w:hAnsi="Times New Roman" w:cs="Times New Roman"/>
                <w:sz w:val="20"/>
                <w:szCs w:val="20"/>
                <w:lang w:val="en-US" w:eastAsia="de-DE"/>
              </w:rPr>
              <w:t xml:space="preserve"> of any services, repairs, or maintenance performed on the product, including details about parts replaced and the entities that performed the work.</w:t>
            </w:r>
          </w:p>
        </w:tc>
      </w:tr>
      <w:tr w:rsidR="00AA78CD" w:rsidRPr="00FD6217" w14:paraId="014C7045" w14:textId="77777777" w:rsidTr="00AA78CD">
        <w:tc>
          <w:tcPr>
            <w:tcW w:w="1711" w:type="dxa"/>
            <w:shd w:val="clear" w:color="auto" w:fill="D9E2F3" w:themeFill="accent1" w:themeFillTint="33"/>
          </w:tcPr>
          <w:p w14:paraId="7948ABA4" w14:textId="6C788925" w:rsidR="00AA78CD" w:rsidRPr="00AA78CD" w:rsidRDefault="00AA78CD" w:rsidP="00AA78CD">
            <w:pPr>
              <w:spacing w:before="100" w:beforeAutospacing="1" w:after="100" w:afterAutospacing="1"/>
              <w:rPr>
                <w:rFonts w:ascii="Times New Roman" w:eastAsia="Times New Roman" w:hAnsi="Times New Roman" w:cs="Times New Roman"/>
                <w:b/>
                <w:sz w:val="20"/>
                <w:szCs w:val="20"/>
                <w:lang w:val="en-US" w:eastAsia="de-DE"/>
              </w:rPr>
            </w:pPr>
            <w:r w:rsidRPr="00AA78CD">
              <w:rPr>
                <w:rFonts w:ascii="Times New Roman" w:eastAsia="Times New Roman" w:hAnsi="Times New Roman" w:cs="Times New Roman"/>
                <w:b/>
                <w:sz w:val="20"/>
                <w:szCs w:val="20"/>
                <w:lang w:val="en-US" w:eastAsia="de-DE"/>
              </w:rPr>
              <w:t>Guidelines and manuals data</w:t>
            </w:r>
          </w:p>
        </w:tc>
        <w:tc>
          <w:tcPr>
            <w:tcW w:w="7351" w:type="dxa"/>
            <w:shd w:val="clear" w:color="auto" w:fill="D9E2F3" w:themeFill="accent1" w:themeFillTint="33"/>
          </w:tcPr>
          <w:p w14:paraId="73EDB52D" w14:textId="09A94FE6" w:rsidR="00AA78CD" w:rsidRPr="00A3004A" w:rsidRDefault="00AA78CD" w:rsidP="00AA78CD">
            <w:pPr>
              <w:spacing w:before="100" w:beforeAutospacing="1" w:after="100" w:afterAutospacing="1"/>
              <w:rPr>
                <w:rFonts w:ascii="Times New Roman" w:eastAsia="Times New Roman" w:hAnsi="Times New Roman" w:cs="Times New Roman"/>
                <w:sz w:val="20"/>
                <w:szCs w:val="20"/>
                <w:lang w:val="en-US" w:eastAsia="de-DE"/>
              </w:rPr>
            </w:pPr>
            <w:r>
              <w:rPr>
                <w:rFonts w:ascii="Times New Roman" w:eastAsia="Times New Roman" w:hAnsi="Times New Roman" w:cs="Times New Roman"/>
                <w:sz w:val="20"/>
                <w:szCs w:val="20"/>
                <w:lang w:val="en-US" w:eastAsia="de-DE"/>
              </w:rPr>
              <w:t>Manuals and guidelines to support a non-destructive disassembly for refurbishment, repair or remanufacturing.</w:t>
            </w:r>
          </w:p>
        </w:tc>
      </w:tr>
      <w:tr w:rsidR="00AA78CD" w:rsidRPr="00FD6217" w14:paraId="692ED028" w14:textId="77777777" w:rsidTr="00A3004A">
        <w:tc>
          <w:tcPr>
            <w:tcW w:w="1711" w:type="dxa"/>
          </w:tcPr>
          <w:p w14:paraId="2AFF6D6C" w14:textId="212E1031" w:rsidR="00AA78CD" w:rsidRPr="00AA78CD" w:rsidRDefault="00AA78CD" w:rsidP="00AA78CD">
            <w:pPr>
              <w:spacing w:before="100" w:beforeAutospacing="1" w:after="100" w:afterAutospacing="1"/>
              <w:rPr>
                <w:rFonts w:ascii="Times New Roman" w:eastAsia="Times New Roman" w:hAnsi="Times New Roman" w:cs="Times New Roman"/>
                <w:b/>
                <w:sz w:val="20"/>
                <w:szCs w:val="20"/>
                <w:lang w:val="en-US" w:eastAsia="de-DE"/>
              </w:rPr>
            </w:pPr>
            <w:r w:rsidRPr="00AA78CD">
              <w:rPr>
                <w:rFonts w:ascii="Times New Roman" w:eastAsia="Times New Roman" w:hAnsi="Times New Roman" w:cs="Times New Roman"/>
                <w:b/>
                <w:sz w:val="20"/>
                <w:szCs w:val="20"/>
                <w:lang w:val="en-US" w:eastAsia="de-DE"/>
              </w:rPr>
              <w:t>Supply chain information data</w:t>
            </w:r>
          </w:p>
        </w:tc>
        <w:tc>
          <w:tcPr>
            <w:tcW w:w="7351" w:type="dxa"/>
          </w:tcPr>
          <w:p w14:paraId="241588D3" w14:textId="6F02C953" w:rsidR="00AA78CD" w:rsidRPr="00A3004A" w:rsidRDefault="00AA78CD" w:rsidP="00AA78CD">
            <w:pPr>
              <w:spacing w:before="100" w:beforeAutospacing="1" w:after="100" w:afterAutospacing="1"/>
              <w:rPr>
                <w:rFonts w:ascii="Times New Roman" w:eastAsia="Times New Roman" w:hAnsi="Times New Roman" w:cs="Times New Roman"/>
                <w:sz w:val="20"/>
                <w:szCs w:val="20"/>
                <w:lang w:val="en-US" w:eastAsia="de-DE"/>
              </w:rPr>
            </w:pPr>
            <w:r>
              <w:rPr>
                <w:rFonts w:ascii="Times New Roman" w:eastAsia="Times New Roman" w:hAnsi="Times New Roman" w:cs="Times New Roman"/>
                <w:sz w:val="20"/>
                <w:szCs w:val="20"/>
                <w:lang w:val="en-US" w:eastAsia="de-DE"/>
              </w:rPr>
              <w:t>I</w:t>
            </w:r>
            <w:r w:rsidRPr="000E4715">
              <w:rPr>
                <w:rFonts w:ascii="Times New Roman" w:eastAsia="Times New Roman" w:hAnsi="Times New Roman" w:cs="Times New Roman"/>
                <w:sz w:val="20"/>
                <w:szCs w:val="20"/>
                <w:lang w:val="en-US" w:eastAsia="de-DE"/>
              </w:rPr>
              <w:t>f tangible</w:t>
            </w:r>
            <w:r>
              <w:rPr>
                <w:rFonts w:ascii="Times New Roman" w:eastAsia="Times New Roman" w:hAnsi="Times New Roman" w:cs="Times New Roman"/>
                <w:sz w:val="20"/>
                <w:szCs w:val="20"/>
                <w:lang w:val="en-US" w:eastAsia="de-DE"/>
              </w:rPr>
              <w:t xml:space="preserve"> objects</w:t>
            </w:r>
            <w:r w:rsidRPr="000E4715">
              <w:rPr>
                <w:rFonts w:ascii="Times New Roman" w:eastAsia="Times New Roman" w:hAnsi="Times New Roman" w:cs="Times New Roman"/>
                <w:sz w:val="20"/>
                <w:szCs w:val="20"/>
                <w:lang w:val="en-US" w:eastAsia="de-DE"/>
              </w:rPr>
              <w:t xml:space="preserve"> have to be sent back to </w:t>
            </w:r>
            <w:r>
              <w:rPr>
                <w:rFonts w:ascii="Times New Roman" w:eastAsia="Times New Roman" w:hAnsi="Times New Roman" w:cs="Times New Roman"/>
                <w:sz w:val="20"/>
                <w:szCs w:val="20"/>
                <w:lang w:val="en-US" w:eastAsia="de-DE"/>
              </w:rPr>
              <w:t>certain supply chain tier actors</w:t>
            </w:r>
            <w:r w:rsidRPr="000E4715">
              <w:rPr>
                <w:rFonts w:ascii="Times New Roman" w:eastAsia="Times New Roman" w:hAnsi="Times New Roman" w:cs="Times New Roman"/>
                <w:sz w:val="20"/>
                <w:szCs w:val="20"/>
                <w:lang w:val="en-US" w:eastAsia="de-DE"/>
              </w:rPr>
              <w:t xml:space="preserve"> or the data on the environmental or social impact of </w:t>
            </w:r>
            <w:r>
              <w:rPr>
                <w:rFonts w:ascii="Times New Roman" w:eastAsia="Times New Roman" w:hAnsi="Times New Roman" w:cs="Times New Roman"/>
                <w:sz w:val="20"/>
                <w:szCs w:val="20"/>
                <w:lang w:val="en-US" w:eastAsia="de-DE"/>
              </w:rPr>
              <w:t>a</w:t>
            </w:r>
            <w:r w:rsidRPr="000E4715">
              <w:rPr>
                <w:rFonts w:ascii="Times New Roman" w:eastAsia="Times New Roman" w:hAnsi="Times New Roman" w:cs="Times New Roman"/>
                <w:sz w:val="20"/>
                <w:szCs w:val="20"/>
                <w:lang w:val="en-US" w:eastAsia="de-DE"/>
              </w:rPr>
              <w:t xml:space="preserve"> supplier is of interest, then the information and contact details of all stakeholders involved in the production and </w:t>
            </w:r>
            <w:r>
              <w:rPr>
                <w:rFonts w:ascii="Times New Roman" w:eastAsia="Times New Roman" w:hAnsi="Times New Roman" w:cs="Times New Roman"/>
                <w:sz w:val="20"/>
                <w:szCs w:val="20"/>
                <w:lang w:val="en-US" w:eastAsia="de-DE"/>
              </w:rPr>
              <w:t>the loop</w:t>
            </w:r>
            <w:r w:rsidRPr="000E4715">
              <w:rPr>
                <w:rFonts w:ascii="Times New Roman" w:eastAsia="Times New Roman" w:hAnsi="Times New Roman" w:cs="Times New Roman"/>
                <w:sz w:val="20"/>
                <w:szCs w:val="20"/>
                <w:lang w:val="en-US" w:eastAsia="de-DE"/>
              </w:rPr>
              <w:t xml:space="preserve"> of a tangible</w:t>
            </w:r>
            <w:r>
              <w:rPr>
                <w:rFonts w:ascii="Times New Roman" w:eastAsia="Times New Roman" w:hAnsi="Times New Roman" w:cs="Times New Roman"/>
                <w:sz w:val="20"/>
                <w:szCs w:val="20"/>
                <w:lang w:val="en-US" w:eastAsia="de-DE"/>
              </w:rPr>
              <w:t xml:space="preserve"> object</w:t>
            </w:r>
            <w:r w:rsidRPr="000E4715">
              <w:rPr>
                <w:rFonts w:ascii="Times New Roman" w:eastAsia="Times New Roman" w:hAnsi="Times New Roman" w:cs="Times New Roman"/>
                <w:sz w:val="20"/>
                <w:szCs w:val="20"/>
                <w:lang w:val="en-US" w:eastAsia="de-DE"/>
              </w:rPr>
              <w:t xml:space="preserve"> may be of interest.</w:t>
            </w:r>
          </w:p>
        </w:tc>
      </w:tr>
      <w:tr w:rsidR="00AA78CD" w:rsidRPr="00FD6217" w14:paraId="3BD6B47E" w14:textId="77777777" w:rsidTr="00AA78CD">
        <w:tc>
          <w:tcPr>
            <w:tcW w:w="1711" w:type="dxa"/>
            <w:shd w:val="clear" w:color="auto" w:fill="D9E2F3" w:themeFill="accent1" w:themeFillTint="33"/>
          </w:tcPr>
          <w:p w14:paraId="5396CF2C" w14:textId="01B1F3F0" w:rsidR="00AA78CD" w:rsidRPr="00AA78CD" w:rsidRDefault="00AA78CD" w:rsidP="00AA78CD">
            <w:pPr>
              <w:spacing w:before="100" w:beforeAutospacing="1" w:after="100" w:afterAutospacing="1"/>
              <w:rPr>
                <w:rFonts w:ascii="Times New Roman" w:eastAsia="Times New Roman" w:hAnsi="Times New Roman" w:cs="Times New Roman"/>
                <w:b/>
                <w:sz w:val="20"/>
                <w:szCs w:val="20"/>
                <w:lang w:val="en-US" w:eastAsia="de-DE"/>
              </w:rPr>
            </w:pPr>
            <w:r w:rsidRPr="00AA78CD">
              <w:rPr>
                <w:rFonts w:ascii="Times New Roman" w:eastAsia="Times New Roman" w:hAnsi="Times New Roman" w:cs="Times New Roman"/>
                <w:b/>
                <w:sz w:val="20"/>
                <w:szCs w:val="20"/>
                <w:lang w:val="en-US" w:eastAsia="de-DE"/>
              </w:rPr>
              <w:lastRenderedPageBreak/>
              <w:t>Environmental and social impact data</w:t>
            </w:r>
          </w:p>
        </w:tc>
        <w:tc>
          <w:tcPr>
            <w:tcW w:w="7351" w:type="dxa"/>
            <w:shd w:val="clear" w:color="auto" w:fill="D9E2F3" w:themeFill="accent1" w:themeFillTint="33"/>
          </w:tcPr>
          <w:p w14:paraId="5B969B75" w14:textId="77777777" w:rsidR="00AA78CD" w:rsidRPr="00A3004A" w:rsidRDefault="00AA78CD" w:rsidP="00AA78CD">
            <w:pPr>
              <w:spacing w:before="100" w:beforeAutospacing="1" w:after="100" w:afterAutospacing="1"/>
              <w:rPr>
                <w:rFonts w:ascii="Times New Roman" w:eastAsia="Times New Roman" w:hAnsi="Times New Roman" w:cs="Times New Roman"/>
                <w:sz w:val="20"/>
                <w:szCs w:val="20"/>
                <w:lang w:val="en-US" w:eastAsia="de-DE"/>
              </w:rPr>
            </w:pPr>
            <w:r w:rsidRPr="00A3004A">
              <w:rPr>
                <w:rFonts w:ascii="Times New Roman" w:eastAsia="Times New Roman" w:hAnsi="Times New Roman" w:cs="Times New Roman"/>
                <w:sz w:val="20"/>
                <w:szCs w:val="20"/>
                <w:lang w:val="en-US" w:eastAsia="de-DE"/>
              </w:rPr>
              <w:t>Environmental impact data, such as carbon footprint, energy consumption, water usage, and recyclability information, providing insights into the product's sustainability.</w:t>
            </w:r>
          </w:p>
        </w:tc>
      </w:tr>
      <w:tr w:rsidR="00AA78CD" w:rsidRPr="00FD6217" w14:paraId="11F89AD7" w14:textId="77777777" w:rsidTr="00A3004A">
        <w:tc>
          <w:tcPr>
            <w:tcW w:w="1711" w:type="dxa"/>
          </w:tcPr>
          <w:p w14:paraId="36D70936" w14:textId="77777777" w:rsidR="00AA78CD" w:rsidRPr="00AA78CD" w:rsidRDefault="00AA78CD" w:rsidP="00AA78CD">
            <w:pPr>
              <w:spacing w:before="100" w:beforeAutospacing="1" w:after="100" w:afterAutospacing="1"/>
              <w:rPr>
                <w:rFonts w:ascii="Times New Roman" w:eastAsia="Times New Roman" w:hAnsi="Times New Roman" w:cs="Times New Roman"/>
                <w:b/>
                <w:sz w:val="20"/>
                <w:szCs w:val="20"/>
                <w:lang w:val="en-US" w:eastAsia="de-DE"/>
              </w:rPr>
            </w:pPr>
            <w:r w:rsidRPr="00AA78CD">
              <w:rPr>
                <w:rFonts w:ascii="Times New Roman" w:eastAsia="Times New Roman" w:hAnsi="Times New Roman" w:cs="Times New Roman"/>
                <w:b/>
                <w:sz w:val="20"/>
                <w:szCs w:val="20"/>
                <w:lang w:val="en-US" w:eastAsia="de-DE"/>
              </w:rPr>
              <w:t>Regulatory Compliance</w:t>
            </w:r>
          </w:p>
        </w:tc>
        <w:tc>
          <w:tcPr>
            <w:tcW w:w="7351" w:type="dxa"/>
          </w:tcPr>
          <w:p w14:paraId="7289225F" w14:textId="77777777" w:rsidR="00AA78CD" w:rsidRPr="00A3004A" w:rsidRDefault="00AA78CD" w:rsidP="00AA78CD">
            <w:pPr>
              <w:spacing w:before="100" w:beforeAutospacing="1" w:after="100" w:afterAutospacing="1"/>
              <w:rPr>
                <w:rFonts w:ascii="Times New Roman" w:eastAsia="Times New Roman" w:hAnsi="Times New Roman" w:cs="Times New Roman"/>
                <w:sz w:val="20"/>
                <w:szCs w:val="20"/>
                <w:lang w:val="en-US" w:eastAsia="de-DE"/>
              </w:rPr>
            </w:pPr>
            <w:r w:rsidRPr="00A3004A">
              <w:rPr>
                <w:rFonts w:ascii="Times New Roman" w:eastAsia="Times New Roman" w:hAnsi="Times New Roman" w:cs="Times New Roman"/>
                <w:sz w:val="20"/>
                <w:szCs w:val="20"/>
                <w:lang w:val="en-US" w:eastAsia="de-DE"/>
              </w:rPr>
              <w:t>Details on the product’s compliance with relevant regulations and standards, such as safety, environmental, and health regulations, and any certifications obtained.</w:t>
            </w:r>
          </w:p>
        </w:tc>
      </w:tr>
      <w:tr w:rsidR="00AA78CD" w:rsidRPr="00FD6217" w14:paraId="448E341C" w14:textId="77777777" w:rsidTr="00AA78CD">
        <w:tc>
          <w:tcPr>
            <w:tcW w:w="1711" w:type="dxa"/>
            <w:shd w:val="clear" w:color="auto" w:fill="D9E2F3" w:themeFill="accent1" w:themeFillTint="33"/>
          </w:tcPr>
          <w:p w14:paraId="0958D531" w14:textId="77777777" w:rsidR="00AA78CD" w:rsidRPr="00AA78CD" w:rsidRDefault="00AA78CD" w:rsidP="00AA78CD">
            <w:pPr>
              <w:spacing w:before="100" w:beforeAutospacing="1" w:after="100" w:afterAutospacing="1"/>
              <w:rPr>
                <w:rFonts w:ascii="Times New Roman" w:eastAsia="Times New Roman" w:hAnsi="Times New Roman" w:cs="Times New Roman"/>
                <w:b/>
                <w:sz w:val="20"/>
                <w:szCs w:val="20"/>
                <w:lang w:val="en-US" w:eastAsia="de-DE"/>
              </w:rPr>
            </w:pPr>
            <w:r w:rsidRPr="00AA78CD">
              <w:rPr>
                <w:rFonts w:ascii="Times New Roman" w:eastAsia="Times New Roman" w:hAnsi="Times New Roman" w:cs="Times New Roman"/>
                <w:b/>
                <w:sz w:val="20"/>
                <w:szCs w:val="20"/>
                <w:lang w:val="en-US" w:eastAsia="de-DE"/>
              </w:rPr>
              <w:t>Guidelines and manuals</w:t>
            </w:r>
          </w:p>
        </w:tc>
        <w:tc>
          <w:tcPr>
            <w:tcW w:w="7351" w:type="dxa"/>
            <w:shd w:val="clear" w:color="auto" w:fill="D9E2F3" w:themeFill="accent1" w:themeFillTint="33"/>
          </w:tcPr>
          <w:p w14:paraId="2FF77D49" w14:textId="3C7ECA1B" w:rsidR="00AA78CD" w:rsidRPr="00A3004A" w:rsidRDefault="001134BC" w:rsidP="00AA78CD">
            <w:pPr>
              <w:spacing w:before="100" w:beforeAutospacing="1" w:after="100" w:afterAutospacing="1"/>
              <w:rPr>
                <w:rFonts w:ascii="Times New Roman" w:eastAsia="Times New Roman" w:hAnsi="Times New Roman" w:cs="Times New Roman"/>
                <w:sz w:val="20"/>
                <w:szCs w:val="20"/>
                <w:lang w:val="en-US" w:eastAsia="de-DE"/>
              </w:rPr>
            </w:pPr>
            <w:r w:rsidRPr="001134BC">
              <w:rPr>
                <w:rFonts w:ascii="Times New Roman" w:eastAsia="Times New Roman" w:hAnsi="Times New Roman" w:cs="Times New Roman"/>
                <w:sz w:val="20"/>
                <w:szCs w:val="20"/>
                <w:lang w:val="en-US" w:eastAsia="de-DE"/>
              </w:rPr>
              <w:t xml:space="preserve">This data attribute provides guidelines on how to handle, use or service the product. It may contain instructions for proper use, maintenance and safety, aimed at ensuring the product performs and lasts as well as possible. </w:t>
            </w:r>
            <w:r>
              <w:rPr>
                <w:rFonts w:ascii="Times New Roman" w:eastAsia="Times New Roman" w:hAnsi="Times New Roman" w:cs="Times New Roman"/>
                <w:sz w:val="20"/>
                <w:szCs w:val="20"/>
                <w:lang w:val="en-US" w:eastAsia="de-DE"/>
              </w:rPr>
              <w:t>For example, i</w:t>
            </w:r>
            <w:r w:rsidRPr="001134BC">
              <w:rPr>
                <w:rFonts w:ascii="Times New Roman" w:eastAsia="Times New Roman" w:hAnsi="Times New Roman" w:cs="Times New Roman"/>
                <w:sz w:val="20"/>
                <w:szCs w:val="20"/>
                <w:lang w:val="en-US" w:eastAsia="de-DE"/>
              </w:rPr>
              <w:t xml:space="preserve">n terms of end-of-life management, waste sorting guidelines, contact details for authorized recycling facilities, and information on take-back programs can be included in this data </w:t>
            </w:r>
            <w:proofErr w:type="gramStart"/>
            <w:r w:rsidRPr="001134BC">
              <w:rPr>
                <w:rFonts w:ascii="Times New Roman" w:eastAsia="Times New Roman" w:hAnsi="Times New Roman" w:cs="Times New Roman"/>
                <w:sz w:val="20"/>
                <w:szCs w:val="20"/>
                <w:lang w:val="en-US" w:eastAsia="de-DE"/>
              </w:rPr>
              <w:t>attribute.</w:t>
            </w:r>
            <w:r w:rsidR="00AA78CD" w:rsidRPr="00A3004A">
              <w:rPr>
                <w:rFonts w:ascii="Times New Roman" w:eastAsia="Times New Roman" w:hAnsi="Times New Roman" w:cs="Times New Roman"/>
                <w:sz w:val="20"/>
                <w:szCs w:val="20"/>
                <w:lang w:val="en-US" w:eastAsia="de-DE"/>
              </w:rPr>
              <w:t>.</w:t>
            </w:r>
            <w:proofErr w:type="gramEnd"/>
          </w:p>
        </w:tc>
      </w:tr>
    </w:tbl>
    <w:p w14:paraId="5696687C" w14:textId="3CD53A86" w:rsidR="00F80B03" w:rsidRDefault="00F80B03">
      <w:pPr>
        <w:rPr>
          <w:lang w:val="en-US"/>
        </w:rPr>
      </w:pPr>
    </w:p>
    <w:tbl>
      <w:tblPr>
        <w:tblStyle w:val="Tabellenraster"/>
        <w:tblW w:w="0" w:type="auto"/>
        <w:tblLook w:val="04A0" w:firstRow="1" w:lastRow="0" w:firstColumn="1" w:lastColumn="0" w:noHBand="0" w:noVBand="1"/>
      </w:tblPr>
      <w:tblGrid>
        <w:gridCol w:w="1711"/>
        <w:gridCol w:w="7351"/>
      </w:tblGrid>
      <w:tr w:rsidR="00AA78CD" w:rsidRPr="00FD6217" w14:paraId="69624290" w14:textId="77777777" w:rsidTr="00662429">
        <w:tc>
          <w:tcPr>
            <w:tcW w:w="9062" w:type="dxa"/>
            <w:gridSpan w:val="2"/>
            <w:shd w:val="clear" w:color="auto" w:fill="F2F2F2" w:themeFill="background1" w:themeFillShade="F2"/>
          </w:tcPr>
          <w:p w14:paraId="5B4461A1" w14:textId="3EAF4702" w:rsidR="00AA78CD" w:rsidRPr="00A3004A" w:rsidRDefault="00AA78CD" w:rsidP="00AA78CD">
            <w:pPr>
              <w:spacing w:before="100" w:beforeAutospacing="1" w:after="100" w:afterAutospacing="1"/>
              <w:rPr>
                <w:rFonts w:ascii="Times New Roman" w:eastAsia="Times New Roman" w:hAnsi="Times New Roman" w:cs="Times New Roman"/>
                <w:sz w:val="20"/>
                <w:szCs w:val="20"/>
                <w:lang w:val="en-US" w:eastAsia="de-DE"/>
              </w:rPr>
            </w:pPr>
            <w:r>
              <w:rPr>
                <w:rFonts w:ascii="Times New Roman" w:eastAsia="Times New Roman" w:hAnsi="Times New Roman" w:cs="Times New Roman"/>
                <w:b/>
                <w:sz w:val="20"/>
                <w:szCs w:val="20"/>
                <w:lang w:val="en-US" w:eastAsia="de-DE"/>
              </w:rPr>
              <w:t xml:space="preserve">Additional elements to characterize </w:t>
            </w:r>
            <w:r w:rsidRPr="00662429">
              <w:rPr>
                <w:rFonts w:ascii="Times New Roman" w:eastAsia="Times New Roman" w:hAnsi="Times New Roman" w:cs="Times New Roman"/>
                <w:b/>
                <w:sz w:val="20"/>
                <w:szCs w:val="20"/>
                <w:shd w:val="clear" w:color="auto" w:fill="F2F2F2" w:themeFill="background1" w:themeFillShade="F2"/>
                <w:lang w:val="en-US" w:eastAsia="de-DE"/>
              </w:rPr>
              <w:t>the</w:t>
            </w:r>
            <w:r>
              <w:rPr>
                <w:rFonts w:ascii="Times New Roman" w:eastAsia="Times New Roman" w:hAnsi="Times New Roman" w:cs="Times New Roman"/>
                <w:b/>
                <w:sz w:val="20"/>
                <w:szCs w:val="20"/>
                <w:lang w:val="en-US" w:eastAsia="de-DE"/>
              </w:rPr>
              <w:t xml:space="preserve"> management system </w:t>
            </w:r>
          </w:p>
        </w:tc>
      </w:tr>
      <w:tr w:rsidR="00AA78CD" w:rsidRPr="00FD6217" w14:paraId="1944EEBC" w14:textId="77777777" w:rsidTr="005912EC">
        <w:tc>
          <w:tcPr>
            <w:tcW w:w="1711" w:type="dxa"/>
            <w:shd w:val="clear" w:color="auto" w:fill="D9E2F3" w:themeFill="accent1" w:themeFillTint="33"/>
          </w:tcPr>
          <w:p w14:paraId="79A08FC9" w14:textId="77777777" w:rsidR="00AA78CD" w:rsidRPr="00AA78CD" w:rsidRDefault="00AA78CD" w:rsidP="00AA78CD">
            <w:pPr>
              <w:spacing w:before="100" w:beforeAutospacing="1" w:after="100" w:afterAutospacing="1"/>
              <w:rPr>
                <w:rFonts w:ascii="Times New Roman" w:eastAsia="Times New Roman" w:hAnsi="Times New Roman" w:cs="Times New Roman"/>
                <w:b/>
                <w:sz w:val="20"/>
                <w:szCs w:val="20"/>
                <w:lang w:val="en-US" w:eastAsia="de-DE"/>
              </w:rPr>
            </w:pPr>
            <w:r w:rsidRPr="00AA78CD">
              <w:rPr>
                <w:rFonts w:ascii="Times New Roman" w:eastAsia="Times New Roman" w:hAnsi="Times New Roman" w:cs="Times New Roman"/>
                <w:b/>
                <w:sz w:val="20"/>
                <w:szCs w:val="20"/>
                <w:lang w:val="en-US" w:eastAsia="de-DE"/>
              </w:rPr>
              <w:t>Update mechanism</w:t>
            </w:r>
          </w:p>
        </w:tc>
        <w:tc>
          <w:tcPr>
            <w:tcW w:w="7351" w:type="dxa"/>
            <w:shd w:val="clear" w:color="auto" w:fill="D9E2F3" w:themeFill="accent1" w:themeFillTint="33"/>
          </w:tcPr>
          <w:p w14:paraId="1FB90D6E" w14:textId="71FFC3A3" w:rsidR="00AA78CD" w:rsidRPr="00A3004A" w:rsidRDefault="001134BC" w:rsidP="00AA78CD">
            <w:pPr>
              <w:spacing w:before="100" w:beforeAutospacing="1" w:after="100" w:afterAutospacing="1"/>
              <w:rPr>
                <w:rFonts w:ascii="Times New Roman" w:eastAsia="Times New Roman" w:hAnsi="Times New Roman" w:cs="Times New Roman"/>
                <w:sz w:val="20"/>
                <w:szCs w:val="20"/>
                <w:lang w:val="en-US" w:eastAsia="de-DE"/>
              </w:rPr>
            </w:pPr>
            <w:r w:rsidRPr="001134BC">
              <w:rPr>
                <w:rFonts w:ascii="Times New Roman" w:eastAsia="Times New Roman" w:hAnsi="Times New Roman" w:cs="Times New Roman"/>
                <w:sz w:val="20"/>
                <w:szCs w:val="20"/>
                <w:lang w:val="en-US" w:eastAsia="de-DE"/>
              </w:rPr>
              <w:t>This ensures that the information within the DPP is kept current and accurate throughout the object’s lifecycle. This mechanism uses processes, interfaces and technologies to update data entries as necessary, reflecting any changes or new information related to the product.</w:t>
            </w:r>
          </w:p>
        </w:tc>
      </w:tr>
      <w:tr w:rsidR="00AA78CD" w:rsidRPr="00FD6217" w14:paraId="137796D3" w14:textId="77777777" w:rsidTr="005912EC">
        <w:tc>
          <w:tcPr>
            <w:tcW w:w="1711" w:type="dxa"/>
          </w:tcPr>
          <w:p w14:paraId="04875780" w14:textId="77777777" w:rsidR="00AA78CD" w:rsidRPr="00AA78CD" w:rsidRDefault="00AA78CD" w:rsidP="00AA78CD">
            <w:pPr>
              <w:spacing w:before="100" w:beforeAutospacing="1" w:after="100" w:afterAutospacing="1"/>
              <w:rPr>
                <w:rFonts w:ascii="Times New Roman" w:eastAsia="Times New Roman" w:hAnsi="Times New Roman" w:cs="Times New Roman"/>
                <w:b/>
                <w:sz w:val="20"/>
                <w:szCs w:val="20"/>
                <w:lang w:val="en-US" w:eastAsia="de-DE"/>
              </w:rPr>
            </w:pPr>
            <w:r w:rsidRPr="00AA78CD">
              <w:rPr>
                <w:rFonts w:ascii="Times New Roman" w:eastAsia="Times New Roman" w:hAnsi="Times New Roman" w:cs="Times New Roman"/>
                <w:b/>
                <w:sz w:val="20"/>
                <w:szCs w:val="20"/>
                <w:lang w:val="en-US" w:eastAsia="de-DE"/>
              </w:rPr>
              <w:t>Interoperability</w:t>
            </w:r>
          </w:p>
        </w:tc>
        <w:tc>
          <w:tcPr>
            <w:tcW w:w="7351" w:type="dxa"/>
          </w:tcPr>
          <w:p w14:paraId="57347BA0" w14:textId="7C014889" w:rsidR="00AA78CD" w:rsidRPr="00A3004A" w:rsidRDefault="001134BC" w:rsidP="00AA78CD">
            <w:pPr>
              <w:spacing w:before="100" w:beforeAutospacing="1" w:after="100" w:afterAutospacing="1"/>
              <w:rPr>
                <w:rFonts w:ascii="Times New Roman" w:eastAsia="Times New Roman" w:hAnsi="Times New Roman" w:cs="Times New Roman"/>
                <w:sz w:val="20"/>
                <w:szCs w:val="20"/>
                <w:lang w:val="en-US" w:eastAsia="de-DE"/>
              </w:rPr>
            </w:pPr>
            <w:r w:rsidRPr="001134BC">
              <w:rPr>
                <w:rFonts w:ascii="Times New Roman" w:eastAsia="Times New Roman" w:hAnsi="Times New Roman" w:cs="Times New Roman"/>
                <w:sz w:val="20"/>
                <w:szCs w:val="20"/>
                <w:lang w:val="en-US" w:eastAsia="de-DE"/>
              </w:rPr>
              <w:t>The DPP</w:t>
            </w:r>
            <w:r>
              <w:rPr>
                <w:rFonts w:ascii="Times New Roman" w:eastAsia="Times New Roman" w:hAnsi="Times New Roman" w:cs="Times New Roman"/>
                <w:sz w:val="20"/>
                <w:szCs w:val="20"/>
                <w:lang w:val="en-US" w:eastAsia="de-DE"/>
              </w:rPr>
              <w:t>’</w:t>
            </w:r>
            <w:r w:rsidRPr="001134BC">
              <w:rPr>
                <w:rFonts w:ascii="Times New Roman" w:eastAsia="Times New Roman" w:hAnsi="Times New Roman" w:cs="Times New Roman"/>
                <w:sz w:val="20"/>
                <w:szCs w:val="20"/>
                <w:lang w:val="en-US" w:eastAsia="de-DE"/>
              </w:rPr>
              <w:t>s ability to interact with various digital systems and platforms ensures that data can be easily shared and updated across the supply chain. Product passports shall be fully interoperable with other product passports required by delegated acts adopted under Article 4, with regard to the technical, semantic, and organizational aspects of end-to-end communication and data transfer.</w:t>
            </w:r>
          </w:p>
        </w:tc>
      </w:tr>
      <w:tr w:rsidR="00662429" w:rsidRPr="00FD6217" w14:paraId="1BECF7C5" w14:textId="77777777" w:rsidTr="005912EC">
        <w:tc>
          <w:tcPr>
            <w:tcW w:w="1711" w:type="dxa"/>
            <w:shd w:val="clear" w:color="auto" w:fill="D9E2F3" w:themeFill="accent1" w:themeFillTint="33"/>
          </w:tcPr>
          <w:p w14:paraId="252D9E18" w14:textId="57D2F079" w:rsidR="00662429" w:rsidRPr="00AA78CD" w:rsidRDefault="00662429" w:rsidP="00662429">
            <w:pPr>
              <w:spacing w:before="100" w:beforeAutospacing="1" w:after="100" w:afterAutospacing="1"/>
              <w:rPr>
                <w:rFonts w:ascii="Times New Roman" w:eastAsia="Times New Roman" w:hAnsi="Times New Roman" w:cs="Times New Roman"/>
                <w:b/>
                <w:sz w:val="20"/>
                <w:szCs w:val="20"/>
                <w:lang w:val="en-US" w:eastAsia="de-DE"/>
              </w:rPr>
            </w:pPr>
            <w:r>
              <w:rPr>
                <w:rFonts w:ascii="Times New Roman" w:eastAsia="Times New Roman" w:hAnsi="Times New Roman" w:cs="Times New Roman"/>
                <w:b/>
                <w:sz w:val="20"/>
                <w:szCs w:val="20"/>
                <w:lang w:val="en-US" w:eastAsia="de-DE"/>
              </w:rPr>
              <w:t>Enterprise systems</w:t>
            </w:r>
          </w:p>
        </w:tc>
        <w:tc>
          <w:tcPr>
            <w:tcW w:w="7351" w:type="dxa"/>
            <w:shd w:val="clear" w:color="auto" w:fill="D9E2F3" w:themeFill="accent1" w:themeFillTint="33"/>
          </w:tcPr>
          <w:p w14:paraId="6216B364" w14:textId="4C4D6290" w:rsidR="00662429" w:rsidRPr="00A3004A" w:rsidRDefault="00662429" w:rsidP="00662429">
            <w:pPr>
              <w:spacing w:before="100" w:beforeAutospacing="1" w:after="100" w:afterAutospacing="1"/>
              <w:rPr>
                <w:rFonts w:ascii="Times New Roman" w:eastAsia="Times New Roman" w:hAnsi="Times New Roman" w:cs="Times New Roman"/>
                <w:sz w:val="20"/>
                <w:szCs w:val="20"/>
                <w:lang w:val="en-US" w:eastAsia="de-DE"/>
              </w:rPr>
            </w:pPr>
            <w:r>
              <w:rPr>
                <w:rFonts w:ascii="Times New Roman" w:eastAsia="Times New Roman" w:hAnsi="Times New Roman" w:cs="Times New Roman"/>
                <w:sz w:val="20"/>
                <w:szCs w:val="20"/>
                <w:lang w:val="en-US" w:eastAsia="de-DE"/>
              </w:rPr>
              <w:t>Software</w:t>
            </w:r>
            <w:r w:rsidRPr="00662429">
              <w:rPr>
                <w:rFonts w:ascii="Times New Roman" w:eastAsia="Times New Roman" w:hAnsi="Times New Roman" w:cs="Times New Roman"/>
                <w:sz w:val="20"/>
                <w:szCs w:val="20"/>
                <w:lang w:val="en-US" w:eastAsia="de-DE"/>
              </w:rPr>
              <w:t xml:space="preserve"> systems </w:t>
            </w:r>
            <w:r>
              <w:rPr>
                <w:rFonts w:ascii="Times New Roman" w:eastAsia="Times New Roman" w:hAnsi="Times New Roman" w:cs="Times New Roman"/>
                <w:sz w:val="20"/>
                <w:szCs w:val="20"/>
                <w:lang w:val="en-US" w:eastAsia="de-DE"/>
              </w:rPr>
              <w:t xml:space="preserve">operated by the different actors </w:t>
            </w:r>
            <w:r w:rsidRPr="00662429">
              <w:rPr>
                <w:rFonts w:ascii="Times New Roman" w:eastAsia="Times New Roman" w:hAnsi="Times New Roman" w:cs="Times New Roman"/>
                <w:sz w:val="20"/>
                <w:szCs w:val="20"/>
                <w:lang w:val="en-US" w:eastAsia="de-DE"/>
              </w:rPr>
              <w:t xml:space="preserve">that can </w:t>
            </w:r>
            <w:r w:rsidR="001134BC">
              <w:rPr>
                <w:rFonts w:ascii="Times New Roman" w:eastAsia="Times New Roman" w:hAnsi="Times New Roman" w:cs="Times New Roman"/>
                <w:sz w:val="20"/>
                <w:szCs w:val="20"/>
                <w:lang w:val="en-US" w:eastAsia="de-DE"/>
              </w:rPr>
              <w:t>exchange data with a DPP via the interfaces (i.e., and so</w:t>
            </w:r>
            <w:r w:rsidRPr="00662429">
              <w:rPr>
                <w:rFonts w:ascii="Times New Roman" w:eastAsia="Times New Roman" w:hAnsi="Times New Roman" w:cs="Times New Roman"/>
                <w:sz w:val="20"/>
                <w:szCs w:val="20"/>
                <w:lang w:val="en-US" w:eastAsia="de-DE"/>
              </w:rPr>
              <w:t xml:space="preserve">urce </w:t>
            </w:r>
            <w:r w:rsidR="001134BC">
              <w:rPr>
                <w:rFonts w:ascii="Times New Roman" w:eastAsia="Times New Roman" w:hAnsi="Times New Roman" w:cs="Times New Roman"/>
                <w:sz w:val="20"/>
                <w:szCs w:val="20"/>
                <w:lang w:val="en-US" w:eastAsia="de-DE"/>
              </w:rPr>
              <w:t>a DPP)</w:t>
            </w:r>
            <w:r w:rsidRPr="00662429">
              <w:rPr>
                <w:rFonts w:ascii="Times New Roman" w:eastAsia="Times New Roman" w:hAnsi="Times New Roman" w:cs="Times New Roman"/>
                <w:sz w:val="20"/>
                <w:szCs w:val="20"/>
                <w:lang w:val="en-US" w:eastAsia="de-DE"/>
              </w:rPr>
              <w:t>.</w:t>
            </w:r>
          </w:p>
        </w:tc>
      </w:tr>
      <w:tr w:rsidR="00662429" w:rsidRPr="00A3004A" w14:paraId="24EF7B26" w14:textId="77777777" w:rsidTr="001134BC">
        <w:tc>
          <w:tcPr>
            <w:tcW w:w="1711" w:type="dxa"/>
            <w:shd w:val="clear" w:color="auto" w:fill="auto"/>
          </w:tcPr>
          <w:p w14:paraId="607105C4" w14:textId="6CAEFB8B" w:rsidR="00662429" w:rsidRPr="00AA78CD" w:rsidRDefault="00662429" w:rsidP="00662429">
            <w:pPr>
              <w:spacing w:before="100" w:beforeAutospacing="1" w:after="100" w:afterAutospacing="1"/>
              <w:rPr>
                <w:rFonts w:ascii="Times New Roman" w:eastAsia="Times New Roman" w:hAnsi="Times New Roman" w:cs="Times New Roman"/>
                <w:b/>
                <w:sz w:val="20"/>
                <w:szCs w:val="20"/>
                <w:lang w:val="en-US" w:eastAsia="de-DE"/>
              </w:rPr>
            </w:pPr>
            <w:r>
              <w:rPr>
                <w:rFonts w:ascii="Times New Roman" w:eastAsia="Times New Roman" w:hAnsi="Times New Roman" w:cs="Times New Roman"/>
                <w:b/>
                <w:sz w:val="20"/>
                <w:szCs w:val="20"/>
                <w:lang w:val="en-US" w:eastAsia="de-DE"/>
              </w:rPr>
              <w:t>Mobile applications</w:t>
            </w:r>
          </w:p>
        </w:tc>
        <w:tc>
          <w:tcPr>
            <w:tcW w:w="7351" w:type="dxa"/>
            <w:shd w:val="clear" w:color="auto" w:fill="auto"/>
          </w:tcPr>
          <w:p w14:paraId="6AF71BB9" w14:textId="2FCA9798" w:rsidR="00662429" w:rsidRPr="00A3004A" w:rsidRDefault="006724E7" w:rsidP="00662429">
            <w:pPr>
              <w:spacing w:before="100" w:beforeAutospacing="1" w:after="100" w:afterAutospacing="1"/>
              <w:rPr>
                <w:rFonts w:ascii="Times New Roman" w:eastAsia="Times New Roman" w:hAnsi="Times New Roman" w:cs="Times New Roman"/>
                <w:sz w:val="20"/>
                <w:szCs w:val="20"/>
                <w:lang w:val="en-US" w:eastAsia="de-DE"/>
              </w:rPr>
            </w:pPr>
            <w:r w:rsidRPr="006724E7">
              <w:rPr>
                <w:rFonts w:ascii="Times New Roman" w:eastAsia="Times New Roman" w:hAnsi="Times New Roman" w:cs="Times New Roman"/>
                <w:sz w:val="20"/>
                <w:szCs w:val="20"/>
                <w:lang w:val="en-US" w:eastAsia="de-DE"/>
              </w:rPr>
              <w:t xml:space="preserve">It is a convenient access point for consumers to find out about product sustainability. It accesses DPP data via the </w:t>
            </w:r>
            <w:proofErr w:type="gramStart"/>
            <w:r w:rsidRPr="006724E7">
              <w:rPr>
                <w:rFonts w:ascii="Times New Roman" w:eastAsia="Times New Roman" w:hAnsi="Times New Roman" w:cs="Times New Roman"/>
                <w:sz w:val="20"/>
                <w:szCs w:val="20"/>
                <w:lang w:val="en-US" w:eastAsia="de-DE"/>
              </w:rPr>
              <w:t>interfaces.</w:t>
            </w:r>
            <w:r w:rsidR="00662429" w:rsidRPr="00662429">
              <w:rPr>
                <w:rFonts w:ascii="Times New Roman" w:eastAsia="Times New Roman" w:hAnsi="Times New Roman" w:cs="Times New Roman"/>
                <w:sz w:val="20"/>
                <w:szCs w:val="20"/>
                <w:lang w:val="en-US" w:eastAsia="de-DE"/>
              </w:rPr>
              <w:t>.</w:t>
            </w:r>
            <w:proofErr w:type="gramEnd"/>
          </w:p>
        </w:tc>
      </w:tr>
      <w:tr w:rsidR="00662429" w:rsidRPr="00FD6217" w14:paraId="0567C850" w14:textId="77777777" w:rsidTr="005912EC">
        <w:tc>
          <w:tcPr>
            <w:tcW w:w="1711" w:type="dxa"/>
            <w:shd w:val="clear" w:color="auto" w:fill="D9E2F3" w:themeFill="accent1" w:themeFillTint="33"/>
          </w:tcPr>
          <w:p w14:paraId="6DE1CD21" w14:textId="49365C5C" w:rsidR="00662429" w:rsidRPr="00AA78CD" w:rsidRDefault="00662429" w:rsidP="00662429">
            <w:pPr>
              <w:spacing w:before="100" w:beforeAutospacing="1" w:after="100" w:afterAutospacing="1"/>
              <w:rPr>
                <w:rFonts w:ascii="Times New Roman" w:eastAsia="Times New Roman" w:hAnsi="Times New Roman" w:cs="Times New Roman"/>
                <w:b/>
                <w:sz w:val="20"/>
                <w:szCs w:val="20"/>
                <w:lang w:val="en-US" w:eastAsia="de-DE"/>
              </w:rPr>
            </w:pPr>
            <w:r w:rsidRPr="00AA78CD">
              <w:rPr>
                <w:rFonts w:ascii="Times New Roman" w:eastAsia="Times New Roman" w:hAnsi="Times New Roman" w:cs="Times New Roman"/>
                <w:b/>
                <w:sz w:val="20"/>
                <w:szCs w:val="20"/>
                <w:lang w:val="en-US" w:eastAsia="de-DE"/>
              </w:rPr>
              <w:t>DPP registry</w:t>
            </w:r>
          </w:p>
        </w:tc>
        <w:tc>
          <w:tcPr>
            <w:tcW w:w="7351" w:type="dxa"/>
            <w:shd w:val="clear" w:color="auto" w:fill="D9E2F3" w:themeFill="accent1" w:themeFillTint="33"/>
          </w:tcPr>
          <w:p w14:paraId="0A8758D6" w14:textId="38480FD0" w:rsidR="00662429" w:rsidRPr="00A3004A" w:rsidRDefault="006724E7" w:rsidP="00662429">
            <w:pPr>
              <w:spacing w:before="100" w:beforeAutospacing="1" w:after="100" w:afterAutospacing="1"/>
              <w:rPr>
                <w:rFonts w:ascii="Times New Roman" w:eastAsia="Times New Roman" w:hAnsi="Times New Roman" w:cs="Times New Roman"/>
                <w:sz w:val="20"/>
                <w:szCs w:val="20"/>
                <w:lang w:val="en-US" w:eastAsia="de-DE"/>
              </w:rPr>
            </w:pPr>
            <w:r w:rsidRPr="006724E7">
              <w:rPr>
                <w:rFonts w:ascii="Times New Roman" w:eastAsia="Times New Roman" w:hAnsi="Times New Roman" w:cs="Times New Roman"/>
                <w:sz w:val="20"/>
                <w:szCs w:val="20"/>
                <w:lang w:val="en-US" w:eastAsia="de-DE"/>
              </w:rPr>
              <w:t>The European Commission intends to set up and maintain a registry that stores the information included in DPPs, enabling their verification and authentication.</w:t>
            </w:r>
          </w:p>
        </w:tc>
      </w:tr>
      <w:tr w:rsidR="00662429" w:rsidRPr="00FD6217" w14:paraId="7A4E0BC6" w14:textId="77777777" w:rsidTr="005912EC">
        <w:tc>
          <w:tcPr>
            <w:tcW w:w="1711" w:type="dxa"/>
          </w:tcPr>
          <w:p w14:paraId="797C4BDF" w14:textId="6500540D" w:rsidR="00662429" w:rsidRPr="00AA78CD" w:rsidRDefault="00662429" w:rsidP="00662429">
            <w:pPr>
              <w:spacing w:before="100" w:beforeAutospacing="1" w:after="100" w:afterAutospacing="1"/>
              <w:rPr>
                <w:rFonts w:ascii="Times New Roman" w:eastAsia="Times New Roman" w:hAnsi="Times New Roman" w:cs="Times New Roman"/>
                <w:b/>
                <w:sz w:val="20"/>
                <w:szCs w:val="20"/>
                <w:lang w:val="en-US" w:eastAsia="de-DE"/>
              </w:rPr>
            </w:pPr>
            <w:r w:rsidRPr="00AA78CD">
              <w:rPr>
                <w:rFonts w:ascii="Times New Roman" w:eastAsia="Times New Roman" w:hAnsi="Times New Roman" w:cs="Times New Roman"/>
                <w:b/>
                <w:sz w:val="20"/>
                <w:szCs w:val="20"/>
                <w:lang w:val="en-US" w:eastAsia="de-DE"/>
              </w:rPr>
              <w:t>Data security and privacy</w:t>
            </w:r>
          </w:p>
        </w:tc>
        <w:tc>
          <w:tcPr>
            <w:tcW w:w="7351" w:type="dxa"/>
          </w:tcPr>
          <w:p w14:paraId="3077ADA9" w14:textId="4FE8A963" w:rsidR="00662429" w:rsidRPr="00A3004A" w:rsidRDefault="006724E7" w:rsidP="00662429">
            <w:pPr>
              <w:spacing w:before="100" w:beforeAutospacing="1" w:after="100" w:afterAutospacing="1"/>
              <w:rPr>
                <w:rFonts w:ascii="Times New Roman" w:eastAsia="Times New Roman" w:hAnsi="Times New Roman" w:cs="Times New Roman"/>
                <w:sz w:val="20"/>
                <w:szCs w:val="20"/>
                <w:lang w:val="en-US" w:eastAsia="de-DE"/>
              </w:rPr>
            </w:pPr>
            <w:r>
              <w:rPr>
                <w:rFonts w:ascii="Times New Roman" w:eastAsia="Times New Roman" w:hAnsi="Times New Roman" w:cs="Times New Roman"/>
                <w:sz w:val="20"/>
                <w:szCs w:val="20"/>
                <w:lang w:val="en-US" w:eastAsia="de-DE"/>
              </w:rPr>
              <w:t>These are m</w:t>
            </w:r>
            <w:r w:rsidR="00662429" w:rsidRPr="00A3004A">
              <w:rPr>
                <w:rFonts w:ascii="Times New Roman" w:eastAsia="Times New Roman" w:hAnsi="Times New Roman" w:cs="Times New Roman"/>
                <w:sz w:val="20"/>
                <w:szCs w:val="20"/>
                <w:lang w:val="en-US" w:eastAsia="de-DE"/>
              </w:rPr>
              <w:t>easures to ensure the security and privacy of the data contained within the DPP, including encryption and access controls.</w:t>
            </w:r>
          </w:p>
        </w:tc>
      </w:tr>
      <w:tr w:rsidR="00662429" w:rsidRPr="00FD6217" w14:paraId="161569C8" w14:textId="77777777" w:rsidTr="005912EC">
        <w:tc>
          <w:tcPr>
            <w:tcW w:w="1711" w:type="dxa"/>
            <w:shd w:val="clear" w:color="auto" w:fill="D9E2F3" w:themeFill="accent1" w:themeFillTint="33"/>
          </w:tcPr>
          <w:p w14:paraId="1F26B3E7" w14:textId="1D4EB370" w:rsidR="00662429" w:rsidRPr="00AA78CD" w:rsidRDefault="00662429" w:rsidP="00662429">
            <w:pPr>
              <w:spacing w:before="100" w:beforeAutospacing="1" w:after="100" w:afterAutospacing="1"/>
              <w:rPr>
                <w:rFonts w:ascii="Times New Roman" w:eastAsia="Times New Roman" w:hAnsi="Times New Roman" w:cs="Times New Roman"/>
                <w:b/>
                <w:sz w:val="20"/>
                <w:szCs w:val="20"/>
                <w:lang w:val="en-US" w:eastAsia="de-DE"/>
              </w:rPr>
            </w:pPr>
            <w:r w:rsidRPr="00AA78CD">
              <w:rPr>
                <w:rFonts w:ascii="Times New Roman" w:eastAsia="Times New Roman" w:hAnsi="Times New Roman" w:cs="Times New Roman"/>
                <w:b/>
                <w:sz w:val="20"/>
                <w:szCs w:val="20"/>
                <w:lang w:val="en-US" w:eastAsia="de-DE"/>
              </w:rPr>
              <w:t>Data governance</w:t>
            </w:r>
          </w:p>
        </w:tc>
        <w:tc>
          <w:tcPr>
            <w:tcW w:w="7351" w:type="dxa"/>
            <w:shd w:val="clear" w:color="auto" w:fill="D9E2F3" w:themeFill="accent1" w:themeFillTint="33"/>
          </w:tcPr>
          <w:p w14:paraId="2AD059E5" w14:textId="7BF0F461" w:rsidR="00662429" w:rsidRPr="00A3004A" w:rsidRDefault="006724E7" w:rsidP="00662429">
            <w:pPr>
              <w:spacing w:before="100" w:beforeAutospacing="1" w:after="100" w:afterAutospacing="1"/>
              <w:rPr>
                <w:rFonts w:ascii="Times New Roman" w:eastAsia="Times New Roman" w:hAnsi="Times New Roman" w:cs="Times New Roman"/>
                <w:sz w:val="20"/>
                <w:szCs w:val="20"/>
                <w:lang w:val="en-US" w:eastAsia="de-DE"/>
              </w:rPr>
            </w:pPr>
            <w:r w:rsidRPr="006724E7">
              <w:rPr>
                <w:rFonts w:ascii="Times New Roman" w:eastAsia="Times New Roman" w:hAnsi="Times New Roman" w:cs="Times New Roman"/>
                <w:sz w:val="20"/>
                <w:szCs w:val="20"/>
                <w:lang w:val="en-US" w:eastAsia="de-DE"/>
              </w:rPr>
              <w:t xml:space="preserve">A system that allocates decision-making rights and responsibilities to actors interacting with a DPP in accordance with current legal regulations. It determines which actors are permitted to perform which activities with which data attributes within a DPP. For example, it can define the responsibilities of the actor who issues a DPP and the rules for accessing and using data from a </w:t>
            </w:r>
            <w:proofErr w:type="gramStart"/>
            <w:r w:rsidRPr="006724E7">
              <w:rPr>
                <w:rFonts w:ascii="Times New Roman" w:eastAsia="Times New Roman" w:hAnsi="Times New Roman" w:cs="Times New Roman"/>
                <w:sz w:val="20"/>
                <w:szCs w:val="20"/>
                <w:lang w:val="en-US" w:eastAsia="de-DE"/>
              </w:rPr>
              <w:t>DPP.</w:t>
            </w:r>
            <w:r w:rsidR="00662429" w:rsidRPr="00A3004A">
              <w:rPr>
                <w:rFonts w:ascii="Times New Roman" w:eastAsia="Times New Roman" w:hAnsi="Times New Roman" w:cs="Times New Roman"/>
                <w:sz w:val="20"/>
                <w:szCs w:val="20"/>
                <w:lang w:val="en-US" w:eastAsia="de-DE"/>
              </w:rPr>
              <w:t>.</w:t>
            </w:r>
            <w:proofErr w:type="gramEnd"/>
          </w:p>
        </w:tc>
      </w:tr>
    </w:tbl>
    <w:p w14:paraId="349291B5" w14:textId="77777777" w:rsidR="00F80B03" w:rsidRPr="003D243D" w:rsidRDefault="00F80B03" w:rsidP="00F80B03">
      <w:pPr>
        <w:rPr>
          <w:lang w:val="en-US"/>
        </w:rPr>
      </w:pPr>
    </w:p>
    <w:tbl>
      <w:tblPr>
        <w:tblStyle w:val="Tabellenraster"/>
        <w:tblW w:w="0" w:type="auto"/>
        <w:tblLook w:val="04A0" w:firstRow="1" w:lastRow="0" w:firstColumn="1" w:lastColumn="0" w:noHBand="0" w:noVBand="1"/>
      </w:tblPr>
      <w:tblGrid>
        <w:gridCol w:w="1696"/>
        <w:gridCol w:w="7366"/>
      </w:tblGrid>
      <w:tr w:rsidR="00662429" w:rsidRPr="00FD6217" w14:paraId="7AD2B2D2" w14:textId="77777777" w:rsidTr="005912EC">
        <w:tc>
          <w:tcPr>
            <w:tcW w:w="9062" w:type="dxa"/>
            <w:gridSpan w:val="2"/>
            <w:shd w:val="clear" w:color="auto" w:fill="F2F2F2" w:themeFill="background1" w:themeFillShade="F2"/>
          </w:tcPr>
          <w:p w14:paraId="47A407F9" w14:textId="0999F579" w:rsidR="00662429" w:rsidRPr="0009344D" w:rsidRDefault="00662429" w:rsidP="005912EC">
            <w:pPr>
              <w:spacing w:before="100" w:beforeAutospacing="1" w:after="100" w:afterAutospacing="1"/>
              <w:rPr>
                <w:rFonts w:ascii="Times New Roman" w:eastAsia="Times New Roman" w:hAnsi="Times New Roman" w:cs="Times New Roman"/>
                <w:b/>
                <w:sz w:val="20"/>
                <w:szCs w:val="20"/>
                <w:lang w:val="en-US" w:eastAsia="de-DE"/>
              </w:rPr>
            </w:pPr>
            <w:r>
              <w:rPr>
                <w:rFonts w:ascii="Times New Roman" w:eastAsia="Times New Roman" w:hAnsi="Times New Roman" w:cs="Times New Roman"/>
                <w:b/>
                <w:sz w:val="20"/>
                <w:szCs w:val="20"/>
                <w:lang w:val="en-US" w:eastAsia="de-DE"/>
              </w:rPr>
              <w:t>Additional elements to characterize the DPP</w:t>
            </w:r>
            <w:r w:rsidR="006724E7">
              <w:rPr>
                <w:rFonts w:ascii="Times New Roman" w:eastAsia="Times New Roman" w:hAnsi="Times New Roman" w:cs="Times New Roman"/>
                <w:b/>
                <w:sz w:val="20"/>
                <w:szCs w:val="20"/>
                <w:lang w:val="en-US" w:eastAsia="de-DE"/>
              </w:rPr>
              <w:t xml:space="preserve"> system</w:t>
            </w:r>
          </w:p>
        </w:tc>
      </w:tr>
      <w:tr w:rsidR="00662429" w:rsidRPr="0009344D" w14:paraId="6ABEAF43" w14:textId="77777777" w:rsidTr="005912EC">
        <w:tc>
          <w:tcPr>
            <w:tcW w:w="1696" w:type="dxa"/>
            <w:shd w:val="clear" w:color="auto" w:fill="F2F2F2" w:themeFill="background1" w:themeFillShade="F2"/>
          </w:tcPr>
          <w:p w14:paraId="00231A8E" w14:textId="77777777" w:rsidR="00662429" w:rsidRPr="0009344D" w:rsidRDefault="00662429" w:rsidP="005912EC">
            <w:pPr>
              <w:spacing w:before="100" w:beforeAutospacing="1" w:after="100" w:afterAutospacing="1"/>
              <w:rPr>
                <w:rFonts w:ascii="Times New Roman" w:eastAsia="Times New Roman" w:hAnsi="Times New Roman" w:cs="Times New Roman"/>
                <w:b/>
                <w:sz w:val="20"/>
                <w:szCs w:val="20"/>
                <w:lang w:val="en-US" w:eastAsia="de-DE"/>
              </w:rPr>
            </w:pPr>
            <w:r w:rsidRPr="0009344D">
              <w:rPr>
                <w:rFonts w:ascii="Times New Roman" w:eastAsia="Times New Roman" w:hAnsi="Times New Roman" w:cs="Times New Roman"/>
                <w:b/>
                <w:sz w:val="20"/>
                <w:szCs w:val="20"/>
                <w:lang w:val="en-US" w:eastAsia="de-DE"/>
              </w:rPr>
              <w:t>Elements</w:t>
            </w:r>
          </w:p>
        </w:tc>
        <w:tc>
          <w:tcPr>
            <w:tcW w:w="7366" w:type="dxa"/>
            <w:shd w:val="clear" w:color="auto" w:fill="F2F2F2" w:themeFill="background1" w:themeFillShade="F2"/>
          </w:tcPr>
          <w:p w14:paraId="5DBE5B3A" w14:textId="77777777" w:rsidR="00662429" w:rsidRPr="0009344D" w:rsidRDefault="00662429" w:rsidP="005912EC">
            <w:pPr>
              <w:spacing w:before="100" w:beforeAutospacing="1" w:after="100" w:afterAutospacing="1"/>
              <w:rPr>
                <w:rFonts w:ascii="Times New Roman" w:eastAsia="Times New Roman" w:hAnsi="Times New Roman" w:cs="Times New Roman"/>
                <w:b/>
                <w:sz w:val="20"/>
                <w:szCs w:val="20"/>
                <w:lang w:val="en-US" w:eastAsia="de-DE"/>
              </w:rPr>
            </w:pPr>
            <w:r w:rsidRPr="0009344D">
              <w:rPr>
                <w:rFonts w:ascii="Times New Roman" w:eastAsia="Times New Roman" w:hAnsi="Times New Roman" w:cs="Times New Roman"/>
                <w:b/>
                <w:sz w:val="20"/>
                <w:szCs w:val="20"/>
                <w:lang w:val="en-US" w:eastAsia="de-DE"/>
              </w:rPr>
              <w:t>Descriptions</w:t>
            </w:r>
          </w:p>
        </w:tc>
      </w:tr>
      <w:tr w:rsidR="00662429" w:rsidRPr="00FD6217" w14:paraId="7BF3F9F1" w14:textId="77777777" w:rsidTr="005912EC">
        <w:tc>
          <w:tcPr>
            <w:tcW w:w="1696" w:type="dxa"/>
            <w:shd w:val="clear" w:color="auto" w:fill="D9E2F3" w:themeFill="accent1" w:themeFillTint="33"/>
          </w:tcPr>
          <w:p w14:paraId="30569AD9" w14:textId="77777777" w:rsidR="00662429" w:rsidRPr="00AA78CD" w:rsidRDefault="00662429" w:rsidP="005912EC">
            <w:pPr>
              <w:spacing w:before="100" w:beforeAutospacing="1" w:after="100" w:afterAutospacing="1"/>
              <w:rPr>
                <w:rFonts w:ascii="Times New Roman" w:eastAsia="Times New Roman" w:hAnsi="Times New Roman" w:cs="Times New Roman"/>
                <w:b/>
                <w:sz w:val="20"/>
                <w:szCs w:val="20"/>
                <w:lang w:val="en-US" w:eastAsia="de-DE"/>
              </w:rPr>
            </w:pPr>
            <w:r w:rsidRPr="00AA78CD">
              <w:rPr>
                <w:rFonts w:ascii="Times New Roman" w:eastAsia="Times New Roman" w:hAnsi="Times New Roman" w:cs="Times New Roman"/>
                <w:b/>
                <w:sz w:val="20"/>
                <w:szCs w:val="20"/>
                <w:lang w:val="en-US" w:eastAsia="de-DE"/>
              </w:rPr>
              <w:t>Regulatory space</w:t>
            </w:r>
          </w:p>
        </w:tc>
        <w:tc>
          <w:tcPr>
            <w:tcW w:w="7366" w:type="dxa"/>
            <w:shd w:val="clear" w:color="auto" w:fill="D9E2F3" w:themeFill="accent1" w:themeFillTint="33"/>
          </w:tcPr>
          <w:p w14:paraId="057F33D4" w14:textId="3AE8B6A1" w:rsidR="00662429" w:rsidRPr="00A3004A" w:rsidRDefault="006724E7" w:rsidP="005912EC">
            <w:pPr>
              <w:spacing w:before="100" w:beforeAutospacing="1" w:after="100" w:afterAutospacing="1"/>
              <w:rPr>
                <w:rFonts w:ascii="Times New Roman" w:eastAsia="Times New Roman" w:hAnsi="Times New Roman" w:cs="Times New Roman"/>
                <w:sz w:val="20"/>
                <w:szCs w:val="20"/>
                <w:lang w:val="en-US" w:eastAsia="de-DE"/>
              </w:rPr>
            </w:pPr>
            <w:r>
              <w:rPr>
                <w:rFonts w:ascii="Times New Roman" w:eastAsia="Times New Roman" w:hAnsi="Times New Roman" w:cs="Times New Roman"/>
                <w:sz w:val="20"/>
                <w:szCs w:val="20"/>
                <w:lang w:val="en-US" w:eastAsia="de-DE"/>
              </w:rPr>
              <w:t xml:space="preserve">DPP is a regulatory-driven digital artifact. The main driving force is the </w:t>
            </w:r>
            <w:proofErr w:type="spellStart"/>
            <w:r>
              <w:rPr>
                <w:rFonts w:ascii="Times New Roman" w:eastAsia="Times New Roman" w:hAnsi="Times New Roman" w:cs="Times New Roman"/>
                <w:sz w:val="20"/>
                <w:szCs w:val="20"/>
                <w:lang w:val="en-US" w:eastAsia="de-DE"/>
              </w:rPr>
              <w:t>Ecodesign</w:t>
            </w:r>
            <w:proofErr w:type="spellEnd"/>
            <w:r>
              <w:rPr>
                <w:rFonts w:ascii="Times New Roman" w:eastAsia="Times New Roman" w:hAnsi="Times New Roman" w:cs="Times New Roman"/>
                <w:sz w:val="20"/>
                <w:szCs w:val="20"/>
                <w:lang w:val="en-US" w:eastAsia="de-DE"/>
              </w:rPr>
              <w:t xml:space="preserve"> for Sustainable Products Regulation, which came into force on the 18</w:t>
            </w:r>
            <w:r w:rsidRPr="006724E7">
              <w:rPr>
                <w:rFonts w:ascii="Times New Roman" w:eastAsia="Times New Roman" w:hAnsi="Times New Roman" w:cs="Times New Roman"/>
                <w:sz w:val="20"/>
                <w:szCs w:val="20"/>
                <w:vertAlign w:val="superscript"/>
                <w:lang w:val="en-US" w:eastAsia="de-DE"/>
              </w:rPr>
              <w:t>th</w:t>
            </w:r>
            <w:r>
              <w:rPr>
                <w:rFonts w:ascii="Times New Roman" w:eastAsia="Times New Roman" w:hAnsi="Times New Roman" w:cs="Times New Roman"/>
                <w:sz w:val="20"/>
                <w:szCs w:val="20"/>
                <w:lang w:val="en-US" w:eastAsia="de-DE"/>
              </w:rPr>
              <w:t xml:space="preserve"> of July 2024. However, domain-specific instantiations of a DPP can be impacted by complementary regulations, such as the EU Battery Regulation 2023/1542. Since DPPs are digital artifacts, other laws and regulations related to the use of data also apply. To conclude, t</w:t>
            </w:r>
            <w:r w:rsidR="00662429" w:rsidRPr="00A3004A">
              <w:rPr>
                <w:rFonts w:ascii="Times New Roman" w:eastAsia="Times New Roman" w:hAnsi="Times New Roman" w:cs="Times New Roman"/>
                <w:sz w:val="20"/>
                <w:szCs w:val="20"/>
                <w:lang w:val="en-US" w:eastAsia="de-DE"/>
              </w:rPr>
              <w:t xml:space="preserve">he regulatory space refers to the framework of laws, regulations, standards, and guidelines that determine the creation, implementation, and management of DPPs. This includes legal requirements for data security, privacy, interoperability, standardization, and environmental compliance. The regulatory space ensures that DPPs are used in a manner that complies with legal obligations and promotes transparency, accountability, and sustainability. It consists of </w:t>
            </w:r>
            <w:r>
              <w:rPr>
                <w:rFonts w:ascii="Times New Roman" w:eastAsia="Times New Roman" w:hAnsi="Times New Roman" w:cs="Times New Roman"/>
                <w:sz w:val="20"/>
                <w:szCs w:val="20"/>
                <w:lang w:val="en-US" w:eastAsia="de-DE"/>
              </w:rPr>
              <w:t>overarching</w:t>
            </w:r>
            <w:r w:rsidR="00662429" w:rsidRPr="00A3004A">
              <w:rPr>
                <w:rFonts w:ascii="Times New Roman" w:eastAsia="Times New Roman" w:hAnsi="Times New Roman" w:cs="Times New Roman"/>
                <w:sz w:val="20"/>
                <w:szCs w:val="20"/>
                <w:lang w:val="en-US" w:eastAsia="de-DE"/>
              </w:rPr>
              <w:t xml:space="preserve"> regulations that determine the introduction of DPPs in general and domain-specific instances for tailoring the DPPs for the requirements of specific contexts.</w:t>
            </w:r>
          </w:p>
        </w:tc>
      </w:tr>
      <w:tr w:rsidR="00662429" w:rsidRPr="00FD6217" w14:paraId="6A567A0E" w14:textId="77777777" w:rsidTr="005912EC">
        <w:tc>
          <w:tcPr>
            <w:tcW w:w="1696" w:type="dxa"/>
          </w:tcPr>
          <w:p w14:paraId="59C8A004" w14:textId="77777777" w:rsidR="00662429" w:rsidRPr="00AA78CD" w:rsidRDefault="00662429" w:rsidP="005912EC">
            <w:pPr>
              <w:spacing w:before="100" w:beforeAutospacing="1" w:after="100" w:afterAutospacing="1"/>
              <w:rPr>
                <w:rFonts w:ascii="Times New Roman" w:eastAsia="Times New Roman" w:hAnsi="Times New Roman" w:cs="Times New Roman"/>
                <w:b/>
                <w:sz w:val="20"/>
                <w:szCs w:val="20"/>
                <w:lang w:val="en-US" w:eastAsia="de-DE"/>
              </w:rPr>
            </w:pPr>
            <w:r w:rsidRPr="00AA78CD">
              <w:rPr>
                <w:rFonts w:ascii="Times New Roman" w:eastAsia="Times New Roman" w:hAnsi="Times New Roman" w:cs="Times New Roman"/>
                <w:b/>
                <w:sz w:val="20"/>
                <w:szCs w:val="20"/>
                <w:lang w:val="en-US" w:eastAsia="de-DE"/>
              </w:rPr>
              <w:t>Application domain instance</w:t>
            </w:r>
          </w:p>
        </w:tc>
        <w:tc>
          <w:tcPr>
            <w:tcW w:w="7366" w:type="dxa"/>
          </w:tcPr>
          <w:p w14:paraId="00AF90E6" w14:textId="62DC41B1" w:rsidR="00662429" w:rsidRPr="00A3004A" w:rsidRDefault="00662429" w:rsidP="005912EC">
            <w:pPr>
              <w:spacing w:before="100" w:beforeAutospacing="1" w:after="100" w:afterAutospacing="1"/>
              <w:rPr>
                <w:rFonts w:ascii="Times New Roman" w:eastAsia="Times New Roman" w:hAnsi="Times New Roman" w:cs="Times New Roman"/>
                <w:sz w:val="20"/>
                <w:szCs w:val="20"/>
                <w:lang w:val="en-US" w:eastAsia="de-DE"/>
              </w:rPr>
            </w:pPr>
            <w:r w:rsidRPr="00A3004A">
              <w:rPr>
                <w:rFonts w:ascii="Times New Roman" w:eastAsia="Times New Roman" w:hAnsi="Times New Roman" w:cs="Times New Roman"/>
                <w:sz w:val="20"/>
                <w:szCs w:val="20"/>
                <w:lang w:val="en-US" w:eastAsia="de-DE"/>
              </w:rPr>
              <w:t xml:space="preserve">The practical implementation and content of DPPs </w:t>
            </w:r>
            <w:r w:rsidR="006724E7">
              <w:rPr>
                <w:rFonts w:ascii="Times New Roman" w:eastAsia="Times New Roman" w:hAnsi="Times New Roman" w:cs="Times New Roman"/>
                <w:sz w:val="20"/>
                <w:szCs w:val="20"/>
                <w:lang w:val="en-US" w:eastAsia="de-DE"/>
              </w:rPr>
              <w:t>are</w:t>
            </w:r>
            <w:r w:rsidRPr="00A3004A">
              <w:rPr>
                <w:rFonts w:ascii="Times New Roman" w:eastAsia="Times New Roman" w:hAnsi="Times New Roman" w:cs="Times New Roman"/>
                <w:sz w:val="20"/>
                <w:szCs w:val="20"/>
                <w:lang w:val="en-US" w:eastAsia="de-DE"/>
              </w:rPr>
              <w:t xml:space="preserve"> tailored to specific domains to address the unique characteristics and requirements of different objects and the associated regulatory requirements. This domain-specific instantiation ensures that the DPPs are effective, and capable of supporting the actors in various domains.</w:t>
            </w:r>
          </w:p>
        </w:tc>
      </w:tr>
      <w:tr w:rsidR="00662429" w:rsidRPr="00FD6217" w14:paraId="186B9C56" w14:textId="77777777" w:rsidTr="005912EC">
        <w:tc>
          <w:tcPr>
            <w:tcW w:w="1696" w:type="dxa"/>
            <w:shd w:val="clear" w:color="auto" w:fill="D9E2F3" w:themeFill="accent1" w:themeFillTint="33"/>
          </w:tcPr>
          <w:p w14:paraId="12955543" w14:textId="77777777" w:rsidR="00662429" w:rsidRPr="00AA78CD" w:rsidRDefault="00662429" w:rsidP="005912EC">
            <w:pPr>
              <w:spacing w:before="100" w:beforeAutospacing="1" w:after="100" w:afterAutospacing="1"/>
              <w:rPr>
                <w:rFonts w:ascii="Times New Roman" w:eastAsia="Times New Roman" w:hAnsi="Times New Roman" w:cs="Times New Roman"/>
                <w:b/>
                <w:sz w:val="20"/>
                <w:szCs w:val="20"/>
                <w:lang w:val="en-US" w:eastAsia="de-DE"/>
              </w:rPr>
            </w:pPr>
            <w:r w:rsidRPr="00AA78CD">
              <w:rPr>
                <w:rFonts w:ascii="Times New Roman" w:eastAsia="Times New Roman" w:hAnsi="Times New Roman" w:cs="Times New Roman"/>
                <w:b/>
                <w:sz w:val="20"/>
                <w:szCs w:val="20"/>
                <w:lang w:val="en-US" w:eastAsia="de-DE"/>
              </w:rPr>
              <w:t>Use cases</w:t>
            </w:r>
          </w:p>
        </w:tc>
        <w:tc>
          <w:tcPr>
            <w:tcW w:w="7366" w:type="dxa"/>
            <w:shd w:val="clear" w:color="auto" w:fill="D9E2F3" w:themeFill="accent1" w:themeFillTint="33"/>
          </w:tcPr>
          <w:p w14:paraId="05F4B90B" w14:textId="152F3B57" w:rsidR="00662429" w:rsidRPr="00A3004A" w:rsidRDefault="006724E7" w:rsidP="005912EC">
            <w:pPr>
              <w:spacing w:before="100" w:beforeAutospacing="1" w:after="100" w:afterAutospacing="1"/>
              <w:rPr>
                <w:rFonts w:ascii="Times New Roman" w:eastAsia="Times New Roman" w:hAnsi="Times New Roman" w:cs="Times New Roman"/>
                <w:sz w:val="20"/>
                <w:szCs w:val="20"/>
                <w:lang w:val="en-US" w:eastAsia="de-DE"/>
              </w:rPr>
            </w:pPr>
            <w:r w:rsidRPr="006724E7">
              <w:rPr>
                <w:rFonts w:ascii="Times New Roman" w:eastAsia="Times New Roman" w:hAnsi="Times New Roman" w:cs="Times New Roman"/>
                <w:sz w:val="20"/>
                <w:szCs w:val="20"/>
                <w:lang w:val="en-US" w:eastAsia="de-DE"/>
              </w:rPr>
              <w:t xml:space="preserve">DPPs can be used for a variety of purposes, going beyond mere regulatory compliance. The application scenarios involve collaboration between certain actors to address their mutual information needs. DPPs can support different circular strategies and improve decision-making by considering the residual value, composition and disassembly options of tangible objects, ultimately influencing the optimal decision regarding their </w:t>
            </w:r>
            <w:r w:rsidRPr="006724E7">
              <w:rPr>
                <w:rFonts w:ascii="Times New Roman" w:eastAsia="Times New Roman" w:hAnsi="Times New Roman" w:cs="Times New Roman"/>
                <w:sz w:val="20"/>
                <w:szCs w:val="20"/>
                <w:lang w:val="en-US" w:eastAsia="de-DE"/>
              </w:rPr>
              <w:lastRenderedPageBreak/>
              <w:t>sustainable handling (</w:t>
            </w:r>
            <w:r w:rsidR="00E60FB5" w:rsidRPr="006724E7">
              <w:rPr>
                <w:rFonts w:ascii="Times New Roman" w:eastAsia="Times New Roman" w:hAnsi="Times New Roman" w:cs="Times New Roman"/>
                <w:sz w:val="20"/>
                <w:szCs w:val="20"/>
                <w:lang w:val="en-US" w:eastAsia="de-DE"/>
              </w:rPr>
              <w:t>i.e.,</w:t>
            </w:r>
            <w:r w:rsidRPr="006724E7">
              <w:rPr>
                <w:rFonts w:ascii="Times New Roman" w:eastAsia="Times New Roman" w:hAnsi="Times New Roman" w:cs="Times New Roman"/>
                <w:sz w:val="20"/>
                <w:szCs w:val="20"/>
                <w:lang w:val="en-US" w:eastAsia="de-DE"/>
              </w:rPr>
              <w:t xml:space="preserve"> remanufacturing or recycling). Additionally, DPPs are expected to facilitate the implementation of take-back systems, thereby increasing supply chain resilience. DPPs can also enhance carbon accounting practices and be used to optimize the supply chain. Furthermore, DPPs strengthen consumers' right to repair and the monitoring of social standards, such as labor conditions and the inclusion of local communities.</w:t>
            </w:r>
          </w:p>
        </w:tc>
      </w:tr>
      <w:tr w:rsidR="00662429" w:rsidRPr="00FD6217" w14:paraId="537681A0" w14:textId="77777777" w:rsidTr="005912EC">
        <w:tc>
          <w:tcPr>
            <w:tcW w:w="1696" w:type="dxa"/>
          </w:tcPr>
          <w:p w14:paraId="735951B3" w14:textId="77777777" w:rsidR="00662429" w:rsidRPr="00AA78CD" w:rsidRDefault="00662429" w:rsidP="005912EC">
            <w:pPr>
              <w:spacing w:before="100" w:beforeAutospacing="1" w:after="100" w:afterAutospacing="1"/>
              <w:rPr>
                <w:rFonts w:ascii="Times New Roman" w:eastAsia="Times New Roman" w:hAnsi="Times New Roman" w:cs="Times New Roman"/>
                <w:b/>
                <w:sz w:val="20"/>
                <w:szCs w:val="20"/>
                <w:lang w:val="en-US" w:eastAsia="de-DE"/>
              </w:rPr>
            </w:pPr>
            <w:r w:rsidRPr="00AA78CD">
              <w:rPr>
                <w:rFonts w:ascii="Times New Roman" w:eastAsia="Times New Roman" w:hAnsi="Times New Roman" w:cs="Times New Roman"/>
                <w:b/>
                <w:sz w:val="20"/>
                <w:szCs w:val="20"/>
                <w:lang w:val="en-US" w:eastAsia="de-DE"/>
              </w:rPr>
              <w:lastRenderedPageBreak/>
              <w:t>Benefits</w:t>
            </w:r>
          </w:p>
        </w:tc>
        <w:tc>
          <w:tcPr>
            <w:tcW w:w="7366" w:type="dxa"/>
          </w:tcPr>
          <w:p w14:paraId="44A044A7" w14:textId="0AC66DBB" w:rsidR="00662429" w:rsidRPr="00A3004A" w:rsidRDefault="00662429" w:rsidP="005912EC">
            <w:pPr>
              <w:spacing w:before="100" w:beforeAutospacing="1" w:after="100" w:afterAutospacing="1"/>
              <w:rPr>
                <w:rFonts w:ascii="Times New Roman" w:eastAsia="Times New Roman" w:hAnsi="Times New Roman" w:cs="Times New Roman"/>
                <w:sz w:val="20"/>
                <w:szCs w:val="20"/>
                <w:lang w:val="en-US" w:eastAsia="de-DE"/>
              </w:rPr>
            </w:pPr>
            <w:r w:rsidRPr="00A3004A">
              <w:rPr>
                <w:rFonts w:ascii="Times New Roman" w:eastAsia="Times New Roman" w:hAnsi="Times New Roman" w:cs="Times New Roman"/>
                <w:sz w:val="20"/>
                <w:szCs w:val="20"/>
                <w:lang w:val="en-US" w:eastAsia="de-DE"/>
              </w:rPr>
              <w:t xml:space="preserve">Facilitating inter-organizational exchange of information about products, DPPs unlock multiple benefits. </w:t>
            </w:r>
            <w:r w:rsidR="006724E7">
              <w:rPr>
                <w:rFonts w:ascii="Times New Roman" w:eastAsia="Times New Roman" w:hAnsi="Times New Roman" w:cs="Times New Roman"/>
                <w:sz w:val="20"/>
                <w:szCs w:val="20"/>
                <w:lang w:val="en-US" w:eastAsia="de-DE"/>
              </w:rPr>
              <w:t>Already known examples</w:t>
            </w:r>
            <w:r w:rsidR="006724E7" w:rsidRPr="006724E7">
              <w:rPr>
                <w:rFonts w:ascii="Times New Roman" w:eastAsia="Times New Roman" w:hAnsi="Times New Roman" w:cs="Times New Roman"/>
                <w:sz w:val="20"/>
                <w:szCs w:val="20"/>
                <w:lang w:val="en-US" w:eastAsia="de-DE"/>
              </w:rPr>
              <w:t xml:space="preserve"> include increased transparency about products, improved traceability, verification of authenticity, data input for sustainability indicator management, and support for the implementation of circular principles throughout the product lifecycle</w:t>
            </w:r>
            <w:r w:rsidRPr="00A3004A">
              <w:rPr>
                <w:rFonts w:ascii="Times New Roman" w:eastAsia="Times New Roman" w:hAnsi="Times New Roman" w:cs="Times New Roman"/>
                <w:sz w:val="20"/>
                <w:szCs w:val="20"/>
                <w:lang w:val="en-US" w:eastAsia="de-DE"/>
              </w:rPr>
              <w:t>.</w:t>
            </w:r>
          </w:p>
        </w:tc>
      </w:tr>
    </w:tbl>
    <w:p w14:paraId="164C864B" w14:textId="77777777" w:rsidR="00F80B03" w:rsidRPr="003D243D" w:rsidRDefault="00F80B03">
      <w:pPr>
        <w:rPr>
          <w:lang w:val="en-US"/>
        </w:rPr>
      </w:pPr>
    </w:p>
    <w:sectPr w:rsidR="00F80B03" w:rsidRPr="003D243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7030"/>
    <w:multiLevelType w:val="multilevel"/>
    <w:tmpl w:val="4B2C3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F0148"/>
    <w:multiLevelType w:val="multilevel"/>
    <w:tmpl w:val="AC388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F522B"/>
    <w:multiLevelType w:val="multilevel"/>
    <w:tmpl w:val="05645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FC555F"/>
    <w:multiLevelType w:val="multilevel"/>
    <w:tmpl w:val="DCF67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ED145B"/>
    <w:multiLevelType w:val="multilevel"/>
    <w:tmpl w:val="127E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317343"/>
    <w:multiLevelType w:val="multilevel"/>
    <w:tmpl w:val="4C9C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130073"/>
    <w:multiLevelType w:val="multilevel"/>
    <w:tmpl w:val="D6CCE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AB5A54"/>
    <w:multiLevelType w:val="multilevel"/>
    <w:tmpl w:val="40F67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125E59"/>
    <w:multiLevelType w:val="multilevel"/>
    <w:tmpl w:val="6B5E7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3848BF"/>
    <w:multiLevelType w:val="multilevel"/>
    <w:tmpl w:val="302C7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AD58E4"/>
    <w:multiLevelType w:val="multilevel"/>
    <w:tmpl w:val="E514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FB6DFF"/>
    <w:multiLevelType w:val="multilevel"/>
    <w:tmpl w:val="3C3AD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B06D59"/>
    <w:multiLevelType w:val="multilevel"/>
    <w:tmpl w:val="9A8A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C23C3B"/>
    <w:multiLevelType w:val="multilevel"/>
    <w:tmpl w:val="AB72B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06567A"/>
    <w:multiLevelType w:val="multilevel"/>
    <w:tmpl w:val="B5C4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2D58A7"/>
    <w:multiLevelType w:val="multilevel"/>
    <w:tmpl w:val="7332C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331079"/>
    <w:multiLevelType w:val="multilevel"/>
    <w:tmpl w:val="65A4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56252F"/>
    <w:multiLevelType w:val="multilevel"/>
    <w:tmpl w:val="52D89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5165714">
    <w:abstractNumId w:val="3"/>
  </w:num>
  <w:num w:numId="2" w16cid:durableId="942616944">
    <w:abstractNumId w:val="9"/>
  </w:num>
  <w:num w:numId="3" w16cid:durableId="1984770055">
    <w:abstractNumId w:val="13"/>
  </w:num>
  <w:num w:numId="4" w16cid:durableId="140586974">
    <w:abstractNumId w:val="16"/>
  </w:num>
  <w:num w:numId="5" w16cid:durableId="252057032">
    <w:abstractNumId w:val="8"/>
  </w:num>
  <w:num w:numId="6" w16cid:durableId="226454000">
    <w:abstractNumId w:val="14"/>
  </w:num>
  <w:num w:numId="7" w16cid:durableId="1728870306">
    <w:abstractNumId w:val="15"/>
  </w:num>
  <w:num w:numId="8" w16cid:durableId="2119256343">
    <w:abstractNumId w:val="10"/>
  </w:num>
  <w:num w:numId="9" w16cid:durableId="82917741">
    <w:abstractNumId w:val="7"/>
  </w:num>
  <w:num w:numId="10" w16cid:durableId="1126579017">
    <w:abstractNumId w:val="17"/>
  </w:num>
  <w:num w:numId="11" w16cid:durableId="1150026818">
    <w:abstractNumId w:val="4"/>
  </w:num>
  <w:num w:numId="12" w16cid:durableId="570585272">
    <w:abstractNumId w:val="6"/>
  </w:num>
  <w:num w:numId="13" w16cid:durableId="827013573">
    <w:abstractNumId w:val="1"/>
  </w:num>
  <w:num w:numId="14" w16cid:durableId="1648322830">
    <w:abstractNumId w:val="11"/>
  </w:num>
  <w:num w:numId="15" w16cid:durableId="1204366368">
    <w:abstractNumId w:val="2"/>
  </w:num>
  <w:num w:numId="16" w16cid:durableId="852112692">
    <w:abstractNumId w:val="5"/>
  </w:num>
  <w:num w:numId="17" w16cid:durableId="1976446699">
    <w:abstractNumId w:val="12"/>
  </w:num>
  <w:num w:numId="18" w16cid:durableId="731121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IwNTIwMDcwMbUwNDdQ0lEKTi0uzszPAykwNKwFACb5Us0tAAAA"/>
  </w:docVars>
  <w:rsids>
    <w:rsidRoot w:val="003D243D"/>
    <w:rsid w:val="000110E3"/>
    <w:rsid w:val="000552F3"/>
    <w:rsid w:val="000740BB"/>
    <w:rsid w:val="0007537A"/>
    <w:rsid w:val="0009344D"/>
    <w:rsid w:val="000E4715"/>
    <w:rsid w:val="001134BC"/>
    <w:rsid w:val="00176939"/>
    <w:rsid w:val="00254D10"/>
    <w:rsid w:val="002A1691"/>
    <w:rsid w:val="003116E8"/>
    <w:rsid w:val="00377A71"/>
    <w:rsid w:val="00395F7B"/>
    <w:rsid w:val="003A0381"/>
    <w:rsid w:val="003D243D"/>
    <w:rsid w:val="003F4045"/>
    <w:rsid w:val="0043172B"/>
    <w:rsid w:val="004A07B8"/>
    <w:rsid w:val="005133BE"/>
    <w:rsid w:val="005A79B2"/>
    <w:rsid w:val="00662429"/>
    <w:rsid w:val="006724E7"/>
    <w:rsid w:val="00691AFD"/>
    <w:rsid w:val="00710E80"/>
    <w:rsid w:val="007920DD"/>
    <w:rsid w:val="0089583D"/>
    <w:rsid w:val="008F2C3B"/>
    <w:rsid w:val="009C5DCD"/>
    <w:rsid w:val="00A3004A"/>
    <w:rsid w:val="00A45227"/>
    <w:rsid w:val="00AA78CD"/>
    <w:rsid w:val="00B241EE"/>
    <w:rsid w:val="00BC563D"/>
    <w:rsid w:val="00C2698D"/>
    <w:rsid w:val="00CE463F"/>
    <w:rsid w:val="00D2231B"/>
    <w:rsid w:val="00D71639"/>
    <w:rsid w:val="00E07FC8"/>
    <w:rsid w:val="00E3131B"/>
    <w:rsid w:val="00E60FB5"/>
    <w:rsid w:val="00E70A47"/>
    <w:rsid w:val="00ED437A"/>
    <w:rsid w:val="00F31E0A"/>
    <w:rsid w:val="00F37E64"/>
    <w:rsid w:val="00F80B03"/>
    <w:rsid w:val="00F944B2"/>
    <w:rsid w:val="00FB13A1"/>
    <w:rsid w:val="00FD62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3ECDD8"/>
  <w15:chartTrackingRefBased/>
  <w15:docId w15:val="{E0C3E211-BDDE-4238-A4B2-BC7324568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3D243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3D243D"/>
    <w:rPr>
      <w:b/>
      <w:bCs/>
    </w:rPr>
  </w:style>
  <w:style w:type="table" w:styleId="Tabellenraster">
    <w:name w:val="Table Grid"/>
    <w:basedOn w:val="NormaleTabelle"/>
    <w:uiPriority w:val="39"/>
    <w:rsid w:val="003D2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70A4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70A47"/>
    <w:rPr>
      <w:rFonts w:ascii="Segoe UI" w:hAnsi="Segoe UI" w:cs="Segoe UI"/>
      <w:sz w:val="18"/>
      <w:szCs w:val="18"/>
    </w:rPr>
  </w:style>
  <w:style w:type="paragraph" w:styleId="berarbeitung">
    <w:name w:val="Revision"/>
    <w:hidden/>
    <w:uiPriority w:val="99"/>
    <w:semiHidden/>
    <w:rsid w:val="00E07FC8"/>
    <w:pPr>
      <w:spacing w:after="0" w:line="240" w:lineRule="auto"/>
    </w:pPr>
  </w:style>
  <w:style w:type="character" w:styleId="Kommentarzeichen">
    <w:name w:val="annotation reference"/>
    <w:basedOn w:val="Absatz-Standardschriftart"/>
    <w:uiPriority w:val="99"/>
    <w:unhideWhenUsed/>
    <w:rsid w:val="00E07FC8"/>
    <w:rPr>
      <w:sz w:val="16"/>
      <w:szCs w:val="16"/>
    </w:rPr>
  </w:style>
  <w:style w:type="paragraph" w:styleId="Kommentartext">
    <w:name w:val="annotation text"/>
    <w:basedOn w:val="Standard"/>
    <w:link w:val="KommentartextZchn"/>
    <w:uiPriority w:val="99"/>
    <w:unhideWhenUsed/>
    <w:rsid w:val="00E07FC8"/>
    <w:pPr>
      <w:spacing w:line="240" w:lineRule="auto"/>
    </w:pPr>
    <w:rPr>
      <w:sz w:val="20"/>
      <w:szCs w:val="20"/>
    </w:rPr>
  </w:style>
  <w:style w:type="character" w:customStyle="1" w:styleId="KommentartextZchn">
    <w:name w:val="Kommentartext Zchn"/>
    <w:basedOn w:val="Absatz-Standardschriftart"/>
    <w:link w:val="Kommentartext"/>
    <w:uiPriority w:val="99"/>
    <w:rsid w:val="00E07FC8"/>
    <w:rPr>
      <w:sz w:val="20"/>
      <w:szCs w:val="20"/>
    </w:rPr>
  </w:style>
  <w:style w:type="paragraph" w:styleId="Kommentarthema">
    <w:name w:val="annotation subject"/>
    <w:basedOn w:val="Kommentartext"/>
    <w:next w:val="Kommentartext"/>
    <w:link w:val="KommentarthemaZchn"/>
    <w:uiPriority w:val="99"/>
    <w:semiHidden/>
    <w:unhideWhenUsed/>
    <w:rsid w:val="00E07FC8"/>
    <w:rPr>
      <w:b/>
      <w:bCs/>
    </w:rPr>
  </w:style>
  <w:style w:type="character" w:customStyle="1" w:styleId="KommentarthemaZchn">
    <w:name w:val="Kommentarthema Zchn"/>
    <w:basedOn w:val="KommentartextZchn"/>
    <w:link w:val="Kommentarthema"/>
    <w:uiPriority w:val="99"/>
    <w:semiHidden/>
    <w:rsid w:val="00E07FC8"/>
    <w:rPr>
      <w:b/>
      <w:bCs/>
      <w:sz w:val="20"/>
      <w:szCs w:val="20"/>
    </w:rPr>
  </w:style>
  <w:style w:type="character" w:styleId="Hyperlink">
    <w:name w:val="Hyperlink"/>
    <w:basedOn w:val="Absatz-Standardschriftart"/>
    <w:uiPriority w:val="99"/>
    <w:unhideWhenUsed/>
    <w:rsid w:val="00F944B2"/>
    <w:rPr>
      <w:color w:val="0563C1" w:themeColor="hyperlink"/>
      <w:u w:val="single"/>
    </w:rPr>
  </w:style>
  <w:style w:type="character" w:styleId="NichtaufgelsteErwhnung">
    <w:name w:val="Unresolved Mention"/>
    <w:basedOn w:val="Absatz-Standardschriftart"/>
    <w:uiPriority w:val="99"/>
    <w:semiHidden/>
    <w:unhideWhenUsed/>
    <w:rsid w:val="00F944B2"/>
    <w:rPr>
      <w:color w:val="605E5C"/>
      <w:shd w:val="clear" w:color="auto" w:fill="E1DFDD"/>
    </w:rPr>
  </w:style>
  <w:style w:type="paragraph" w:customStyle="1" w:styleId="berschrift21">
    <w:name w:val="Überschrift 21"/>
    <w:basedOn w:val="Standard"/>
    <w:next w:val="Standard"/>
    <w:rsid w:val="000552F3"/>
    <w:pPr>
      <w:spacing w:after="240" w:line="480" w:lineRule="auto"/>
    </w:pPr>
    <w:rPr>
      <w:rFonts w:ascii="Times New Roman" w:eastAsia="Times New Roman" w:hAnsi="Times New Roman" w:cs="Times New Roman"/>
      <w:b/>
      <w:sz w:val="28"/>
      <w:szCs w:val="20"/>
      <w:lang w:val="en-GB"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88494">
      <w:bodyDiv w:val="1"/>
      <w:marLeft w:val="0"/>
      <w:marRight w:val="0"/>
      <w:marTop w:val="0"/>
      <w:marBottom w:val="0"/>
      <w:divBdr>
        <w:top w:val="none" w:sz="0" w:space="0" w:color="auto"/>
        <w:left w:val="none" w:sz="0" w:space="0" w:color="auto"/>
        <w:bottom w:val="none" w:sz="0" w:space="0" w:color="auto"/>
        <w:right w:val="none" w:sz="0" w:space="0" w:color="auto"/>
      </w:divBdr>
    </w:div>
    <w:div w:id="565608141">
      <w:bodyDiv w:val="1"/>
      <w:marLeft w:val="0"/>
      <w:marRight w:val="0"/>
      <w:marTop w:val="0"/>
      <w:marBottom w:val="0"/>
      <w:divBdr>
        <w:top w:val="none" w:sz="0" w:space="0" w:color="auto"/>
        <w:left w:val="none" w:sz="0" w:space="0" w:color="auto"/>
        <w:bottom w:val="none" w:sz="0" w:space="0" w:color="auto"/>
        <w:right w:val="none" w:sz="0" w:space="0" w:color="auto"/>
      </w:divBdr>
    </w:div>
    <w:div w:id="1175001988">
      <w:bodyDiv w:val="1"/>
      <w:marLeft w:val="0"/>
      <w:marRight w:val="0"/>
      <w:marTop w:val="0"/>
      <w:marBottom w:val="0"/>
      <w:divBdr>
        <w:top w:val="none" w:sz="0" w:space="0" w:color="auto"/>
        <w:left w:val="none" w:sz="0" w:space="0" w:color="auto"/>
        <w:bottom w:val="none" w:sz="0" w:space="0" w:color="auto"/>
        <w:right w:val="none" w:sz="0" w:space="0" w:color="auto"/>
      </w:divBdr>
    </w:div>
    <w:div w:id="188679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D8A96-F55D-48A5-B997-92CF7A52A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1742</Words>
  <Characters>10977</Characters>
  <Application>Microsoft Office Word</Application>
  <DocSecurity>0</DocSecurity>
  <Lines>91</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dimi petrik</cp:lastModifiedBy>
  <cp:revision>3</cp:revision>
  <dcterms:created xsi:type="dcterms:W3CDTF">2024-06-06T08:22:00Z</dcterms:created>
  <dcterms:modified xsi:type="dcterms:W3CDTF">2025-12-16T16:42:00Z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3af46fffafdf9d267f115a468ac5b2a2531bc80262cb7f69d6fdc494a0639331</vt:lpwstr>
  </property>
</Properties>
</file>