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3041A" w14:textId="77777777" w:rsidR="00327D18" w:rsidRDefault="00000000">
      <w:pPr>
        <w:spacing w:after="240" w:line="240" w:lineRule="auto"/>
        <w:ind w:left="450" w:hanging="450"/>
        <w:rPr>
          <w:b/>
          <w:bCs/>
        </w:rPr>
      </w:pPr>
      <w:r>
        <w:rPr>
          <w:b/>
          <w:bCs/>
        </w:rPr>
        <w:t xml:space="preserve">Appendix A: Operationalization of Product Features </w:t>
      </w:r>
    </w:p>
    <w:p w14:paraId="6B514C29" w14:textId="1C57844A" w:rsidR="00327D18" w:rsidRDefault="00000000">
      <w:pPr>
        <w:spacing w:after="0"/>
        <w:rPr>
          <w:b/>
          <w:bCs/>
        </w:rPr>
      </w:pPr>
      <w:r>
        <w:rPr>
          <w:b/>
          <w:bCs/>
        </w:rPr>
        <w:t>The List of Key Features in Our Sample</w:t>
      </w:r>
    </w:p>
    <w:p w14:paraId="28E39E42" w14:textId="56297111" w:rsidR="00327D18" w:rsidRDefault="00CA4E6C">
      <w:pPr>
        <w:pStyle w:val="Text"/>
        <w:spacing w:after="0" w:line="240" w:lineRule="auto"/>
      </w:pPr>
      <w:r w:rsidRPr="00CA4E6C">
        <w:drawing>
          <wp:inline distT="0" distB="0" distL="0" distR="0" wp14:anchorId="0EE38381" wp14:editId="16FDDF21">
            <wp:extent cx="5759450" cy="2071370"/>
            <wp:effectExtent l="0" t="0" r="6350" b="0"/>
            <wp:docPr id="325131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31646" name=""/>
                    <pic:cNvPicPr/>
                  </pic:nvPicPr>
                  <pic:blipFill>
                    <a:blip r:embed="rId8"/>
                    <a:stretch>
                      <a:fillRect/>
                    </a:stretch>
                  </pic:blipFill>
                  <pic:spPr>
                    <a:xfrm>
                      <a:off x="0" y="0"/>
                      <a:ext cx="5759450" cy="2071370"/>
                    </a:xfrm>
                    <a:prstGeom prst="rect">
                      <a:avLst/>
                    </a:prstGeom>
                  </pic:spPr>
                </pic:pic>
              </a:graphicData>
            </a:graphic>
          </wp:inline>
        </w:drawing>
      </w:r>
    </w:p>
    <w:p w14:paraId="3F3B09E4" w14:textId="77777777" w:rsidR="00327D18" w:rsidRDefault="00327D18">
      <w:pPr>
        <w:pStyle w:val="Text"/>
      </w:pPr>
    </w:p>
    <w:p w14:paraId="56F74758" w14:textId="77777777" w:rsidR="00327D18" w:rsidRDefault="00000000">
      <w:pPr>
        <w:pStyle w:val="Text"/>
        <w:tabs>
          <w:tab w:val="left" w:pos="4820"/>
        </w:tabs>
        <w:rPr>
          <w:b/>
          <w:bCs/>
        </w:rPr>
      </w:pPr>
      <w:r>
        <w:rPr>
          <w:b/>
          <w:bCs/>
        </w:rPr>
        <w:t>Borderline Cases and Coding Decisions</w:t>
      </w:r>
    </w:p>
    <w:p w14:paraId="6778DACD" w14:textId="77777777" w:rsidR="00327D18" w:rsidRDefault="00000000">
      <w:pPr>
        <w:pStyle w:val="Text"/>
        <w:ind w:firstLine="708"/>
        <w:rPr>
          <w:b/>
          <w:bCs/>
        </w:rPr>
      </w:pPr>
      <w:r>
        <w:t>This section provides representative examples illustrating how the feature-coding criteria described in the main text were applied in borderline cases when identifying product features from application descriptions. The examples below illustrate how descriptions were evaluated to determine whether they met the criteria for inclusion as one of the functional features listed above.</w:t>
      </w:r>
    </w:p>
    <w:p w14:paraId="226ED087" w14:textId="77777777" w:rsidR="00327D18" w:rsidRDefault="00000000">
      <w:pPr>
        <w:pStyle w:val="Text"/>
        <w:ind w:firstLine="708"/>
      </w:pPr>
      <w:r>
        <w:rPr>
          <w:b/>
          <w:bCs/>
          <w:i/>
          <w:iCs/>
        </w:rPr>
        <w:t>Vague or ambiguous descriptions</w:t>
      </w:r>
      <w:r>
        <w:rPr>
          <w:rFonts w:hint="eastAsia"/>
          <w:b/>
          <w:bCs/>
        </w:rPr>
        <w:t xml:space="preserve">: </w:t>
      </w:r>
      <w:r>
        <w:t>Descriptions that referenced functionality only in vague terms, without specifying an identifiable functional capability, were not coded as features. For example, abstract descriptions such as “comprehensive fitness tracking” were excluded because they did not specify the detailed tracking mechanism or metrics involved. In contrast, descriptions such as “GPS tracking of outdoor runs” or “track weight, body fat, and body measurements” were coded as features because they clearly identified specific functional capabilities. Similarly, “smart workout recommendations” was excluded when no adaptation mechanism was described, whereas “algorithmically tailored workouts based on user performance and goals” was coded as a feature. Generic claims such as “join our community” or “stay motivated” were also excluded unless accompanied by concrete functionality (e.g., “connect with friends via Facebook” or “earn achievement badges”).</w:t>
      </w:r>
    </w:p>
    <w:p w14:paraId="10428DA8" w14:textId="77777777" w:rsidR="00327D18" w:rsidRDefault="00000000">
      <w:pPr>
        <w:pStyle w:val="Text"/>
        <w:ind w:firstLine="708"/>
      </w:pPr>
      <w:r>
        <w:rPr>
          <w:b/>
          <w:bCs/>
          <w:i/>
          <w:iCs/>
        </w:rPr>
        <w:t>Non-user-facing information</w:t>
      </w:r>
      <w:r>
        <w:rPr>
          <w:b/>
          <w:bCs/>
        </w:rPr>
        <w:t xml:space="preserve">: </w:t>
      </w:r>
      <w:r>
        <w:t>Statements referring to developer credentials, backend technologies, or general marketing claims that did not describe user-accessible functionality were excluded. For example, “developed by a certified personal trainer” was not coded as a feature because it reflects a developer credential rather than a functional capability available to users. In contrast, descriptions specifying user-accessible functionality—such as “audio coaching guidance during workouts”—were coded as a feature.</w:t>
      </w:r>
    </w:p>
    <w:p w14:paraId="64412BDD" w14:textId="77777777" w:rsidR="00327D18" w:rsidRDefault="00000000">
      <w:pPr>
        <w:pStyle w:val="Text"/>
        <w:ind w:firstLine="708"/>
        <w:rPr>
          <w:b/>
          <w:bCs/>
        </w:rPr>
      </w:pPr>
      <w:r>
        <w:rPr>
          <w:b/>
          <w:bCs/>
          <w:i/>
          <w:iCs/>
        </w:rPr>
        <w:t>Repeated references to the same functionality:</w:t>
      </w:r>
      <w:r>
        <w:rPr>
          <w:b/>
          <w:bCs/>
        </w:rPr>
        <w:t xml:space="preserve"> </w:t>
      </w:r>
      <w:r>
        <w:t xml:space="preserve">When the same functional capability was mentioned multiple times within an application’s description, it was coded only once. For example, references to “GPS </w:t>
      </w:r>
      <w:r>
        <w:lastRenderedPageBreak/>
        <w:t>tracking of outdoor runs” and later “such accurate GPS-based route tracking” within the same description were treated as a single GPS tracking feature.</w:t>
      </w:r>
    </w:p>
    <w:p w14:paraId="333CA237" w14:textId="77777777" w:rsidR="00327D18" w:rsidRDefault="00327D18"/>
    <w:p w14:paraId="3827E528" w14:textId="77777777" w:rsidR="00327D18" w:rsidRDefault="00000000">
      <w:r>
        <w:rPr>
          <w:b/>
          <w:bCs/>
        </w:rPr>
        <w:t>Appendix B: Experimental Materials (Visual Manipulation and Measures)</w:t>
      </w:r>
    </w:p>
    <w:p w14:paraId="6D8F0CD1" w14:textId="77777777" w:rsidR="00327D18" w:rsidRDefault="00000000">
      <w:pPr>
        <w:rPr>
          <w:b/>
          <w:bCs/>
        </w:rPr>
      </w:pPr>
      <w:r>
        <w:rPr>
          <w:b/>
          <w:bCs/>
        </w:rPr>
        <w:t xml:space="preserve">Visual Manipulation </w:t>
      </w:r>
    </w:p>
    <w:p w14:paraId="23EB8D3D" w14:textId="77777777" w:rsidR="00327D18" w:rsidRDefault="00000000">
      <w:pPr>
        <w:spacing w:line="240" w:lineRule="auto"/>
      </w:pPr>
      <w:r>
        <w:t xml:space="preserve">Condition 1: “Only a few features” </w:t>
      </w:r>
    </w:p>
    <w:p w14:paraId="1E961270" w14:textId="2893BC09" w:rsidR="00327D18" w:rsidRDefault="00900C68">
      <w:pPr>
        <w:pStyle w:val="Text"/>
      </w:pPr>
      <w:r w:rsidRPr="00900C68">
        <w:rPr>
          <w:noProof/>
        </w:rPr>
        <w:drawing>
          <wp:inline distT="0" distB="0" distL="0" distR="0" wp14:anchorId="46A161E3" wp14:editId="2420BD19">
            <wp:extent cx="5015068" cy="1233377"/>
            <wp:effectExtent l="0" t="0" r="1905" b="0"/>
            <wp:docPr id="2066781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81582" name=""/>
                    <pic:cNvPicPr/>
                  </pic:nvPicPr>
                  <pic:blipFill rotWithShape="1">
                    <a:blip r:embed="rId9"/>
                    <a:srcRect t="12454" b="7261"/>
                    <a:stretch>
                      <a:fillRect/>
                    </a:stretch>
                  </pic:blipFill>
                  <pic:spPr bwMode="auto">
                    <a:xfrm>
                      <a:off x="0" y="0"/>
                      <a:ext cx="5016500" cy="1233729"/>
                    </a:xfrm>
                    <a:prstGeom prst="rect">
                      <a:avLst/>
                    </a:prstGeom>
                    <a:ln>
                      <a:noFill/>
                    </a:ln>
                    <a:extLst>
                      <a:ext uri="{53640926-AAD7-44D8-BBD7-CCE9431645EC}">
                        <a14:shadowObscured xmlns:a14="http://schemas.microsoft.com/office/drawing/2010/main"/>
                      </a:ext>
                    </a:extLst>
                  </pic:spPr>
                </pic:pic>
              </a:graphicData>
            </a:graphic>
          </wp:inline>
        </w:drawing>
      </w:r>
    </w:p>
    <w:p w14:paraId="7E4E0BC8" w14:textId="77777777" w:rsidR="00327D18" w:rsidRDefault="00000000">
      <w:pPr>
        <w:spacing w:line="276" w:lineRule="auto"/>
      </w:pPr>
      <w:r>
        <w:t xml:space="preserve">Condition 2: “A market-averaged number of features” </w:t>
      </w:r>
    </w:p>
    <w:p w14:paraId="1326E13C" w14:textId="7B6D5B4E" w:rsidR="00327D18" w:rsidRDefault="00900C68">
      <w:pPr>
        <w:pStyle w:val="Text"/>
      </w:pPr>
      <w:r w:rsidRPr="00900C68">
        <w:rPr>
          <w:noProof/>
        </w:rPr>
        <w:drawing>
          <wp:inline distT="0" distB="0" distL="0" distR="0" wp14:anchorId="2D54ABD5" wp14:editId="3E32CB09">
            <wp:extent cx="4989644" cy="1371600"/>
            <wp:effectExtent l="0" t="0" r="1905" b="0"/>
            <wp:docPr id="2022464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64247" name=""/>
                    <pic:cNvPicPr/>
                  </pic:nvPicPr>
                  <pic:blipFill rotWithShape="1">
                    <a:blip r:embed="rId10"/>
                    <a:srcRect t="19234" b="7772"/>
                    <a:stretch>
                      <a:fillRect/>
                    </a:stretch>
                  </pic:blipFill>
                  <pic:spPr bwMode="auto">
                    <a:xfrm>
                      <a:off x="0" y="0"/>
                      <a:ext cx="4991100" cy="1372000"/>
                    </a:xfrm>
                    <a:prstGeom prst="rect">
                      <a:avLst/>
                    </a:prstGeom>
                    <a:ln>
                      <a:noFill/>
                    </a:ln>
                    <a:extLst>
                      <a:ext uri="{53640926-AAD7-44D8-BBD7-CCE9431645EC}">
                        <a14:shadowObscured xmlns:a14="http://schemas.microsoft.com/office/drawing/2010/main"/>
                      </a:ext>
                    </a:extLst>
                  </pic:spPr>
                </pic:pic>
              </a:graphicData>
            </a:graphic>
          </wp:inline>
        </w:drawing>
      </w:r>
    </w:p>
    <w:p w14:paraId="559B6BB9" w14:textId="77777777" w:rsidR="00327D18" w:rsidRDefault="00000000">
      <w:pPr>
        <w:spacing w:line="276" w:lineRule="auto"/>
      </w:pPr>
      <w:r>
        <w:t>Condition 3: “Fully loaded with features”</w:t>
      </w:r>
    </w:p>
    <w:p w14:paraId="46808980" w14:textId="67DB99F8" w:rsidR="00327D18" w:rsidRDefault="00900C68">
      <w:pPr>
        <w:pStyle w:val="berschrift11"/>
        <w:spacing w:after="0" w:line="360" w:lineRule="auto"/>
      </w:pPr>
      <w:r w:rsidRPr="00900C68">
        <w:rPr>
          <w:noProof/>
        </w:rPr>
        <w:drawing>
          <wp:inline distT="0" distB="0" distL="0" distR="0" wp14:anchorId="6EAEB195" wp14:editId="10CD7B0E">
            <wp:extent cx="4985606" cy="1339215"/>
            <wp:effectExtent l="0" t="0" r="5715" b="0"/>
            <wp:docPr id="1726780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80675" name=""/>
                    <pic:cNvPicPr/>
                  </pic:nvPicPr>
                  <pic:blipFill rotWithShape="1">
                    <a:blip r:embed="rId11"/>
                    <a:srcRect l="2292" t="19320" b="6898"/>
                    <a:stretch>
                      <a:fillRect/>
                    </a:stretch>
                  </pic:blipFill>
                  <pic:spPr bwMode="auto">
                    <a:xfrm>
                      <a:off x="0" y="0"/>
                      <a:ext cx="4988376" cy="1339959"/>
                    </a:xfrm>
                    <a:prstGeom prst="rect">
                      <a:avLst/>
                    </a:prstGeom>
                    <a:ln>
                      <a:noFill/>
                    </a:ln>
                    <a:extLst>
                      <a:ext uri="{53640926-AAD7-44D8-BBD7-CCE9431645EC}">
                        <a14:shadowObscured xmlns:a14="http://schemas.microsoft.com/office/drawing/2010/main"/>
                      </a:ext>
                    </a:extLst>
                  </pic:spPr>
                </pic:pic>
              </a:graphicData>
            </a:graphic>
          </wp:inline>
        </w:drawing>
      </w:r>
    </w:p>
    <w:p w14:paraId="4C27BF8D" w14:textId="77777777" w:rsidR="00327D18" w:rsidRDefault="00327D18">
      <w:pPr>
        <w:rPr>
          <w:b/>
          <w:bCs/>
        </w:rPr>
      </w:pPr>
    </w:p>
    <w:p w14:paraId="4EA9958F" w14:textId="77777777" w:rsidR="00900C68" w:rsidRDefault="00900C68">
      <w:pPr>
        <w:rPr>
          <w:b/>
          <w:bCs/>
        </w:rPr>
      </w:pPr>
    </w:p>
    <w:p w14:paraId="2BEC6C13" w14:textId="77777777" w:rsidR="00327D18" w:rsidRDefault="00000000">
      <w:pPr>
        <w:rPr>
          <w:b/>
          <w:bCs/>
        </w:rPr>
      </w:pPr>
      <w:r>
        <w:rPr>
          <w:b/>
          <w:bCs/>
        </w:rPr>
        <w:t xml:space="preserve">Experimental Measures </w:t>
      </w:r>
    </w:p>
    <w:tbl>
      <w:tblPr>
        <w:tblStyle w:val="TableGrid"/>
        <w:tblW w:w="9061" w:type="dxa"/>
        <w:jc w:val="center"/>
        <w:tblLayout w:type="fixed"/>
        <w:tblLook w:val="04A0" w:firstRow="1" w:lastRow="0" w:firstColumn="1" w:lastColumn="0" w:noHBand="0" w:noVBand="1"/>
      </w:tblPr>
      <w:tblGrid>
        <w:gridCol w:w="2689"/>
        <w:gridCol w:w="4251"/>
        <w:gridCol w:w="2121"/>
      </w:tblGrid>
      <w:tr w:rsidR="00327D18" w14:paraId="37A2DBC3" w14:textId="77777777">
        <w:trPr>
          <w:trHeight w:val="67"/>
          <w:jc w:val="center"/>
        </w:trPr>
        <w:tc>
          <w:tcPr>
            <w:tcW w:w="2689" w:type="dxa"/>
          </w:tcPr>
          <w:p w14:paraId="27FAE54D" w14:textId="77777777" w:rsidR="00327D18" w:rsidRDefault="00000000">
            <w:pPr>
              <w:spacing w:line="240" w:lineRule="auto"/>
              <w:rPr>
                <w:b/>
                <w:bCs/>
              </w:rPr>
            </w:pPr>
            <w:r>
              <w:rPr>
                <w:rFonts w:eastAsia="Malgun Gothic"/>
                <w:b/>
                <w:bCs/>
              </w:rPr>
              <w:t xml:space="preserve">Construct </w:t>
            </w:r>
          </w:p>
        </w:tc>
        <w:tc>
          <w:tcPr>
            <w:tcW w:w="4251" w:type="dxa"/>
          </w:tcPr>
          <w:p w14:paraId="5F3B90FD" w14:textId="77777777" w:rsidR="00327D18" w:rsidRDefault="00000000">
            <w:pPr>
              <w:spacing w:line="240" w:lineRule="auto"/>
              <w:rPr>
                <w:b/>
                <w:bCs/>
              </w:rPr>
            </w:pPr>
            <w:r>
              <w:rPr>
                <w:rFonts w:eastAsia="Malgun Gothic"/>
                <w:b/>
                <w:bCs/>
              </w:rPr>
              <w:t xml:space="preserve">Item wording </w:t>
            </w:r>
          </w:p>
        </w:tc>
        <w:tc>
          <w:tcPr>
            <w:tcW w:w="2121" w:type="dxa"/>
          </w:tcPr>
          <w:p w14:paraId="0B3627D5" w14:textId="77777777" w:rsidR="00327D18" w:rsidRDefault="00000000">
            <w:pPr>
              <w:spacing w:line="240" w:lineRule="auto"/>
              <w:rPr>
                <w:b/>
                <w:bCs/>
              </w:rPr>
            </w:pPr>
            <w:r>
              <w:rPr>
                <w:rFonts w:eastAsia="Malgun Gothic"/>
                <w:b/>
                <w:bCs/>
              </w:rPr>
              <w:t xml:space="preserve">Scale </w:t>
            </w:r>
          </w:p>
        </w:tc>
      </w:tr>
      <w:tr w:rsidR="00327D18" w14:paraId="6C7B48AE" w14:textId="77777777">
        <w:trPr>
          <w:jc w:val="center"/>
        </w:trPr>
        <w:tc>
          <w:tcPr>
            <w:tcW w:w="2689" w:type="dxa"/>
          </w:tcPr>
          <w:p w14:paraId="7DD5A951" w14:textId="77777777" w:rsidR="00327D18" w:rsidRDefault="00000000">
            <w:pPr>
              <w:spacing w:line="240" w:lineRule="auto"/>
              <w:rPr>
                <w:rFonts w:eastAsia="Malgun Gothic"/>
              </w:rPr>
            </w:pPr>
            <w:r>
              <w:rPr>
                <w:rFonts w:eastAsia="Malgun Gothic"/>
              </w:rPr>
              <w:t>Perceived product complexity (manipulation check)</w:t>
            </w:r>
          </w:p>
        </w:tc>
        <w:tc>
          <w:tcPr>
            <w:tcW w:w="4251" w:type="dxa"/>
          </w:tcPr>
          <w:p w14:paraId="08CD94B2" w14:textId="77777777" w:rsidR="00327D18" w:rsidRDefault="00000000">
            <w:pPr>
              <w:spacing w:line="240" w:lineRule="auto"/>
              <w:rPr>
                <w:rFonts w:eastAsia="Malgun Gothic"/>
              </w:rPr>
            </w:pPr>
            <w:r>
              <w:rPr>
                <w:rFonts w:eastAsia="Malgun Gothic"/>
              </w:rPr>
              <w:t xml:space="preserve">“I think </w:t>
            </w:r>
            <w:proofErr w:type="spellStart"/>
            <w:r>
              <w:rPr>
                <w:rFonts w:eastAsia="Malgun Gothic"/>
              </w:rPr>
              <w:t>RunWalker</w:t>
            </w:r>
            <w:proofErr w:type="spellEnd"/>
            <w:r>
              <w:rPr>
                <w:rFonts w:eastAsia="Malgun Gothic"/>
              </w:rPr>
              <w:t xml:space="preserve"> is very complex.”</w:t>
            </w:r>
          </w:p>
        </w:tc>
        <w:tc>
          <w:tcPr>
            <w:tcW w:w="2121" w:type="dxa"/>
          </w:tcPr>
          <w:p w14:paraId="51CE2557" w14:textId="77777777" w:rsidR="00327D18" w:rsidRDefault="00000000">
            <w:pPr>
              <w:spacing w:line="240" w:lineRule="auto"/>
              <w:rPr>
                <w:b/>
                <w:bCs/>
              </w:rPr>
            </w:pPr>
            <w:r>
              <w:rPr>
                <w:rFonts w:eastAsia="Malgun Gothic"/>
              </w:rPr>
              <w:t>1 = Strongly disagree; 7 = Strongly agree</w:t>
            </w:r>
          </w:p>
        </w:tc>
      </w:tr>
      <w:tr w:rsidR="00327D18" w14:paraId="24E072BA" w14:textId="77777777">
        <w:trPr>
          <w:jc w:val="center"/>
        </w:trPr>
        <w:tc>
          <w:tcPr>
            <w:tcW w:w="2689" w:type="dxa"/>
          </w:tcPr>
          <w:p w14:paraId="50A01F64" w14:textId="77777777" w:rsidR="00327D18" w:rsidRDefault="00000000">
            <w:pPr>
              <w:spacing w:line="240" w:lineRule="auto"/>
              <w:rPr>
                <w:rFonts w:eastAsia="Malgun Gothic"/>
              </w:rPr>
            </w:pPr>
            <w:r>
              <w:rPr>
                <w:rFonts w:eastAsia="Malgun Gothic"/>
              </w:rPr>
              <w:t>Anticipated maintenance frequency</w:t>
            </w:r>
          </w:p>
        </w:tc>
        <w:tc>
          <w:tcPr>
            <w:tcW w:w="4251" w:type="dxa"/>
          </w:tcPr>
          <w:p w14:paraId="29E113A0" w14:textId="77777777" w:rsidR="00327D18" w:rsidRDefault="00000000">
            <w:pPr>
              <w:spacing w:line="240" w:lineRule="auto"/>
              <w:rPr>
                <w:rFonts w:eastAsia="Malgun Gothic"/>
              </w:rPr>
            </w:pPr>
            <w:r>
              <w:rPr>
                <w:rFonts w:eastAsia="Malgun Gothic"/>
              </w:rPr>
              <w:t xml:space="preserve">“I would update </w:t>
            </w:r>
            <w:proofErr w:type="spellStart"/>
            <w:r>
              <w:rPr>
                <w:rFonts w:eastAsia="Malgun Gothic"/>
              </w:rPr>
              <w:t>RunWalker</w:t>
            </w:r>
            <w:proofErr w:type="spellEnd"/>
            <w:r>
              <w:rPr>
                <w:rFonts w:eastAsia="Malgun Gothic"/>
              </w:rPr>
              <w:t xml:space="preserve"> very frequently (e.g., bug fixes, feature enhancements, interoperability adjustments).”</w:t>
            </w:r>
          </w:p>
        </w:tc>
        <w:tc>
          <w:tcPr>
            <w:tcW w:w="2121" w:type="dxa"/>
          </w:tcPr>
          <w:p w14:paraId="3ABAA1DD" w14:textId="77777777" w:rsidR="00327D18" w:rsidRDefault="00000000">
            <w:pPr>
              <w:spacing w:line="240" w:lineRule="auto"/>
              <w:rPr>
                <w:b/>
                <w:bCs/>
              </w:rPr>
            </w:pPr>
            <w:r>
              <w:rPr>
                <w:rFonts w:eastAsia="Malgun Gothic"/>
              </w:rPr>
              <w:t>1 = Strongly disagree; 7 = Strongly agree</w:t>
            </w:r>
          </w:p>
        </w:tc>
      </w:tr>
      <w:tr w:rsidR="00327D18" w14:paraId="6A98E203" w14:textId="77777777">
        <w:trPr>
          <w:jc w:val="center"/>
        </w:trPr>
        <w:tc>
          <w:tcPr>
            <w:tcW w:w="2689" w:type="dxa"/>
          </w:tcPr>
          <w:p w14:paraId="519E226F" w14:textId="77777777" w:rsidR="00327D18" w:rsidRDefault="00000000">
            <w:pPr>
              <w:spacing w:line="240" w:lineRule="auto"/>
              <w:rPr>
                <w:rFonts w:eastAsia="Malgun Gothic"/>
              </w:rPr>
            </w:pPr>
            <w:r>
              <w:rPr>
                <w:rFonts w:eastAsia="Malgun Gothic"/>
              </w:rPr>
              <w:t xml:space="preserve">Expected adaptability to platform-wide changes </w:t>
            </w:r>
          </w:p>
        </w:tc>
        <w:tc>
          <w:tcPr>
            <w:tcW w:w="4251" w:type="dxa"/>
          </w:tcPr>
          <w:p w14:paraId="3A9BE680" w14:textId="77777777" w:rsidR="00327D18" w:rsidRDefault="00000000">
            <w:pPr>
              <w:spacing w:line="240" w:lineRule="auto"/>
              <w:rPr>
                <w:rFonts w:eastAsia="Malgun Gothic"/>
              </w:rPr>
            </w:pPr>
            <w:r>
              <w:rPr>
                <w:rFonts w:eastAsia="Malgun Gothic"/>
              </w:rPr>
              <w:t xml:space="preserve">“I would quickly adapt </w:t>
            </w:r>
            <w:proofErr w:type="spellStart"/>
            <w:r>
              <w:rPr>
                <w:rFonts w:eastAsia="Malgun Gothic"/>
              </w:rPr>
              <w:t>RunWalker</w:t>
            </w:r>
            <w:proofErr w:type="spellEnd"/>
            <w:r>
              <w:rPr>
                <w:rFonts w:eastAsia="Malgun Gothic"/>
              </w:rPr>
              <w:t xml:space="preserve"> to new operating system releases (e.g., new versions of iOS).”</w:t>
            </w:r>
          </w:p>
        </w:tc>
        <w:tc>
          <w:tcPr>
            <w:tcW w:w="2121" w:type="dxa"/>
          </w:tcPr>
          <w:p w14:paraId="09E67EBE" w14:textId="77777777" w:rsidR="00327D18" w:rsidRDefault="00000000">
            <w:pPr>
              <w:spacing w:line="240" w:lineRule="auto"/>
              <w:rPr>
                <w:b/>
                <w:bCs/>
              </w:rPr>
            </w:pPr>
            <w:r>
              <w:rPr>
                <w:rFonts w:eastAsia="Malgun Gothic"/>
              </w:rPr>
              <w:t>1 = Strongly disagree; 7 = Strongly agree</w:t>
            </w:r>
          </w:p>
        </w:tc>
      </w:tr>
    </w:tbl>
    <w:p w14:paraId="062386A1" w14:textId="77777777" w:rsidR="00327D18" w:rsidRDefault="00327D18">
      <w:pPr>
        <w:pStyle w:val="berschrift11"/>
        <w:spacing w:after="120" w:line="240" w:lineRule="auto"/>
        <w:rPr>
          <w:b w:val="0"/>
          <w:bCs/>
          <w:sz w:val="20"/>
        </w:rPr>
      </w:pPr>
    </w:p>
    <w:p w14:paraId="1BF0736E" w14:textId="77777777" w:rsidR="00327D18" w:rsidRDefault="00000000">
      <w:pPr>
        <w:pStyle w:val="berschrift11"/>
        <w:spacing w:after="0" w:line="360" w:lineRule="auto"/>
        <w:ind w:firstLine="708"/>
        <w:rPr>
          <w:b w:val="0"/>
          <w:bCs/>
          <w:sz w:val="20"/>
        </w:rPr>
      </w:pPr>
      <w:r>
        <w:rPr>
          <w:b w:val="0"/>
          <w:bCs/>
          <w:sz w:val="20"/>
        </w:rPr>
        <w:lastRenderedPageBreak/>
        <w:t xml:space="preserve">In addition to the focal experimental measures reported above, participants completed standard demographic items (e.g., age, gender, education, employment status, ethnicity) and background questions related to mobile application usage and experience (e.g., prior use of running or walking applications, activity level, and experience working at a mobile application company). These items followed conventional survey formats and are available from the authors upon request. </w:t>
      </w:r>
    </w:p>
    <w:p w14:paraId="72890B7D" w14:textId="77777777" w:rsidR="00327D18" w:rsidRDefault="00327D18">
      <w:pPr>
        <w:pStyle w:val="Text"/>
      </w:pPr>
    </w:p>
    <w:p w14:paraId="0E8AB406" w14:textId="77777777" w:rsidR="00327D18" w:rsidRDefault="00327D18">
      <w:pPr>
        <w:spacing w:after="0" w:line="240" w:lineRule="auto"/>
        <w:rPr>
          <w:b/>
          <w:sz w:val="36"/>
        </w:rPr>
      </w:pPr>
    </w:p>
    <w:sectPr w:rsidR="00327D18">
      <w:headerReference w:type="even" r:id="rId12"/>
      <w:footerReference w:type="even" r:id="rId13"/>
      <w:pgSz w:w="11906" w:h="16838"/>
      <w:pgMar w:top="680" w:right="1418" w:bottom="454" w:left="1418"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96D73" w14:textId="77777777" w:rsidR="005E5B6F" w:rsidRDefault="005E5B6F">
      <w:pPr>
        <w:spacing w:after="0" w:line="240" w:lineRule="auto"/>
      </w:pPr>
      <w:r>
        <w:separator/>
      </w:r>
    </w:p>
  </w:endnote>
  <w:endnote w:type="continuationSeparator" w:id="0">
    <w:p w14:paraId="2412A57F" w14:textId="77777777" w:rsidR="005E5B6F" w:rsidRDefault="005E5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63DA" w14:textId="77777777" w:rsidR="00327D18" w:rsidRDefault="00327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302F2" w14:textId="77777777" w:rsidR="005E5B6F" w:rsidRDefault="005E5B6F">
      <w:pPr>
        <w:spacing w:after="0" w:line="240" w:lineRule="auto"/>
      </w:pPr>
      <w:r>
        <w:separator/>
      </w:r>
    </w:p>
  </w:footnote>
  <w:footnote w:type="continuationSeparator" w:id="0">
    <w:p w14:paraId="0F47226A" w14:textId="77777777" w:rsidR="005E5B6F" w:rsidRDefault="005E5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65799" w14:textId="77777777" w:rsidR="00327D18" w:rsidRDefault="00327D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D18"/>
    <w:rsid w:val="002A4328"/>
    <w:rsid w:val="002C6ABA"/>
    <w:rsid w:val="00302277"/>
    <w:rsid w:val="00327D18"/>
    <w:rsid w:val="005E5B6F"/>
    <w:rsid w:val="00715D54"/>
    <w:rsid w:val="008241B6"/>
    <w:rsid w:val="00900C68"/>
    <w:rsid w:val="00A119CF"/>
    <w:rsid w:val="00BC7352"/>
    <w:rsid w:val="00C91FE1"/>
    <w:rsid w:val="00CA4E6C"/>
  </w:rsids>
  <m:mathPr>
    <m:mathFont m:val="Cambria Math"/>
    <m:brkBin m:val="before"/>
    <m:brkBinSub m:val="--"/>
    <m:smallFrac m:val="0"/>
    <m:dispDef/>
    <m:lMargin m:val="0"/>
    <m:rMargin m:val="0"/>
    <m:defJc m:val="centerGroup"/>
    <m:wrapIndent m:val="1440"/>
    <m:intLim m:val="subSup"/>
    <m:naryLim m:val="undOvr"/>
  </m:mathPr>
  <w:themeFontLang w:val="de-DE"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9FBD4"/>
  <w15:docId w15:val="{FE9BCA8C-EA38-C04E-B0B4-10CA053D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480" w:lineRule="auto"/>
    </w:pPr>
    <w:rPr>
      <w:lang w:val="en-US" w:eastAsia="ko-KR"/>
    </w:rPr>
  </w:style>
  <w:style w:type="paragraph" w:styleId="Heading1">
    <w:name w:val="heading 1"/>
    <w:basedOn w:val="berschrift11"/>
    <w:next w:val="Text"/>
    <w:qFormat/>
    <w:pPr>
      <w:outlineLvl w:val="0"/>
    </w:pPr>
  </w:style>
  <w:style w:type="paragraph" w:styleId="Heading2">
    <w:name w:val="heading 2"/>
    <w:basedOn w:val="berschrift21"/>
    <w:next w:val="Text"/>
    <w:qFormat/>
    <w:pPr>
      <w:outlineLvl w:val="1"/>
    </w:pPr>
  </w:style>
  <w:style w:type="paragraph" w:styleId="Heading3">
    <w:name w:val="heading 3"/>
    <w:basedOn w:val="berschrift31"/>
    <w:next w:val="Text"/>
    <w:qFormat/>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Hyperlink">
    <w:name w:val="Hyperlink"/>
    <w:rsid w:val="00D654DF"/>
    <w:rPr>
      <w:color w:val="0563C1"/>
      <w:u w:val="single"/>
    </w:rPr>
  </w:style>
  <w:style w:type="character" w:styleId="Emphasis">
    <w:name w:val="Emphasis"/>
    <w:basedOn w:val="DefaultParagraphFont"/>
    <w:uiPriority w:val="20"/>
    <w:qFormat/>
    <w:rsid w:val="001D19A7"/>
    <w:rPr>
      <w:i/>
      <w:iCs/>
    </w:rPr>
  </w:style>
  <w:style w:type="character" w:customStyle="1" w:styleId="BalloonTextChar">
    <w:name w:val="Balloon Text Char"/>
    <w:basedOn w:val="DefaultParagraphFont"/>
    <w:link w:val="BalloonText"/>
    <w:qFormat/>
    <w:rsid w:val="00876C1B"/>
    <w:rPr>
      <w:rFonts w:ascii="Segoe UI" w:hAnsi="Segoe UI" w:cs="Segoe UI"/>
      <w:sz w:val="18"/>
      <w:szCs w:val="18"/>
      <w:lang w:val="en-GB" w:eastAsia="ko-KR"/>
    </w:rPr>
  </w:style>
  <w:style w:type="character" w:styleId="FollowedHyperlink">
    <w:name w:val="FollowedHyperlink"/>
    <w:basedOn w:val="DefaultParagraphFont"/>
    <w:rsid w:val="00F94C5F"/>
    <w:rPr>
      <w:color w:val="954F72" w:themeColor="followedHyperlink"/>
      <w:u w:val="single"/>
    </w:rPr>
  </w:style>
  <w:style w:type="character" w:styleId="CommentReference">
    <w:name w:val="annotation reference"/>
    <w:basedOn w:val="DefaultParagraphFont"/>
    <w:qFormat/>
    <w:rsid w:val="00000A3B"/>
    <w:rPr>
      <w:sz w:val="16"/>
      <w:szCs w:val="16"/>
    </w:rPr>
  </w:style>
  <w:style w:type="character" w:customStyle="1" w:styleId="CommentTextChar">
    <w:name w:val="Comment Text Char"/>
    <w:basedOn w:val="DefaultParagraphFont"/>
    <w:link w:val="CommentText"/>
    <w:qFormat/>
    <w:rsid w:val="00000A3B"/>
    <w:rPr>
      <w:lang w:val="en-US" w:eastAsia="ko-KR"/>
    </w:rPr>
  </w:style>
  <w:style w:type="character" w:customStyle="1" w:styleId="CommentSubjectChar">
    <w:name w:val="Comment Subject Char"/>
    <w:basedOn w:val="CommentTextChar"/>
    <w:link w:val="CommentSubject"/>
    <w:qFormat/>
    <w:rsid w:val="00000A3B"/>
    <w:rPr>
      <w:b/>
      <w:bCs/>
      <w:lang w:val="en-US" w:eastAsia="ko-KR"/>
    </w:rPr>
  </w:style>
  <w:style w:type="character" w:styleId="Strong">
    <w:name w:val="Strong"/>
    <w:basedOn w:val="DefaultParagraphFont"/>
    <w:uiPriority w:val="22"/>
    <w:qFormat/>
    <w:rsid w:val="001E0C0C"/>
    <w:rPr>
      <w:b/>
      <w:bCs/>
    </w:rPr>
  </w:style>
  <w:style w:type="character" w:styleId="UnresolvedMention">
    <w:name w:val="Unresolved Mention"/>
    <w:basedOn w:val="DefaultParagraphFont"/>
    <w:uiPriority w:val="99"/>
    <w:semiHidden/>
    <w:unhideWhenUsed/>
    <w:qFormat/>
    <w:rsid w:val="00FF51C4"/>
    <w:rPr>
      <w:color w:val="605E5C"/>
      <w:shd w:val="clear" w:color="auto" w:fill="E1DFDD"/>
    </w:rPr>
  </w:style>
  <w:style w:type="paragraph" w:customStyle="1" w:styleId="Heading">
    <w:name w:val="Heading"/>
    <w:basedOn w:val="Normal"/>
    <w:next w:val="BodyText"/>
    <w:qFormat/>
    <w:pPr>
      <w:keepNext/>
      <w:spacing w:before="24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Info">
    <w:name w:val="Header Info"/>
    <w:basedOn w:val="Normal"/>
    <w:qFormat/>
    <w:pPr>
      <w:tabs>
        <w:tab w:val="left" w:pos="1985"/>
      </w:tabs>
    </w:pPr>
    <w:rPr>
      <w:rFonts w:ascii="Arial" w:hAnsi="Arial"/>
    </w:rPr>
  </w:style>
  <w:style w:type="paragraph" w:customStyle="1" w:styleId="HeaderandFooter">
    <w:name w:val="Header and Footer"/>
    <w:basedOn w:val="Normal"/>
    <w:qFormat/>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berschrift11">
    <w:name w:val="Überschrift 11"/>
    <w:basedOn w:val="Normal"/>
    <w:next w:val="Text"/>
    <w:qFormat/>
    <w:pPr>
      <w:spacing w:after="240"/>
    </w:pPr>
    <w:rPr>
      <w:b/>
      <w:sz w:val="36"/>
    </w:rPr>
  </w:style>
  <w:style w:type="paragraph" w:customStyle="1" w:styleId="Text">
    <w:name w:val="Text"/>
    <w:basedOn w:val="Normal"/>
    <w:qFormat/>
  </w:style>
  <w:style w:type="paragraph" w:customStyle="1" w:styleId="berschrift21">
    <w:name w:val="Überschrift 21"/>
    <w:basedOn w:val="berschrift11"/>
    <w:next w:val="Text"/>
    <w:qFormat/>
    <w:rPr>
      <w:sz w:val="28"/>
    </w:rPr>
  </w:style>
  <w:style w:type="paragraph" w:customStyle="1" w:styleId="berschrift31">
    <w:name w:val="Überschrift 31"/>
    <w:basedOn w:val="berschrift11"/>
    <w:next w:val="Text"/>
    <w:qFormat/>
    <w:rPr>
      <w:sz w:val="22"/>
    </w:rPr>
  </w:style>
  <w:style w:type="paragraph" w:styleId="BalloonText">
    <w:name w:val="Balloon Text"/>
    <w:basedOn w:val="Normal"/>
    <w:link w:val="BalloonTextChar"/>
    <w:qFormat/>
    <w:rsid w:val="00876C1B"/>
    <w:pPr>
      <w:spacing w:after="0" w:line="240" w:lineRule="auto"/>
    </w:pPr>
    <w:rPr>
      <w:rFonts w:ascii="Segoe UI" w:hAnsi="Segoe UI" w:cs="Segoe UI"/>
      <w:sz w:val="18"/>
      <w:szCs w:val="18"/>
    </w:rPr>
  </w:style>
  <w:style w:type="paragraph" w:styleId="CommentText">
    <w:name w:val="annotation text"/>
    <w:basedOn w:val="Normal"/>
    <w:link w:val="CommentTextChar"/>
    <w:rsid w:val="00000A3B"/>
    <w:pPr>
      <w:spacing w:line="240" w:lineRule="auto"/>
    </w:pPr>
  </w:style>
  <w:style w:type="paragraph" w:styleId="CommentSubject">
    <w:name w:val="annotation subject"/>
    <w:basedOn w:val="CommentText"/>
    <w:next w:val="CommentText"/>
    <w:link w:val="CommentSubjectChar"/>
    <w:qFormat/>
    <w:rsid w:val="00000A3B"/>
    <w:rPr>
      <w:b/>
      <w:bCs/>
    </w:rPr>
  </w:style>
  <w:style w:type="paragraph" w:styleId="ListParagraph">
    <w:name w:val="List Paragraph"/>
    <w:basedOn w:val="Normal"/>
    <w:uiPriority w:val="34"/>
    <w:qFormat/>
    <w:rsid w:val="0010787B"/>
    <w:pPr>
      <w:spacing w:after="0" w:line="240" w:lineRule="auto"/>
      <w:ind w:left="720"/>
      <w:contextualSpacing/>
    </w:pPr>
    <w:rPr>
      <w:rFonts w:asciiTheme="minorHAnsi" w:hAnsiTheme="minorHAnsi" w:cstheme="minorBidi"/>
      <w:kern w:val="2"/>
      <w:sz w:val="24"/>
      <w:szCs w:val="24"/>
      <w14:ligatures w14:val="standardContextual"/>
    </w:rPr>
  </w:style>
  <w:style w:type="table" w:styleId="TableGrid">
    <w:name w:val="Table Grid"/>
    <w:basedOn w:val="TableNormal"/>
    <w:rsid w:val="00A51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E5871DC69FA9443BE226946CE2B0576" ma:contentTypeVersion="0" ma:contentTypeDescription="Ein neues Dokument erstellen." ma:contentTypeScope="" ma:versionID="c2dfbcc5cc15e2270d1ad31d6aa33f6b">
  <xsd:schema xmlns:xsd="http://www.w3.org/2001/XMLSchema" xmlns:p="http://schemas.microsoft.com/office/2006/metadata/properties" targetNamespace="http://schemas.microsoft.com/office/2006/metadata/properties" ma:root="true" ma:fieldsID="246f02dd96380beb4f7cdcce14d77fd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9ED67A6-BBE7-4B10-82D1-AEC99C927503}">
  <ds:schemaRefs>
    <ds:schemaRef ds:uri="http://schemas.microsoft.com/sharepoint/v3/contenttype/forms"/>
  </ds:schemaRefs>
</ds:datastoreItem>
</file>

<file path=customXml/itemProps2.xml><?xml version="1.0" encoding="utf-8"?>
<ds:datastoreItem xmlns:ds="http://schemas.openxmlformats.org/officeDocument/2006/customXml" ds:itemID="{0B4189BF-AFA4-4A1D-B85F-E47C42037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541</Words>
  <Characters>3088</Characters>
  <Application>Microsoft Office Word</Application>
  <DocSecurity>0</DocSecurity>
  <Lines>25</Lines>
  <Paragraphs>7</Paragraphs>
  <ScaleCrop>false</ScaleCrop>
  <Company>University of Leipzig</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Markets – The International Journal on Networked Business</dc:title>
  <dc:subject/>
  <dc:creator>Coia, Ramona</dc:creator>
  <dc:description/>
  <cp:lastModifiedBy>Hye Young Kang</cp:lastModifiedBy>
  <cp:revision>4</cp:revision>
  <cp:lastPrinted>2004-09-16T15:53:00Z</cp:lastPrinted>
  <dcterms:created xsi:type="dcterms:W3CDTF">2026-05-11T06:49:00Z</dcterms:created>
  <dcterms:modified xsi:type="dcterms:W3CDTF">2026-05-11T06:49:00Z</dcterms:modified>
  <dc:language>en-US</dc:language>
</cp:coreProperties>
</file>