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erschrift21"/>
        <w:spacing w:lineRule="auto" w:line="240" w:before="0" w:after="0"/>
        <w:rPr/>
      </w:pPr>
      <w:r>
        <w:rPr/>
        <w:t>Appendix</w:t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/>
      </w:pPr>
      <w:r>
        <w:rPr>
          <w:b/>
        </w:rPr>
        <w:t xml:space="preserve">Proof of </w:t>
      </w:r>
      <w:bookmarkStart w:id="0" w:name="_Hlk206339238"/>
      <w:r>
        <w:rPr>
          <w:rStyle w:val="PageNumber"/>
          <w:b/>
          <w:iCs/>
        </w:rPr>
        <w:t>Proposition</w:t>
      </w:r>
      <w:bookmarkEnd w:id="0"/>
      <w:r>
        <w:rPr>
          <w:b/>
        </w:rPr>
        <w:t xml:space="preserve"> 1. (Equilibrium results of less-known retailer offering discount) </w:t>
      </w:r>
    </w:p>
    <w:p>
      <w:pPr>
        <w:pStyle w:val="Normal"/>
        <w:spacing w:lineRule="auto" w:line="240" w:before="0" w:after="0"/>
        <w:rPr>
          <w:lang w:val="en-US" w:eastAsia="zh-CN"/>
        </w:rPr>
      </w:pPr>
      <w:r>
        <w:rPr/>
        <w:t xml:space="preserve">We use backward induction. In period 2, </w:t>
      </w:r>
      <w:r>
        <w:rPr/>
      </w:r>
      <m:oMath xmlns:m="http://schemas.openxmlformats.org/officeDocument/2006/math">
        <m:r>
          <m:t xml:space="preserve">v</m:t>
        </m:r>
        <m:r>
          <m:rPr>
            <m:lit/>
            <m:nor/>
          </m:rPr>
          <m:t xml:space="preserve">-</m:t>
        </m:r>
        <m:r>
          <m:t xml:space="preserve">kθ</m:t>
        </m:r>
        <m:r>
          <m:rPr>
            <m:lit/>
            <m:nor/>
          </m:rPr>
          <m:t xml:space="preserve">-</m:t>
        </m:r>
        <m:d>
          <m:dPr>
            <m:begChr m:val="("/>
            <m:endChr m:val=")"/>
          </m:dPr>
          <m:e>
            <m:r>
              <m:t xml:space="preserve">1</m:t>
            </m:r>
            <m:r>
              <m:rPr>
                <m:lit/>
                <m:nor/>
              </m:rPr>
              <m:t xml:space="preserve">-</m:t>
            </m:r>
            <m:r>
              <m:t xml:space="preserve">x</m:t>
            </m:r>
          </m:e>
        </m:d>
        <m:r>
          <m:t xml:space="preserve">p</m:t>
        </m:r>
        <m:r>
          <m:rPr>
            <m:lit/>
            <m:nor/>
          </m:rPr>
          <m:t xml:space="preserve">+</m:t>
        </m:r>
        <m:r>
          <m:t xml:space="preserve">β</m:t>
        </m:r>
        <m:d>
          <m:dPr>
            <m:begChr m:val="("/>
            <m:endChr m:val=")"/>
          </m:dPr>
          <m:e>
            <m:r>
              <m:t xml:space="preserve">1</m:t>
            </m:r>
            <m:r>
              <m:rPr>
                <m:lit/>
                <m:nor/>
              </m:rPr>
              <m:t xml:space="preserve">+</m:t>
            </m:r>
            <m:f>
              <m:num>
                <m:r>
                  <m:t xml:space="preserve">t</m:t>
                </m:r>
              </m:num>
              <m:den>
                <m:r>
                  <m:t xml:space="preserve">2</m:t>
                </m:r>
              </m:den>
            </m:f>
          </m:e>
        </m:d>
        <m:r>
          <m:rPr>
            <m:lit/>
            <m:nor/>
          </m:rPr>
          <m:t xml:space="preserve">=</m:t>
        </m:r>
        <m:r>
          <m:rPr>
            <m:lit/>
            <m:nor/>
          </m:rPr>
          <m:t xml:space="preserve"> </m:t>
        </m:r>
        <m:r>
          <m:t xml:space="preserve">v</m:t>
        </m:r>
        <m:r>
          <m:rPr>
            <m:lit/>
            <m:nor/>
          </m:rPr>
          <m:t xml:space="preserve">-</m:t>
        </m:r>
        <m:r>
          <m:t xml:space="preserve">k</m:t>
        </m:r>
        <m:d>
          <m:dPr>
            <m:begChr m:val="("/>
            <m:endChr m:val=")"/>
          </m:dPr>
          <m:e>
            <m:r>
              <m:t xml:space="preserve">1</m:t>
            </m:r>
            <m:r>
              <m:rPr>
                <m:lit/>
                <m:nor/>
              </m:rPr>
              <m:t xml:space="preserve">-</m:t>
            </m:r>
            <m:r>
              <m:t xml:space="preserve">θ</m:t>
            </m:r>
          </m:e>
        </m:d>
        <m:r>
          <m:rPr>
            <m:lit/>
            <m:nor/>
          </m:rPr>
          <m:t xml:space="preserve">-</m:t>
        </m:r>
        <m:r>
          <m:t xml:space="preserve">(</m:t>
        </m:r>
        <m:r>
          <m:t xml:space="preserve">1</m:t>
        </m:r>
        <m:r>
          <m:rPr>
            <m:lit/>
            <m:nor/>
          </m:rPr>
          <m:t xml:space="preserve">-</m:t>
        </m:r>
        <m:r>
          <m:t xml:space="preserve">γ</m:t>
        </m:r>
        <m:r>
          <m:t xml:space="preserve">)</m:t>
        </m:r>
        <m:r>
          <m:t xml:space="preserve">r</m:t>
        </m:r>
        <m:r>
          <m:t xml:space="preserve">.</m:t>
        </m:r>
      </m:oMath>
      <w:r>
        <w:rPr/>
        <w:t xml:space="preserve"> So  </w:t>
      </w:r>
      <w:r>
        <w:rPr/>
      </w:r>
      <m:oMath xmlns:m="http://schemas.openxmlformats.org/officeDocument/2006/math">
        <m:r>
          <m:t xml:space="preserve">θ</m:t>
        </m:r>
        <m:r>
          <m:rPr>
            <m:lit/>
            <m:nor/>
          </m:rPr>
          <m:t xml:space="preserve">=</m:t>
        </m:r>
        <m:f>
          <m:num>
            <m:r>
              <m:t xml:space="preserve">2</m:t>
            </m:r>
            <m:r>
              <m:t xml:space="preserve">k</m:t>
            </m:r>
            <m:r>
              <m:rPr>
                <m:lit/>
                <m:nor/>
              </m:rPr>
              <m:t xml:space="preserve">-</m:t>
            </m:r>
            <m:r>
              <m:t xml:space="preserve">2</m:t>
            </m:r>
            <m:r>
              <m:t xml:space="preserve">p</m:t>
            </m:r>
            <m:r>
              <m:rPr>
                <m:lit/>
                <m:nor/>
              </m:rPr>
              <m:t xml:space="preserve">+</m:t>
            </m:r>
            <m:r>
              <m:t xml:space="preserve">2</m:t>
            </m:r>
            <m:d>
              <m:dPr>
                <m:begChr m:val="("/>
                <m:endChr m:val=")"/>
              </m:dPr>
              <m:e>
                <m:r>
                  <m:t xml:space="preserve">1</m:t>
                </m:r>
                <m:r>
                  <m:rPr>
                    <m:lit/>
                    <m:nor/>
                  </m:rPr>
                  <m:t xml:space="preserve">-</m:t>
                </m:r>
                <m:r>
                  <m:t xml:space="preserve">γ</m:t>
                </m:r>
              </m:e>
            </m:d>
            <m:r>
              <m:t xml:space="preserve">r</m:t>
            </m:r>
            <m:r>
              <m:rPr>
                <m:lit/>
                <m:nor/>
              </m:rPr>
              <m:t xml:space="preserve">-</m:t>
            </m:r>
            <m:r>
              <m:t xml:space="preserve">βt</m:t>
            </m:r>
            <m:r>
              <m:rPr>
                <m:lit/>
                <m:nor/>
              </m:rPr>
              <m:t xml:space="preserve">-</m:t>
            </m:r>
            <m:r>
              <m:t xml:space="preserve">2</m:t>
            </m:r>
            <m:r>
              <m:t xml:space="preserve">β</m:t>
            </m:r>
            <m:r>
              <m:rPr>
                <m:lit/>
                <m:nor/>
              </m:rPr>
              <m:t xml:space="preserve">+</m:t>
            </m:r>
            <m:r>
              <m:t xml:space="preserve">2</m:t>
            </m:r>
            <m:r>
              <m:t xml:space="preserve">p</m:t>
            </m:r>
            <m:r>
              <m:t xml:space="preserve">x</m:t>
            </m:r>
          </m:num>
          <m:den>
            <m:r>
              <m:t xml:space="preserve">4</m:t>
            </m:r>
            <m:r>
              <m:t xml:space="preserve">k</m:t>
            </m:r>
          </m:den>
        </m:f>
        <m:r>
          <m:t xml:space="preserve">.</m:t>
        </m:r>
        <m:r>
          <m:rPr>
            <m:lit/>
            <m:nor/>
          </m:rPr>
          <m:t xml:space="preserve"> </m:t>
        </m:r>
        <m:r>
          <m:rPr>
            <m:lit/>
            <m:nor/>
          </m:rPr>
          <m:t xml:space="preserve"> </m:t>
        </m:r>
      </m:oMath>
    </w:p>
    <w:p>
      <w:pPr>
        <w:pStyle w:val="Normal"/>
        <w:spacing w:lineRule="auto" w:line="240" w:before="0" w:after="0"/>
        <w:jc w:val="center"/>
        <w:rPr/>
      </w:pPr>
      <w:r>
        <w:rPr/>
        <w:t xml:space="preserve">Retailer’s revenue function is as follows: </w:t>
        <w:br/>
      </w:r>
      <w:r>
        <w:rPr/>
      </w:r>
      <m:oMath xmlns:m="http://schemas.openxmlformats.org/officeDocument/2006/math">
        <m:sSub>
          <m:e>
            <m:r>
              <m:t xml:space="preserve">π</m:t>
            </m:r>
          </m:e>
          <m:sub>
            <m:r>
              <m:t xml:space="preserve">2</m:t>
            </m:r>
          </m:sub>
        </m:sSub>
        <m:r>
          <m:rPr>
            <m:lit/>
            <m:nor/>
          </m:rPr>
          <m:t xml:space="preserve">=</m:t>
        </m:r>
        <m:d>
          <m:dPr>
            <m:begChr m:val="("/>
            <m:endChr m:val=")"/>
          </m:dPr>
          <m:e>
            <m:r>
              <m:t xml:space="preserve">1</m:t>
            </m:r>
            <m:r>
              <m:rPr>
                <m:lit/>
                <m:nor/>
              </m:rPr>
              <m:t xml:space="preserve">-</m:t>
            </m:r>
            <m:r>
              <m:t xml:space="preserve">x</m:t>
            </m:r>
          </m:e>
        </m:d>
        <m:r>
          <m:t xml:space="preserve">p</m:t>
        </m:r>
        <m:d>
          <m:dPr>
            <m:begChr m:val="("/>
            <m:endChr m:val=")"/>
          </m:dPr>
          <m:e>
            <m:f>
              <m:num>
                <m:r>
                  <m:t xml:space="preserve">2</m:t>
                </m:r>
                <m:r>
                  <m:t xml:space="preserve">k</m:t>
                </m:r>
                <m:r>
                  <m:rPr>
                    <m:lit/>
                    <m:nor/>
                  </m:rPr>
                  <m:t xml:space="preserve">-</m:t>
                </m:r>
                <m:r>
                  <m:t xml:space="preserve">2</m:t>
                </m:r>
                <m:r>
                  <m:t xml:space="preserve">p</m:t>
                </m:r>
                <m:r>
                  <m:rPr>
                    <m:lit/>
                    <m:nor/>
                  </m:rPr>
                  <m:t xml:space="preserve">+</m:t>
                </m:r>
                <m:r>
                  <m:t xml:space="preserve">2</m:t>
                </m:r>
                <m:r>
                  <m:t xml:space="preserve">(</m:t>
                </m:r>
                <m:r>
                  <m:t xml:space="preserve">1</m:t>
                </m:r>
                <m:r>
                  <m:rPr>
                    <m:lit/>
                    <m:nor/>
                  </m:rPr>
                  <m:t xml:space="preserve">-</m:t>
                </m:r>
                <m:r>
                  <m:t xml:space="preserve">γ</m:t>
                </m:r>
                <m:r>
                  <m:t xml:space="preserve">)</m:t>
                </m:r>
                <m:r>
                  <m:t xml:space="preserve">r</m:t>
                </m:r>
                <m:r>
                  <m:rPr>
                    <m:lit/>
                    <m:nor/>
                  </m:rPr>
                  <m:t xml:space="preserve">-</m:t>
                </m:r>
                <m:r>
                  <m:t xml:space="preserve">β</m:t>
                </m:r>
                <m:r>
                  <m:t xml:space="preserve">t</m:t>
                </m:r>
                <m:r>
                  <m:rPr>
                    <m:lit/>
                    <m:nor/>
                  </m:rPr>
                  <m:t xml:space="preserve">-</m:t>
                </m:r>
                <m:r>
                  <m:t xml:space="preserve">2</m:t>
                </m:r>
                <m:r>
                  <m:t xml:space="preserve">β</m:t>
                </m:r>
                <m:r>
                  <m:rPr>
                    <m:lit/>
                    <m:nor/>
                  </m:rPr>
                  <m:t xml:space="preserve">+</m:t>
                </m:r>
                <m:r>
                  <m:t xml:space="preserve">2</m:t>
                </m:r>
                <m:r>
                  <m:t xml:space="preserve">p</m:t>
                </m:r>
                <m:r>
                  <m:t xml:space="preserve">x</m:t>
                </m:r>
              </m:num>
              <m:den>
                <m:r>
                  <m:t xml:space="preserve">4</m:t>
                </m:r>
                <m:r>
                  <m:t xml:space="preserve">k</m:t>
                </m:r>
              </m:den>
            </m:f>
          </m:e>
        </m:d>
        <m:r>
          <m:t xml:space="preserve">t</m:t>
        </m:r>
      </m:oMath>
    </w:p>
    <w:p>
      <w:pPr>
        <w:pStyle w:val="Normal"/>
        <w:spacing w:lineRule="auto" w:line="240" w:before="0" w:after="0"/>
        <w:rPr/>
      </w:pPr>
      <w:r>
        <w:rPr/>
        <w:t xml:space="preserve">Taking first order condition (FOC), we get </w:t>
      </w:r>
    </w:p>
    <w:p>
      <w:pPr>
        <w:pStyle w:val="Normal"/>
        <w:spacing w:lineRule="auto" w:line="240" w:before="0" w:after="0"/>
        <w:jc w:val="center"/>
        <w:rPr/>
      </w:pPr>
      <w:r>
        <w:rPr/>
      </w:r>
      <m:oMathPara xmlns:m="http://schemas.openxmlformats.org/officeDocument/2006/math">
        <m:oMathParaPr>
          <m:jc m:val="center"/>
        </m:oMathParaPr>
        <m:oMath>
          <m:f>
            <m:num>
              <m:r>
                <m:t xml:space="preserve">∂</m:t>
              </m:r>
              <m:sSub>
                <m:e>
                  <m:r>
                    <m:t xml:space="preserve">π</m:t>
                  </m:r>
                </m:e>
                <m:sub>
                  <m:r>
                    <m:t xml:space="preserve">2</m:t>
                  </m:r>
                </m:sub>
              </m:sSub>
            </m:num>
            <m:den>
              <m:r>
                <m:t xml:space="preserve">∂</m:t>
              </m:r>
              <m:r>
                <m:t xml:space="preserve">x</m:t>
              </m:r>
            </m:den>
          </m:f>
          <m:r>
            <m:rPr>
              <m:lit/>
              <m:nor/>
            </m:rPr>
            <m:t xml:space="preserve">=</m:t>
          </m:r>
          <m:f>
            <m:num>
              <m:r>
                <m:t xml:space="preserve">p</m:t>
              </m:r>
              <m:r>
                <m:t xml:space="preserve">t</m:t>
              </m:r>
              <m:r>
                <m:t xml:space="preserve">(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2</m:t>
              </m:r>
              <m:r>
                <m:t xml:space="preserve">k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2</m:t>
              </m:r>
              <m:r>
                <m:t xml:space="preserve">(</m:t>
              </m:r>
              <m:r>
                <m:t xml:space="preserve">1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γ</m:t>
              </m:r>
              <m:r>
                <m:t xml:space="preserve">)</m:t>
              </m:r>
              <m:r>
                <m:t xml:space="preserve">r</m:t>
              </m:r>
              <m:r>
                <m:rPr>
                  <m:lit/>
                  <m:nor/>
                </m:rPr>
                <m:t xml:space="preserve">+</m:t>
              </m:r>
              <m:r>
                <m:t xml:space="preserve">tβ</m:t>
              </m:r>
              <m:r>
                <m:rPr>
                  <m:lit/>
                  <m:nor/>
                </m:rPr>
                <m:t xml:space="preserve">+</m:t>
              </m:r>
              <m:r>
                <m:t xml:space="preserve">2</m:t>
              </m:r>
              <m:r>
                <m:t xml:space="preserve">β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4</m:t>
              </m:r>
              <m:r>
                <m:t xml:space="preserve">p</m:t>
              </m:r>
              <m:r>
                <m:t xml:space="preserve">(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1</m:t>
              </m:r>
              <m:r>
                <m:rPr>
                  <m:lit/>
                  <m:nor/>
                </m:rPr>
                <m:t xml:space="preserve">+</m:t>
              </m:r>
              <m:r>
                <m:t xml:space="preserve">x</m:t>
              </m:r>
              <m:r>
                <m:t xml:space="preserve">)</m:t>
              </m:r>
              <m:r>
                <m:t xml:space="preserve">)</m:t>
              </m:r>
            </m:num>
            <m:den>
              <m:r>
                <m:t xml:space="preserve">4</m:t>
              </m:r>
              <m:r>
                <m:t xml:space="preserve">k</m:t>
              </m:r>
            </m:den>
          </m:f>
        </m:oMath>
      </m:oMathPara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 xml:space="preserve">Taking second order condition (SOC), we get </w:t>
      </w:r>
      <w:r>
        <w:rPr/>
      </w:r>
      <m:oMath xmlns:m="http://schemas.openxmlformats.org/officeDocument/2006/math">
        <m:r>
          <m:rPr>
            <m:lit/>
            <m:nor/>
          </m:rPr>
          <m:t xml:space="preserve">-</m:t>
        </m:r>
        <m:f>
          <m:num>
            <m:sSup>
              <m:e>
                <m:r>
                  <m:t xml:space="preserve">p</m:t>
                </m:r>
              </m:e>
              <m:sup>
                <m:r>
                  <m:t xml:space="preserve">2</m:t>
                </m:r>
              </m:sup>
            </m:sSup>
            <m:r>
              <m:t xml:space="preserve">t</m:t>
            </m:r>
          </m:num>
          <m:den>
            <m:r>
              <m:t xml:space="preserve">k</m:t>
            </m:r>
          </m:den>
        </m:f>
        <m:r>
          <m:rPr>
            <m:lit/>
            <m:nor/>
          </m:rPr>
          <m:t xml:space="preserve">&lt;</m:t>
        </m:r>
        <m:r>
          <m:t xml:space="preserve">0</m:t>
        </m:r>
      </m:oMath>
      <w:r>
        <w:rPr/>
        <w:t>.</w:t>
      </w:r>
    </w:p>
    <w:p>
      <w:pPr>
        <w:pStyle w:val="Normal"/>
        <w:spacing w:lineRule="auto" w:line="240" w:before="0" w:after="0"/>
        <w:jc w:val="center"/>
        <w:rPr/>
      </w:pPr>
      <w:r>
        <w:rPr/>
      </w:r>
      <m:oMathPara xmlns:m="http://schemas.openxmlformats.org/officeDocument/2006/math">
        <m:oMathParaPr>
          <m:jc m:val="center"/>
        </m:oMathParaPr>
        <m:oMath>
          <m:sSup>
            <m:e>
              <m:r>
                <m:t xml:space="preserve">x</m:t>
              </m:r>
            </m:e>
            <m:sup>
              <m:r>
                <m:rPr>
                  <m:lit/>
                  <m:nor/>
                </m:rPr>
                <m:t xml:space="preserve">*</m:t>
              </m:r>
            </m:sup>
          </m:sSup>
          <m:r>
            <m:rPr>
              <m:lit/>
              <m:nor/>
            </m:rPr>
            <m:t xml:space="preserve">=</m:t>
          </m:r>
          <m:r>
            <m:t xml:space="preserve">1</m:t>
          </m:r>
          <m:r>
            <m:rPr>
              <m:lit/>
              <m:nor/>
            </m:rPr>
            <m:t xml:space="preserve">-</m:t>
          </m:r>
          <m:f>
            <m:num>
              <m:r>
                <m:t xml:space="preserve">2</m:t>
              </m:r>
              <m:r>
                <m:t xml:space="preserve">k</m:t>
              </m:r>
              <m:r>
                <m:rPr>
                  <m:lit/>
                  <m:nor/>
                </m:rPr>
                <m:t xml:space="preserve">+</m:t>
              </m:r>
              <m:r>
                <m:t xml:space="preserve">2</m:t>
              </m:r>
              <m:r>
                <m:t xml:space="preserve">(</m:t>
              </m:r>
              <m:r>
                <m:t xml:space="preserve">1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γ</m:t>
              </m:r>
              <m:r>
                <m:t xml:space="preserve">)</m:t>
              </m:r>
              <m:r>
                <m:t xml:space="preserve">r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βt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2</m:t>
              </m:r>
              <m:r>
                <m:t xml:space="preserve">β</m:t>
              </m:r>
            </m:num>
            <m:den>
              <m:r>
                <m:t xml:space="preserve">4</m:t>
              </m:r>
              <m:r>
                <m:t xml:space="preserve">p</m:t>
              </m:r>
            </m:den>
          </m:f>
        </m:oMath>
      </m:oMathPara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m:t xml:space="preserve">π</m:t>
              </m:r>
            </m:e>
            <m:sub>
              <m:r>
                <m:t xml:space="preserve">2</m:t>
              </m:r>
            </m:sub>
          </m:sSub>
          <m:r>
            <m:rPr>
              <m:lit/>
              <m:nor/>
            </m:rPr>
            <m:t xml:space="preserve">=</m:t>
          </m:r>
          <m:f>
            <m:num>
              <m:r>
                <m:t xml:space="preserve">t</m:t>
              </m:r>
              <m:sSup>
                <m:e>
                  <m:r>
                    <m:t xml:space="preserve">(</m:t>
                  </m:r>
                  <m:r>
                    <m:t xml:space="preserve">2</m:t>
                  </m:r>
                  <m:r>
                    <m:t xml:space="preserve">k</m:t>
                  </m:r>
                  <m:r>
                    <m:rPr>
                      <m:lit/>
                      <m:nor/>
                    </m:rPr>
                    <m:t xml:space="preserve">+</m:t>
                  </m:r>
                  <m:r>
                    <m:t xml:space="preserve">2</m:t>
                  </m:r>
                  <m:r>
                    <m:t xml:space="preserve">(</m:t>
                  </m:r>
                  <m:r>
                    <m:t xml:space="preserve">1</m:t>
                  </m:r>
                  <m:r>
                    <m:rPr>
                      <m:lit/>
                      <m:nor/>
                    </m:rPr>
                    <m:t xml:space="preserve">-</m:t>
                  </m:r>
                  <m:r>
                    <m:t xml:space="preserve">γ</m:t>
                  </m:r>
                  <m:r>
                    <m:t xml:space="preserve">)</m:t>
                  </m:r>
                  <m:r>
                    <m:t xml:space="preserve">r</m:t>
                  </m:r>
                  <m:r>
                    <m:rPr>
                      <m:lit/>
                      <m:nor/>
                    </m:rPr>
                    <m:t xml:space="preserve">-</m:t>
                  </m:r>
                  <m:r>
                    <m:t xml:space="preserve">β</m:t>
                  </m:r>
                  <m:r>
                    <m:t xml:space="preserve">(</m:t>
                  </m:r>
                  <m:r>
                    <m:t xml:space="preserve">t</m:t>
                  </m:r>
                  <m:r>
                    <m:rPr>
                      <m:lit/>
                      <m:nor/>
                    </m:rPr>
                    <m:t xml:space="preserve">+</m:t>
                  </m:r>
                  <m:r>
                    <m:t xml:space="preserve">2</m:t>
                  </m:r>
                  <m:r>
                    <m:t xml:space="preserve">)</m:t>
                  </m:r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num>
            <m:den>
              <m:r>
                <m:t xml:space="preserve">32</m:t>
              </m:r>
              <m:r>
                <m:t xml:space="preserve">k</m:t>
              </m:r>
            </m:den>
          </m:f>
        </m:oMath>
      </m:oMathPara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 xml:space="preserve">Then we check the optimal discount duration. In the regular-price period, </w:t>
      </w:r>
      <w:r>
        <w:rPr/>
      </w:r>
      <m:oMath xmlns:m="http://schemas.openxmlformats.org/officeDocument/2006/math">
        <m:r>
          <m:t xml:space="preserve">v</m:t>
        </m:r>
        <m:r>
          <m:rPr>
            <m:lit/>
            <m:nor/>
          </m:rPr>
          <m:t xml:space="preserve">-</m:t>
        </m:r>
        <m:r>
          <m:t xml:space="preserve">kθ</m:t>
        </m:r>
        <m:r>
          <m:rPr>
            <m:lit/>
            <m:nor/>
          </m:rPr>
          <m:t xml:space="preserve">-</m:t>
        </m:r>
        <m:r>
          <m:t xml:space="preserve">p</m:t>
        </m:r>
        <m:r>
          <m:rPr>
            <m:lit/>
            <m:nor/>
          </m:rPr>
          <m:t xml:space="preserve">=</m:t>
        </m:r>
        <m:r>
          <m:rPr>
            <m:lit/>
            <m:nor/>
          </m:rPr>
          <m:t xml:space="preserve"> </m:t>
        </m:r>
        <m:r>
          <m:t xml:space="preserve">v</m:t>
        </m:r>
        <m:r>
          <m:rPr>
            <m:lit/>
            <m:nor/>
          </m:rPr>
          <m:t xml:space="preserve">-</m:t>
        </m:r>
        <m:r>
          <m:t xml:space="preserve">k</m:t>
        </m:r>
        <m:r>
          <m:t xml:space="preserve">(</m:t>
        </m:r>
        <m:r>
          <m:t xml:space="preserve">1</m:t>
        </m:r>
        <m:r>
          <m:rPr>
            <m:lit/>
            <m:nor/>
          </m:rPr>
          <m:t xml:space="preserve">-</m:t>
        </m:r>
        <m:r>
          <m:t xml:space="preserve">θ</m:t>
        </m:r>
        <m:r>
          <m:t xml:space="preserve">)</m:t>
        </m:r>
        <m:r>
          <m:rPr>
            <m:lit/>
            <m:nor/>
          </m:rPr>
          <m:t xml:space="preserve">-</m:t>
        </m:r>
        <m:r>
          <m:t xml:space="preserve">r</m:t>
        </m:r>
      </m:oMath>
      <w:r>
        <w:rPr/>
        <w:t xml:space="preserve">, so </w:t>
      </w:r>
      <w:r>
        <w:rPr/>
      </w:r>
      <m:oMath xmlns:m="http://schemas.openxmlformats.org/officeDocument/2006/math">
        <m:r>
          <m:t xml:space="preserve">θ</m:t>
        </m:r>
        <m:r>
          <m:rPr>
            <m:lit/>
            <m:nor/>
          </m:rPr>
          <m:t xml:space="preserve">=</m:t>
        </m:r>
        <m:f>
          <m:num>
            <m:r>
              <m:t xml:space="preserve">k</m:t>
            </m:r>
            <m:r>
              <m:rPr>
                <m:lit/>
                <m:nor/>
              </m:rPr>
              <m:t xml:space="preserve">-</m:t>
            </m:r>
            <m:r>
              <m:t xml:space="preserve">p</m:t>
            </m:r>
            <m:r>
              <m:rPr>
                <m:lit/>
                <m:nor/>
              </m:rPr>
              <m:t xml:space="preserve">+</m:t>
            </m:r>
            <m:r>
              <m:t xml:space="preserve">r</m:t>
            </m:r>
          </m:num>
          <m:den>
            <m:r>
              <m:t xml:space="preserve">2</m:t>
            </m:r>
            <m:r>
              <m:t xml:space="preserve">k</m:t>
            </m:r>
          </m:den>
        </m:f>
        <m:r>
          <m:t xml:space="preserve">.</m:t>
        </m:r>
      </m:oMath>
    </w:p>
    <w:p>
      <w:pPr>
        <w:pStyle w:val="Normal"/>
        <w:spacing w:lineRule="auto" w:line="240" w:before="0" w:after="0"/>
        <w:jc w:val="center"/>
        <w:rPr/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m:t xml:space="preserve">π</m:t>
              </m:r>
            </m:e>
            <m:sub>
              <m:r>
                <m:t xml:space="preserve">1</m:t>
              </m:r>
            </m:sub>
          </m:sSub>
          <m:r>
            <m:rPr>
              <m:lit/>
              <m:nor/>
            </m:rPr>
            <m:t xml:space="preserve">=</m:t>
          </m:r>
          <m:r>
            <m:t xml:space="preserve">p</m:t>
          </m:r>
          <m:d>
            <m:dPr>
              <m:begChr m:val="("/>
              <m:endChr m:val=")"/>
            </m:dPr>
            <m:e>
              <m:f>
                <m:num>
                  <m:r>
                    <m:t xml:space="preserve">(</m:t>
                  </m:r>
                  <m:r>
                    <m:t xml:space="preserve">k</m:t>
                  </m:r>
                  <m:r>
                    <m:rPr>
                      <m:lit/>
                      <m:nor/>
                    </m:rPr>
                    <m:t xml:space="preserve">-</m:t>
                  </m:r>
                  <m:r>
                    <m:t xml:space="preserve">p</m:t>
                  </m:r>
                  <m:r>
                    <m:rPr>
                      <m:lit/>
                      <m:nor/>
                    </m:rPr>
                    <m:t xml:space="preserve">+</m:t>
                  </m:r>
                  <m:r>
                    <m:t xml:space="preserve">r</m:t>
                  </m:r>
                  <m:r>
                    <m:t xml:space="preserve">)</m:t>
                  </m:r>
                </m:num>
                <m:den>
                  <m:r>
                    <m:t xml:space="preserve">2</m:t>
                  </m:r>
                  <m:r>
                    <m:t xml:space="preserve">k</m:t>
                  </m:r>
                </m:den>
              </m:f>
            </m:e>
          </m:d>
        </m:oMath>
      </m:oMathPara>
    </w:p>
    <w:p>
      <w:pPr>
        <w:pStyle w:val="Normal"/>
        <w:spacing w:lineRule="auto" w:line="240" w:before="0" w:after="0"/>
        <w:rPr/>
      </w:pPr>
      <w:r>
        <w:rPr/>
        <w:t xml:space="preserve">Let </w:t>
      </w:r>
      <w:r>
        <w:rPr/>
      </w:r>
      <m:oMath xmlns:m="http://schemas.openxmlformats.org/officeDocument/2006/math">
        <m:r>
          <m:t xml:space="preserve">π</m:t>
        </m:r>
        <m:r>
          <m:rPr>
            <m:lit/>
            <m:nor/>
          </m:rPr>
          <m:t xml:space="preserve">=</m:t>
        </m:r>
        <m:sSub>
          <m:e>
            <m:r>
              <m:t xml:space="preserve">π</m:t>
            </m:r>
          </m:e>
          <m:sub>
            <m:r>
              <m:t xml:space="preserve">1</m:t>
            </m:r>
          </m:sub>
        </m:sSub>
        <m:r>
          <m:rPr>
            <m:lit/>
            <m:nor/>
          </m:rPr>
          <m:t xml:space="preserve">+</m:t>
        </m:r>
        <m:sSub>
          <m:e>
            <m:r>
              <m:t xml:space="preserve">π</m:t>
            </m:r>
          </m:e>
          <m:sub>
            <m:r>
              <m:t xml:space="preserve">2</m:t>
            </m:r>
          </m:sub>
        </m:sSub>
      </m:oMath>
      <w:r>
        <w:rPr/>
        <w:t>. Taking first order condition (FOC),</w:t>
      </w:r>
    </w:p>
    <w:p>
      <w:pPr>
        <w:pStyle w:val="Normal"/>
        <w:spacing w:lineRule="auto" w:line="240" w:before="0" w:after="0"/>
        <w:jc w:val="center"/>
        <w:rPr/>
      </w:pPr>
      <w:r>
        <w:rPr/>
      </w:r>
      <m:oMathPara xmlns:m="http://schemas.openxmlformats.org/officeDocument/2006/math">
        <m:oMathParaPr>
          <m:jc m:val="center"/>
        </m:oMathParaPr>
        <m:oMath>
          <m:f>
            <m:num>
              <m:r>
                <m:t xml:space="preserve">∂</m:t>
              </m:r>
              <m:r>
                <m:t xml:space="preserve">π</m:t>
              </m:r>
            </m:num>
            <m:den>
              <m:r>
                <m:t xml:space="preserve">∂</m:t>
              </m:r>
              <m:r>
                <m:t xml:space="preserve">t</m:t>
              </m:r>
            </m:den>
          </m:f>
          <m:r>
            <m:rPr>
              <m:lit/>
              <m:nor/>
            </m:rPr>
            <m:t xml:space="preserve">=</m:t>
          </m:r>
          <m:r>
            <m:rPr>
              <m:lit/>
              <m:nor/>
            </m:rPr>
            <m:t xml:space="preserve">-</m:t>
          </m:r>
          <m:f>
            <m:num>
              <m:r>
                <m:t xml:space="preserve">βt</m:t>
              </m:r>
              <m:r>
                <m:t xml:space="preserve">(</m:t>
              </m:r>
              <m:r>
                <m:t xml:space="preserve">2</m:t>
              </m:r>
              <m:r>
                <m:t xml:space="preserve">k</m:t>
              </m:r>
              <m:r>
                <m:rPr>
                  <m:lit/>
                  <m:nor/>
                </m:rPr>
                <m:t xml:space="preserve">+</m:t>
              </m:r>
              <m:r>
                <m:t xml:space="preserve">2</m:t>
              </m:r>
              <m:r>
                <m:t xml:space="preserve">(</m:t>
              </m:r>
              <m:r>
                <m:t xml:space="preserve">1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γ</m:t>
              </m:r>
              <m:r>
                <m:t xml:space="preserve">)</m:t>
              </m:r>
              <m:r>
                <m:t xml:space="preserve">r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β</m:t>
              </m:r>
              <m:r>
                <m:t xml:space="preserve">(</m:t>
              </m:r>
              <m:r>
                <m:t xml:space="preserve">t</m:t>
              </m:r>
              <m:r>
                <m:rPr>
                  <m:lit/>
                  <m:nor/>
                </m:rPr>
                <m:t xml:space="preserve">+</m:t>
              </m:r>
              <m:r>
                <m:t xml:space="preserve">2</m:t>
              </m:r>
              <m:r>
                <m:t xml:space="preserve">)</m:t>
              </m:r>
              <m:r>
                <m:t xml:space="preserve">)</m:t>
              </m:r>
            </m:num>
            <m:den>
              <m:r>
                <m:t xml:space="preserve">16</m:t>
              </m:r>
              <m:r>
                <m:t xml:space="preserve">k</m:t>
              </m:r>
            </m:den>
          </m:f>
          <m:r>
            <m:rPr>
              <m:lit/>
              <m:nor/>
            </m:rPr>
            <m:t xml:space="preserve">+</m:t>
          </m:r>
          <m:f>
            <m:num>
              <m:sSup>
                <m:e>
                  <m:r>
                    <m:t xml:space="preserve">(</m:t>
                  </m:r>
                  <m:r>
                    <m:t xml:space="preserve">2</m:t>
                  </m:r>
                  <m:r>
                    <m:t xml:space="preserve">k</m:t>
                  </m:r>
                  <m:r>
                    <m:rPr>
                      <m:lit/>
                      <m:nor/>
                    </m:rPr>
                    <m:t xml:space="preserve">+</m:t>
                  </m:r>
                  <m:r>
                    <m:t xml:space="preserve">2</m:t>
                  </m:r>
                  <m:r>
                    <m:t xml:space="preserve">(</m:t>
                  </m:r>
                  <m:r>
                    <m:t xml:space="preserve">1</m:t>
                  </m:r>
                  <m:r>
                    <m:rPr>
                      <m:lit/>
                      <m:nor/>
                    </m:rPr>
                    <m:t xml:space="preserve">-</m:t>
                  </m:r>
                  <m:r>
                    <m:t xml:space="preserve">)</m:t>
                  </m:r>
                  <m:r>
                    <m:t xml:space="preserve">γ</m:t>
                  </m:r>
                  <m:r>
                    <m:t xml:space="preserve">r</m:t>
                  </m:r>
                  <m:r>
                    <m:rPr>
                      <m:lit/>
                      <m:nor/>
                    </m:rPr>
                    <m:t xml:space="preserve">-</m:t>
                  </m:r>
                  <m:r>
                    <m:t xml:space="preserve">β</m:t>
                  </m:r>
                  <m:r>
                    <m:t xml:space="preserve">(</m:t>
                  </m:r>
                  <m:r>
                    <m:t xml:space="preserve">t</m:t>
                  </m:r>
                  <m:r>
                    <m:rPr>
                      <m:lit/>
                      <m:nor/>
                    </m:rPr>
                    <m:t xml:space="preserve">+</m:t>
                  </m:r>
                  <m:r>
                    <m:t xml:space="preserve">2</m:t>
                  </m:r>
                  <m:r>
                    <m:t xml:space="preserve">)</m:t>
                  </m:r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num>
            <m:den>
              <m:r>
                <m:t xml:space="preserve">32</m:t>
              </m:r>
              <m:r>
                <m:t xml:space="preserve">k</m:t>
              </m:r>
            </m:den>
          </m:f>
          <m:r>
            <m:rPr>
              <m:lit/>
              <m:nor/>
            </m:rPr>
            <m:t xml:space="preserve">=</m:t>
          </m:r>
          <m:r>
            <m:t xml:space="preserve">0</m:t>
          </m:r>
        </m:oMath>
      </m:oMathPara>
    </w:p>
    <w:p>
      <w:pPr>
        <w:pStyle w:val="Normal"/>
        <w:spacing w:lineRule="auto" w:line="240" w:before="0" w:after="0"/>
        <w:jc w:val="center"/>
        <w:rPr/>
      </w:pPr>
      <w:bookmarkStart w:id="1" w:name="_Hlk175581935"/>
      <w:r>
        <w:rPr/>
      </w:r>
      <m:oMathPara xmlns:m="http://schemas.openxmlformats.org/officeDocument/2006/math">
        <m:oMathParaPr>
          <m:jc m:val="center"/>
        </m:oMathParaPr>
        <m:oMath>
          <m:sSup>
            <m:e>
              <m:r>
                <m:t xml:space="preserve">t</m:t>
              </m:r>
            </m:e>
            <m:sup>
              <m:r>
                <m:rPr>
                  <m:lit/>
                  <m:nor/>
                </m:rPr>
                <m:t xml:space="preserve">*</m:t>
              </m:r>
            </m:sup>
          </m:sSup>
          <m:r>
            <m:rPr>
              <m:lit/>
              <m:nor/>
            </m:rPr>
            <m:t xml:space="preserve">=</m:t>
          </m:r>
          <m:f>
            <m:num>
              <m:r>
                <m:t xml:space="preserve">2</m:t>
              </m:r>
              <m:r>
                <m:t xml:space="preserve">(</m:t>
              </m:r>
              <m:r>
                <m:t xml:space="preserve">k</m:t>
              </m:r>
              <m:r>
                <m:rPr>
                  <m:lit/>
                  <m:nor/>
                </m:rPr>
                <m:t xml:space="preserve">+</m:t>
              </m:r>
              <m:r>
                <m:t xml:space="preserve">(</m:t>
              </m:r>
              <m:r>
                <m:t xml:space="preserve">1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γ</m:t>
              </m:r>
              <m:r>
                <m:t xml:space="preserve">)</m:t>
              </m:r>
              <m:r>
                <m:t xml:space="preserve">r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β</m:t>
              </m:r>
              <m:r>
                <m:t xml:space="preserve">)</m:t>
              </m:r>
            </m:num>
            <m:den>
              <m:r>
                <m:t xml:space="preserve">3</m:t>
              </m:r>
              <m:r>
                <m:t xml:space="preserve">β</m:t>
              </m:r>
            </m:den>
          </m:f>
        </m:oMath>
      </m:oMathPara>
      <w:bookmarkEnd w:id="1"/>
    </w:p>
    <w:p>
      <w:pPr>
        <w:pStyle w:val="Normal"/>
        <w:spacing w:lineRule="auto" w:line="240" w:before="0" w:after="0"/>
        <w:rPr/>
      </w:pPr>
      <w:r>
        <w:rPr/>
        <w:t>Then we update the optimal discount size with optimal discount duration</w:t>
      </w:r>
    </w:p>
    <w:p>
      <w:pPr>
        <w:pStyle w:val="Normal"/>
        <w:spacing w:lineRule="auto" w:line="240" w:before="0" w:after="0"/>
        <w:jc w:val="center"/>
        <w:rPr/>
      </w:pPr>
      <w:r>
        <w:rPr/>
      </w:r>
      <m:oMathPara xmlns:m="http://schemas.openxmlformats.org/officeDocument/2006/math">
        <m:oMathParaPr>
          <m:jc m:val="center"/>
        </m:oMathParaPr>
        <m:oMath>
          <m:sSup>
            <m:e>
              <m:r>
                <m:t xml:space="preserve">x</m:t>
              </m:r>
            </m:e>
            <m:sup>
              <m:r>
                <m:rPr>
                  <m:lit/>
                  <m:nor/>
                </m:rPr>
                <m:t xml:space="preserve">*</m:t>
              </m:r>
            </m:sup>
          </m:sSup>
          <m:r>
            <m:rPr>
              <m:lit/>
              <m:nor/>
            </m:rPr>
            <m:t xml:space="preserve">=</m:t>
          </m:r>
          <m:r>
            <m:t xml:space="preserve">1</m:t>
          </m:r>
          <m:r>
            <m:rPr>
              <m:lit/>
              <m:nor/>
            </m:rPr>
            <m:t xml:space="preserve">-</m:t>
          </m:r>
          <m:f>
            <m:num>
              <m:r>
                <m:t xml:space="preserve">k</m:t>
              </m:r>
              <m:r>
                <m:rPr>
                  <m:lit/>
                  <m:nor/>
                </m:rPr>
                <m:t xml:space="preserve">+</m:t>
              </m:r>
              <m:r>
                <m:t xml:space="preserve">(</m:t>
              </m:r>
              <m:r>
                <m:t xml:space="preserve">1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γ</m:t>
              </m:r>
              <m:r>
                <m:t xml:space="preserve">)</m:t>
              </m:r>
              <m:r>
                <m:t xml:space="preserve">r</m:t>
              </m:r>
              <m:r>
                <m:rPr>
                  <m:lit/>
                  <m:nor/>
                </m:rPr>
                <m:t xml:space="preserve">-</m:t>
              </m:r>
              <m:r>
                <m:t xml:space="preserve">β</m:t>
              </m:r>
            </m:num>
            <m:den>
              <m:r>
                <m:t xml:space="preserve">3</m:t>
              </m:r>
              <m:r>
                <m:t xml:space="preserve">p</m:t>
              </m:r>
            </m:den>
          </m:f>
        </m:oMath>
      </m:oMathPara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/>
      </w:pPr>
      <w:r>
        <w:rPr/>
        <w:t xml:space="preserve">In addition, to make sure </w:t>
      </w:r>
      <w:r>
        <w:rPr/>
      </w:r>
      <m:oMath xmlns:m="http://schemas.openxmlformats.org/officeDocument/2006/math">
        <m:r>
          <m:t xml:space="preserve">0</m:t>
        </m:r>
        <m:r>
          <m:rPr>
            <m:lit/>
            <m:nor/>
          </m:rPr>
          <m:t xml:space="preserve">&lt;</m:t>
        </m:r>
        <m:sSup>
          <m:e>
            <m:r>
              <m:t xml:space="preserve">x</m:t>
            </m:r>
          </m:e>
          <m:sup>
            <m:r>
              <m:rPr>
                <m:lit/>
                <m:nor/>
              </m:rPr>
              <m:t xml:space="preserve">*</m:t>
            </m:r>
          </m:sup>
        </m:sSup>
        <m:r>
          <m:rPr>
            <m:lit/>
            <m:nor/>
          </m:rPr>
          <m:t xml:space="preserve">=</m:t>
        </m:r>
        <m:r>
          <m:t xml:space="preserve">1</m:t>
        </m:r>
        <m:r>
          <m:rPr>
            <m:lit/>
            <m:nor/>
          </m:rPr>
          <m:t xml:space="preserve">-</m:t>
        </m:r>
        <m:f>
          <m:num>
            <m:r>
              <m:t xml:space="preserve">k</m:t>
            </m:r>
            <m:r>
              <m:rPr>
                <m:lit/>
                <m:nor/>
              </m:rPr>
              <m:t xml:space="preserve">+</m:t>
            </m:r>
            <m:r>
              <m:t xml:space="preserve">(</m:t>
            </m:r>
            <m:r>
              <m:t xml:space="preserve">1</m:t>
            </m:r>
            <m:r>
              <m:rPr>
                <m:lit/>
                <m:nor/>
              </m:rPr>
              <m:t xml:space="preserve">-</m:t>
            </m:r>
            <m:r>
              <m:t xml:space="preserve">γ</m:t>
            </m:r>
            <m:r>
              <m:t xml:space="preserve">)</m:t>
            </m:r>
            <m:r>
              <m:t xml:space="preserve">r</m:t>
            </m:r>
            <m:r>
              <m:rPr>
                <m:lit/>
                <m:nor/>
              </m:rPr>
              <m:t xml:space="preserve">-</m:t>
            </m:r>
            <m:r>
              <m:t xml:space="preserve">β</m:t>
            </m:r>
          </m:num>
          <m:den>
            <m:r>
              <m:t xml:space="preserve">3</m:t>
            </m:r>
            <m:r>
              <m:t xml:space="preserve">p</m:t>
            </m:r>
          </m:den>
        </m:f>
        <m:r>
          <m:rPr>
            <m:lit/>
            <m:nor/>
          </m:rPr>
          <m:t xml:space="preserve">&lt;</m:t>
        </m:r>
        <m:r>
          <m:t xml:space="preserve">1</m:t>
        </m:r>
      </m:oMath>
      <w:r>
        <w:rPr/>
        <w:t xml:space="preserve">, we need to have </w:t>
      </w:r>
    </w:p>
    <w:p>
      <w:pPr>
        <w:pStyle w:val="Normal"/>
        <w:jc w:val="center"/>
        <w:rPr/>
      </w:pPr>
      <w:r>
        <w:rPr/>
      </w:r>
      <m:oMathPara xmlns:m="http://schemas.openxmlformats.org/officeDocument/2006/math">
        <m:oMathParaPr>
          <m:jc m:val="center"/>
        </m:oMathParaPr>
        <m:oMath>
          <m:r>
            <m:t xml:space="preserve">β</m:t>
          </m:r>
          <m:r>
            <m:rPr>
              <m:lit/>
              <m:nor/>
            </m:rPr>
            <m:t xml:space="preserve">-</m:t>
          </m:r>
          <m:r>
            <m:t xml:space="preserve">k</m:t>
          </m:r>
          <m:r>
            <m:rPr>
              <m:lit/>
              <m:nor/>
            </m:rPr>
            <m:t xml:space="preserve">&lt;</m:t>
          </m:r>
          <m:r>
            <m:t xml:space="preserve">(</m:t>
          </m:r>
          <m:r>
            <m:t xml:space="preserve">1</m:t>
          </m:r>
          <m:r>
            <m:rPr>
              <m:lit/>
              <m:nor/>
            </m:rPr>
            <m:t xml:space="preserve">-</m:t>
          </m:r>
          <m:r>
            <m:t xml:space="preserve">γ</m:t>
          </m:r>
          <m:r>
            <m:t xml:space="preserve">)</m:t>
          </m:r>
          <m:r>
            <m:t xml:space="preserve">r</m:t>
          </m:r>
          <m:r>
            <m:rPr>
              <m:lit/>
              <m:nor/>
            </m:rPr>
            <m:t xml:space="preserve">&lt;</m:t>
          </m:r>
          <m:r>
            <m:t xml:space="preserve">β</m:t>
          </m:r>
          <m:r>
            <m:rPr>
              <m:lit/>
              <m:nor/>
            </m:rPr>
            <m:t xml:space="preserve">-</m:t>
          </m:r>
          <m:r>
            <m:t xml:space="preserve">k</m:t>
          </m:r>
          <m:r>
            <m:rPr>
              <m:lit/>
              <m:nor/>
            </m:rPr>
            <m:t xml:space="preserve">+</m:t>
          </m:r>
          <m:r>
            <m:t xml:space="preserve">3</m:t>
          </m:r>
          <m:r>
            <m:t xml:space="preserve">p</m:t>
          </m:r>
        </m:oMath>
      </m:oMathPara>
    </w:p>
    <w:p>
      <w:pPr>
        <w:pStyle w:val="Normal"/>
        <w:spacing w:lineRule="auto" w:line="240" w:before="0" w:after="0"/>
        <w:rPr>
          <w:rStyle w:val="PageNumber"/>
        </w:rPr>
      </w:pPr>
      <w:r>
        <w:rPr>
          <w:rStyle w:val="PageNumber"/>
        </w:rPr>
        <w:t xml:space="preserve">The first inequality implies that it will not be beneficial to offer discount when the well-known competitor will certainly respond with a deep discount. The second inequality suggests that when the regular price gap is already overly wide, offering a discount my not attract consumers.  </w:t>
      </w:r>
    </w:p>
    <w:p>
      <w:pPr>
        <w:pStyle w:val="Normal"/>
        <w:spacing w:before="0" w:after="0"/>
        <w:rPr/>
      </w:pPr>
      <w:r>
        <w:rPr/>
      </w:r>
    </w:p>
    <w:p>
      <w:pPr>
        <w:pStyle w:val="Text"/>
        <w:spacing w:lineRule="auto" w:line="240" w:before="0" w:after="0"/>
        <w:rPr>
          <w:b/>
        </w:rPr>
      </w:pPr>
      <w:r>
        <w:rPr>
          <w:b/>
        </w:rPr>
        <w:t>Proof of Proposition 2. (Impact of discount size factor of well-known retailer)</w:t>
      </w:r>
    </w:p>
    <w:p>
      <w:pPr>
        <w:pStyle w:val="Text"/>
        <w:spacing w:lineRule="auto" w:line="240" w:before="0" w:after="0"/>
        <w:rPr>
          <w:b/>
          <w:lang w:val="en-GB"/>
        </w:rPr>
      </w:pPr>
      <w:r>
        <w:rPr>
          <w:lang w:val="en-GB"/>
        </w:rPr>
        <w:t>Taking first order condition of optimal discount size, we get</w:t>
      </w:r>
    </w:p>
    <w:p>
      <w:pPr>
        <w:pStyle w:val="Text"/>
        <w:spacing w:lineRule="auto" w:line="240" w:before="0" w:after="0"/>
        <w:jc w:val="center"/>
        <w:rPr/>
      </w:pPr>
      <w:r>
        <w:rPr/>
      </w:r>
      <m:oMathPara xmlns:m="http://schemas.openxmlformats.org/officeDocument/2006/math">
        <m:oMathParaPr>
          <m:jc m:val="center"/>
        </m:oMathParaPr>
        <m:oMath>
          <m:f>
            <m:num>
              <m:r>
                <m:t xml:space="preserve">∂</m:t>
              </m:r>
              <m:sSup>
                <m:e>
                  <m:r>
                    <m:t xml:space="preserve">x</m:t>
                  </m:r>
                </m:e>
                <m:sup>
                  <m:r>
                    <m:rPr>
                      <m:lit/>
                      <m:nor/>
                    </m:rPr>
                    <m:t xml:space="preserve">*</m:t>
                  </m:r>
                </m:sup>
              </m:sSup>
            </m:num>
            <m:den>
              <m:r>
                <m:t xml:space="preserve">∂</m:t>
              </m:r>
              <m:r>
                <m:t xml:space="preserve">γ</m:t>
              </m:r>
            </m:den>
          </m:f>
          <m:r>
            <m:rPr>
              <m:lit/>
              <m:nor/>
            </m:rPr>
            <m:t xml:space="preserve">=</m:t>
          </m:r>
          <m:f>
            <m:num>
              <m:r>
                <m:t xml:space="preserve">r</m:t>
              </m:r>
            </m:num>
            <m:den>
              <m:r>
                <m:t xml:space="preserve">3</m:t>
              </m:r>
              <m:r>
                <m:t xml:space="preserve">p</m:t>
              </m:r>
            </m:den>
          </m:f>
          <m:r>
            <m:rPr>
              <m:lit/>
              <m:nor/>
            </m:rPr>
            <m:t xml:space="preserve">&gt;</m:t>
          </m:r>
          <m:r>
            <m:t xml:space="preserve">0</m:t>
          </m:r>
        </m:oMath>
      </m:oMathPara>
    </w:p>
    <w:p>
      <w:pPr>
        <w:pStyle w:val="Text"/>
        <w:spacing w:lineRule="auto" w:line="240" w:before="0" w:after="0"/>
        <w:rPr>
          <w:lang w:val="en-GB"/>
        </w:rPr>
      </w:pPr>
      <w:r>
        <w:rPr>
          <w:lang w:val="en-GB"/>
        </w:rPr>
        <w:t>Taking first order condition of optimal discount duration, we get</w:t>
      </w:r>
    </w:p>
    <w:p>
      <w:pPr>
        <w:pStyle w:val="Text"/>
        <w:spacing w:lineRule="auto" w:line="240" w:before="0" w:after="0"/>
        <w:jc w:val="center"/>
        <w:rPr>
          <w:lang w:val="en-GB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f>
            <m:num>
              <m:r>
                <m:t xml:space="preserve">∂</m:t>
              </m:r>
              <m:sSup>
                <m:e>
                  <m:r>
                    <m:t xml:space="preserve">t</m:t>
                  </m:r>
                </m:e>
                <m:sup>
                  <m:r>
                    <m:rPr>
                      <m:lit/>
                      <m:nor/>
                    </m:rPr>
                    <m:t xml:space="preserve">*</m:t>
                  </m:r>
                </m:sup>
              </m:sSup>
            </m:num>
            <m:den>
              <m:r>
                <m:t xml:space="preserve">∂</m:t>
              </m:r>
              <m:r>
                <m:t xml:space="preserve">γ</m:t>
              </m:r>
            </m:den>
          </m:f>
          <m:r>
            <m:rPr>
              <m:lit/>
              <m:nor/>
            </m:rPr>
            <m:t xml:space="preserve">=</m:t>
          </m:r>
          <m:r>
            <m:rPr>
              <m:lit/>
              <m:nor/>
            </m:rPr>
            <m:t xml:space="preserve">-</m:t>
          </m:r>
          <m:f>
            <m:num>
              <m:r>
                <m:t xml:space="preserve">r</m:t>
              </m:r>
            </m:num>
            <m:den>
              <m:r>
                <m:t xml:space="preserve">3</m:t>
              </m:r>
              <m:r>
                <m:t xml:space="preserve">β</m:t>
              </m:r>
            </m:den>
          </m:f>
          <m:r>
            <m:rPr>
              <m:lit/>
              <m:nor/>
            </m:rPr>
            <m:t xml:space="preserve">&lt;</m:t>
          </m:r>
          <m:r>
            <m:t xml:space="preserve">0</m:t>
          </m:r>
        </m:oMath>
      </m:oMathPara>
    </w:p>
    <w:sectPr>
      <w:headerReference w:type="even" r:id="rId2"/>
      <w:footerReference w:type="even" r:id="rId3"/>
      <w:type w:val="nextPage"/>
      <w:pgSz w:w="11906" w:h="16838"/>
      <w:pgMar w:left="1418" w:right="1418" w:gutter="0" w:header="0" w:top="680" w:footer="0" w:bottom="45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Palatino Linotype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2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20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embedSystemFonts/>
  <w:defaultTabStop w:val="708"/>
  <w:autoHyphenation w:val="true"/>
  <w:doNotHyphenateCaps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zh-CN" w:bidi=""/>
  <w:docVars>
    <w:docVar w:name="dgnword-docGUID" w:val="{C3BEEA58-030B-4903-BFFF-80DA1E2267E6}"/>
    <w:docVar w:name="dgnword-eventsink" w:val="447979232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等线" w:cs="Times New Roman" w:eastAsiaTheme="minorEastAsia"/>
        <w:lang w:val="de-DE" w:eastAsia="de-DE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480" w:before="0" w:after="120"/>
      <w:jc w:val="start"/>
    </w:pPr>
    <w:rPr>
      <w:rFonts w:ascii="Times New Roman" w:hAnsi="Times New Roman" w:eastAsia="等线" w:cs="Times New Roman" w:eastAsiaTheme="minorEastAsia"/>
      <w:color w:val="auto"/>
      <w:kern w:val="0"/>
      <w:sz w:val="20"/>
      <w:szCs w:val="20"/>
      <w:lang w:val="en-GB" w:eastAsia="ko-KR" w:bidi="ar-SA"/>
    </w:rPr>
  </w:style>
  <w:style w:type="paragraph" w:styleId="Heading1">
    <w:name w:val="heading 1"/>
    <w:basedOn w:val="berschrift11"/>
    <w:next w:val="Text"/>
    <w:qFormat/>
    <w:pPr>
      <w:outlineLvl w:val="0"/>
    </w:pPr>
    <w:rPr/>
  </w:style>
  <w:style w:type="paragraph" w:styleId="Heading2">
    <w:name w:val="heading 2"/>
    <w:basedOn w:val="berschrift21"/>
    <w:next w:val="Text"/>
    <w:qFormat/>
    <w:pPr>
      <w:outlineLvl w:val="1"/>
    </w:pPr>
    <w:rPr/>
  </w:style>
  <w:style w:type="paragraph" w:styleId="Heading3">
    <w:name w:val="heading 3"/>
    <w:basedOn w:val="berschrift31"/>
    <w:next w:val="Text"/>
    <w:qFormat/>
    <w:pPr>
      <w:outlineLvl w:val="2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Pr/>
  </w:style>
  <w:style w:type="character" w:styleId="Hyperlink">
    <w:name w:val="Hyperlink"/>
    <w:rsid w:val="00d654df"/>
    <w:rPr>
      <w:color w:val="0563C1"/>
      <w:u w:val="single"/>
    </w:rPr>
  </w:style>
  <w:style w:type="character" w:styleId="Emphasis">
    <w:name w:val="Emphasis"/>
    <w:basedOn w:val="DefaultParagraphFont"/>
    <w:qFormat/>
    <w:rsid w:val="001d19a7"/>
    <w:rPr>
      <w:i/>
      <w:iCs/>
    </w:rPr>
  </w:style>
  <w:style w:type="character" w:styleId="BalloonTextChar" w:customStyle="1">
    <w:name w:val="Balloon Text Char"/>
    <w:basedOn w:val="DefaultParagraphFont"/>
    <w:link w:val="BalloonText"/>
    <w:qFormat/>
    <w:rsid w:val="00876c1b"/>
    <w:rPr>
      <w:rFonts w:ascii="Segoe UI" w:hAnsi="Segoe UI" w:cs="Segoe UI"/>
      <w:sz w:val="18"/>
      <w:szCs w:val="18"/>
      <w:lang w:val="en-GB" w:eastAsia="ko-K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22d05"/>
    <w:rPr>
      <w:color w:val="605E5C"/>
      <w:shd w:fill="E1DFDD" w:val="clear"/>
    </w:rPr>
  </w:style>
  <w:style w:type="character" w:styleId="PlaceholderText">
    <w:name w:val="Placeholder Text"/>
    <w:basedOn w:val="DefaultParagraphFont"/>
    <w:uiPriority w:val="99"/>
    <w:semiHidden/>
    <w:qFormat/>
    <w:rsid w:val="008b6e61"/>
    <w:rPr>
      <w:color w:val="666666"/>
    </w:rPr>
  </w:style>
  <w:style w:type="character" w:styleId="CommentReference">
    <w:name w:val="annotation reference"/>
    <w:basedOn w:val="DefaultParagraphFont"/>
    <w:qFormat/>
    <w:rsid w:val="002205ba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qFormat/>
    <w:rsid w:val="002205ba"/>
    <w:rPr>
      <w:lang w:val="en-GB" w:eastAsia="ko-KR"/>
    </w:rPr>
  </w:style>
  <w:style w:type="character" w:styleId="CommentSubjectChar" w:customStyle="1">
    <w:name w:val="Comment Subject Char"/>
    <w:basedOn w:val="CommentTextChar"/>
    <w:link w:val="annotationsubject"/>
    <w:qFormat/>
    <w:rsid w:val="002205ba"/>
    <w:rPr>
      <w:b/>
      <w:bCs/>
      <w:lang w:val="en-GB" w:eastAsia="ko-K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Info" w:customStyle="1">
    <w:name w:val="Header Info"/>
    <w:basedOn w:val="Normal"/>
    <w:qFormat/>
    <w:pPr>
      <w:tabs>
        <w:tab w:val="clear" w:pos="708"/>
        <w:tab w:val="left" w:pos="1985" w:leader="none"/>
      </w:tabs>
    </w:pPr>
    <w:rPr>
      <w:rFonts w:ascii="Arial" w:hAnsi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erschrift11" w:customStyle="1">
    <w:name w:val="Überschrift 11"/>
    <w:basedOn w:val="Normal"/>
    <w:next w:val="Text"/>
    <w:qFormat/>
    <w:pPr>
      <w:spacing w:before="0" w:after="240"/>
    </w:pPr>
    <w:rPr>
      <w:b/>
      <w:sz w:val="36"/>
    </w:rPr>
  </w:style>
  <w:style w:type="paragraph" w:styleId="Text" w:customStyle="1">
    <w:name w:val="Text"/>
    <w:basedOn w:val="Normal"/>
    <w:qFormat/>
    <w:pPr/>
    <w:rPr>
      <w:lang w:val="en-US"/>
    </w:rPr>
  </w:style>
  <w:style w:type="paragraph" w:styleId="berschrift21" w:customStyle="1">
    <w:name w:val="Überschrift 21"/>
    <w:basedOn w:val="berschrift11"/>
    <w:next w:val="Text"/>
    <w:qFormat/>
    <w:pPr/>
    <w:rPr>
      <w:sz w:val="28"/>
    </w:rPr>
  </w:style>
  <w:style w:type="paragraph" w:styleId="berschrift31" w:customStyle="1">
    <w:name w:val="Überschrift 31"/>
    <w:basedOn w:val="berschrift11"/>
    <w:next w:val="Text"/>
    <w:qFormat/>
    <w:pPr/>
    <w:rPr>
      <w:sz w:val="22"/>
    </w:rPr>
  </w:style>
  <w:style w:type="paragraph" w:styleId="BalloonText">
    <w:name w:val="Balloon Text"/>
    <w:basedOn w:val="Normal"/>
    <w:link w:val="BalloonTextChar"/>
    <w:qFormat/>
    <w:rsid w:val="00876c1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leText" w:customStyle="1">
    <w:name w:val="Table Text"/>
    <w:basedOn w:val="Normal"/>
    <w:qFormat/>
    <w:rsid w:val="00e45f77"/>
    <w:pPr>
      <w:keepLines/>
      <w:spacing w:lineRule="auto" w:line="240" w:before="40" w:after="40"/>
    </w:pPr>
    <w:rPr>
      <w:lang w:val="en-US" w:eastAsia="en-US"/>
    </w:rPr>
  </w:style>
  <w:style w:type="paragraph" w:styleId="MDPI31text" w:customStyle="1">
    <w:name w:val="MDPI_3.1_text"/>
    <w:qFormat/>
    <w:rsid w:val="008730d4"/>
    <w:pPr>
      <w:widowControl/>
      <w:bidi w:val="0"/>
      <w:snapToGrid w:val="false"/>
      <w:spacing w:lineRule="auto" w:line="228" w:before="0" w:after="0"/>
      <w:ind w:firstLine="425" w:start="2608"/>
      <w:jc w:val="both"/>
    </w:pPr>
    <w:rPr>
      <w:rFonts w:ascii="Palatino Linotype" w:hAnsi="Palatino Linotype" w:eastAsia="等线" w:cs="Times New Roman"/>
      <w:color w:val="000000"/>
      <w:kern w:val="0"/>
      <w:sz w:val="20"/>
      <w:szCs w:val="22"/>
      <w:lang w:val="en-US" w:bidi="en-US" w:eastAsia="de-DE"/>
    </w:rPr>
  </w:style>
  <w:style w:type="paragraph" w:styleId="Revision">
    <w:name w:val="Revision"/>
    <w:uiPriority w:val="99"/>
    <w:semiHidden/>
    <w:qFormat/>
    <w:rsid w:val="00e45bbc"/>
    <w:pPr>
      <w:widowControl/>
      <w:bidi w:val="0"/>
      <w:spacing w:before="0" w:after="0"/>
      <w:jc w:val="start"/>
    </w:pPr>
    <w:rPr>
      <w:rFonts w:ascii="Times New Roman" w:hAnsi="Times New Roman" w:eastAsia="等线" w:cs="Times New Roman" w:eastAsiaTheme="minorEastAsia"/>
      <w:color w:val="auto"/>
      <w:kern w:val="0"/>
      <w:sz w:val="20"/>
      <w:szCs w:val="20"/>
      <w:lang w:val="en-GB" w:eastAsia="ko-KR" w:bidi="ar-SA"/>
    </w:rPr>
  </w:style>
  <w:style w:type="paragraph" w:styleId="CommentText">
    <w:name w:val="annotation text"/>
    <w:basedOn w:val="Normal"/>
    <w:link w:val="CommentTextChar"/>
    <w:rsid w:val="002205ba"/>
    <w:pPr>
      <w:spacing w:lineRule="auto" w:line="240"/>
    </w:pPr>
    <w:rPr/>
  </w:style>
  <w:style w:type="paragraph" w:styleId="annotationsubject">
    <w:name w:val="annotation subject"/>
    <w:basedOn w:val="CommentText"/>
    <w:next w:val="CommentText"/>
    <w:link w:val="CommentSubjectChar"/>
    <w:qFormat/>
    <w:rsid w:val="002205ba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51b0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5871DC69FA9443BE226946CE2B0576" ma:contentTypeVersion="0" ma:contentTypeDescription="Ein neues Dokument erstellen." ma:contentTypeScope="" ma:versionID="c2dfbcc5cc15e2270d1ad31d6aa33f6b">
  <xsd:schema xmlns:xsd="http://www.w3.org/2001/XMLSchema" xmlns:p="http://schemas.microsoft.com/office/2006/metadata/properties" targetNamespace="http://schemas.microsoft.com/office/2006/metadata/properties" ma:root="true" ma:fieldsID="246f02dd96380beb4f7cdcce14d77fd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9ED67A6-BBE7-4B10-82D1-AEC99C9275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4189BF-AFA4-4A1D-B85F-E47C42037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Electronic_Markets_manuscript_template 2021.dotx</Template>
  <TotalTime>2811</TotalTime>
  <Application>LibreOffice/25.8.3.2$Windows_X86_64 LibreOffice_project/8ca8d55c161d602844f5428fa4b58097424e324e</Application>
  <AppVersion>15.0000</AppVersion>
  <Pages>1</Pages>
  <Words>211</Words>
  <Characters>1351</Characters>
  <CharactersWithSpaces>1581</CharactersWithSpaces>
  <Paragraphs>39</Paragraphs>
  <Company>University of Leipzig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2024-01-22T17:01:00Z</dcterms:created>
  <dc:creator>Coia, Ramona</dc:creator>
  <dc:description/>
  <dc:language>en-US</dc:language>
  <cp:lastModifiedBy/>
  <cp:lastPrinted>2004-09-16T15:53:00Z</cp:lastPrinted>
  <dcterms:modified xsi:type="dcterms:W3CDTF">2026-06-18T14:45:55Z</dcterms:modified>
  <cp:revision>1371</cp:revision>
  <dc:subject/>
  <dc:title>Electronic Markets – The International Journal on Networked Business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