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9AED9" w14:textId="77777777" w:rsidR="00257CF2" w:rsidRPr="004620AF" w:rsidRDefault="00257CF2" w:rsidP="00257CF2">
      <w:pPr>
        <w:keepNext/>
        <w:keepLines/>
        <w:spacing w:before="480" w:after="120"/>
        <w:jc w:val="center"/>
        <w:rPr>
          <w:b/>
          <w:szCs w:val="72"/>
          <w:lang w:val="en-US"/>
        </w:rPr>
      </w:pPr>
      <w:r w:rsidRPr="004620AF">
        <w:rPr>
          <w:b/>
          <w:szCs w:val="72"/>
          <w:lang w:val="en-US"/>
        </w:rPr>
        <w:t xml:space="preserve">Nutri-Score and nutrition warning labels </w:t>
      </w:r>
      <w:r>
        <w:rPr>
          <w:b/>
          <w:szCs w:val="72"/>
          <w:lang w:val="en-US"/>
        </w:rPr>
        <w:t xml:space="preserve">are acceptable and effective in guiding hypothetical choice in </w:t>
      </w:r>
      <w:r w:rsidRPr="004620AF">
        <w:rPr>
          <w:b/>
          <w:szCs w:val="72"/>
          <w:lang w:val="en-US"/>
        </w:rPr>
        <w:t xml:space="preserve">Indonesia, </w:t>
      </w:r>
      <w:r w:rsidRPr="004620AF">
        <w:rPr>
          <w:b/>
          <w:color w:val="000000" w:themeColor="text1"/>
          <w:szCs w:val="72"/>
          <w:lang w:val="en-US"/>
        </w:rPr>
        <w:t>Mexico, and Türkiye</w:t>
      </w:r>
      <w:r>
        <w:rPr>
          <w:b/>
          <w:szCs w:val="72"/>
          <w:lang w:val="en-US"/>
        </w:rPr>
        <w:t>: Results from a cross-country online experiment</w:t>
      </w:r>
      <w:r w:rsidRPr="004620AF">
        <w:rPr>
          <w:b/>
          <w:szCs w:val="72"/>
          <w:lang w:val="en-US"/>
        </w:rPr>
        <w:t xml:space="preserve"> </w:t>
      </w:r>
    </w:p>
    <w:p w14:paraId="7A6DE3B6" w14:textId="77777777" w:rsidR="00454B7A" w:rsidRDefault="00454B7A" w:rsidP="006B6E8F">
      <w:pPr>
        <w:pStyle w:val="berschrift1"/>
      </w:pPr>
    </w:p>
    <w:p w14:paraId="1419FB71" w14:textId="464C5BE3" w:rsidR="00255B85" w:rsidRDefault="00DA59C0" w:rsidP="006B6E8F">
      <w:pPr>
        <w:pStyle w:val="berschrift1"/>
      </w:pPr>
      <w:r w:rsidRPr="009C6558">
        <w:t xml:space="preserve">Supplementary </w:t>
      </w:r>
      <w:r w:rsidR="0083223F">
        <w:t>results</w:t>
      </w:r>
    </w:p>
    <w:p w14:paraId="3A43DD62" w14:textId="77777777" w:rsidR="00A63EB7" w:rsidRPr="00656578" w:rsidRDefault="00A63EB7" w:rsidP="00A63EB7">
      <w:pPr>
        <w:pStyle w:val="berschrift2"/>
        <w:rPr>
          <w:lang w:val="en-US"/>
        </w:rPr>
      </w:pPr>
      <w:r w:rsidRPr="00656578">
        <w:rPr>
          <w:lang w:val="en-US"/>
        </w:rPr>
        <w:t>Country differences in using nutrition information and opinions on FOPNL</w:t>
      </w:r>
    </w:p>
    <w:p w14:paraId="5890D8BC" w14:textId="5809F4FA" w:rsidR="00A63EB7" w:rsidRPr="00656578" w:rsidRDefault="00A63EB7" w:rsidP="00A63EB7">
      <w:pPr>
        <w:rPr>
          <w:color w:val="000000" w:themeColor="text1"/>
          <w:lang w:val="en-US"/>
        </w:rPr>
      </w:pPr>
      <w:r w:rsidRPr="00656578">
        <w:rPr>
          <w:color w:val="000000" w:themeColor="text1"/>
          <w:lang w:val="en-US"/>
        </w:rPr>
        <w:t xml:space="preserve">We used between-subjects ANOVAs to compare opinions on FOPNL between countries (see Table </w:t>
      </w:r>
      <w:r w:rsidR="00380014">
        <w:rPr>
          <w:color w:val="000000" w:themeColor="text1"/>
          <w:lang w:val="en-US"/>
        </w:rPr>
        <w:t>S15</w:t>
      </w:r>
      <w:r w:rsidRPr="00656578">
        <w:rPr>
          <w:color w:val="000000" w:themeColor="text1"/>
          <w:lang w:val="en-US"/>
        </w:rPr>
        <w:t xml:space="preserve"> for means, standard deviations and test statistics). The three countries did not differ regarding whether participants pay attention to nutrition information on food packaging, indicating that they, on average, neither agreed nor disagreed with the statement. Countries differed regarding whether participants based their purchasing decision on nutrition information on food packaging. Although they, on average, signaled agreement, participants from Türkiye indicated to base their decision less frequently on this information than participants from Mexico (</w:t>
      </w:r>
      <w:r w:rsidRPr="00656578">
        <w:rPr>
          <w:i/>
          <w:iCs/>
          <w:color w:val="000000" w:themeColor="text1"/>
          <w:lang w:val="en-US"/>
        </w:rPr>
        <w:t>p</w:t>
      </w:r>
      <w:r w:rsidRPr="00656578">
        <w:rPr>
          <w:color w:val="000000" w:themeColor="text1"/>
          <w:lang w:val="en-US"/>
        </w:rPr>
        <w:t xml:space="preserve"> = .010). Countries also differed regarding whether participants thought that FOPNL </w:t>
      </w:r>
      <w:proofErr w:type="gramStart"/>
      <w:r w:rsidRPr="00656578">
        <w:rPr>
          <w:color w:val="000000" w:themeColor="text1"/>
          <w:lang w:val="en-US"/>
        </w:rPr>
        <w:t>were</w:t>
      </w:r>
      <w:proofErr w:type="gramEnd"/>
      <w:r w:rsidRPr="00656578">
        <w:rPr>
          <w:color w:val="000000" w:themeColor="text1"/>
          <w:lang w:val="en-US"/>
        </w:rPr>
        <w:t xml:space="preserve"> an important source of information. However, agreement was generally high, and none of the Bonferroni-corrected post hoc tests reached statistical significance (</w:t>
      </w:r>
      <w:proofErr w:type="spellStart"/>
      <w:r w:rsidRPr="00656578">
        <w:rPr>
          <w:i/>
          <w:iCs/>
          <w:color w:val="000000" w:themeColor="text1"/>
          <w:lang w:val="en-US"/>
        </w:rPr>
        <w:t>p</w:t>
      </w:r>
      <w:r w:rsidRPr="00656578">
        <w:rPr>
          <w:color w:val="000000" w:themeColor="text1"/>
          <w:lang w:val="en-US"/>
        </w:rPr>
        <w:t>s</w:t>
      </w:r>
      <w:proofErr w:type="spellEnd"/>
      <w:r w:rsidRPr="00656578">
        <w:rPr>
          <w:color w:val="000000" w:themeColor="text1"/>
          <w:lang w:val="en-US"/>
        </w:rPr>
        <w:t xml:space="preserve"> ≥ .080). Participants from the three countries differed in whether they thought that FOPNL should be compulsory. Although agreement was generally high, participants from Indonesia supported FOPNL being compulsory the least, while support was even stronger in Mexico (</w:t>
      </w:r>
      <w:r w:rsidRPr="00656578">
        <w:rPr>
          <w:i/>
          <w:iCs/>
          <w:color w:val="000000" w:themeColor="text1"/>
          <w:lang w:val="en-US"/>
        </w:rPr>
        <w:t>p</w:t>
      </w:r>
      <w:r w:rsidRPr="00656578">
        <w:rPr>
          <w:color w:val="000000" w:themeColor="text1"/>
          <w:lang w:val="en-US"/>
        </w:rPr>
        <w:t xml:space="preserve"> = .010) and Türkiye (</w:t>
      </w:r>
      <w:r w:rsidRPr="00656578">
        <w:rPr>
          <w:i/>
          <w:iCs/>
          <w:color w:val="000000" w:themeColor="text1"/>
          <w:lang w:val="en-US"/>
        </w:rPr>
        <w:t>p</w:t>
      </w:r>
      <w:r w:rsidRPr="00656578">
        <w:rPr>
          <w:color w:val="000000" w:themeColor="text1"/>
          <w:lang w:val="en-US"/>
        </w:rPr>
        <w:t xml:space="preserve"> &lt; .001). Mexico and Türkiye, however, did not differ significantly (</w:t>
      </w:r>
      <w:r w:rsidRPr="00656578">
        <w:rPr>
          <w:i/>
          <w:iCs/>
          <w:color w:val="000000" w:themeColor="text1"/>
          <w:lang w:val="en-US"/>
        </w:rPr>
        <w:t>p</w:t>
      </w:r>
      <w:r w:rsidRPr="00656578">
        <w:rPr>
          <w:color w:val="000000" w:themeColor="text1"/>
          <w:lang w:val="en-US"/>
        </w:rPr>
        <w:t xml:space="preserve"> = .062). Similarly, support for food companies being able to choose whether they apply FOPNL differed significantly </w:t>
      </w:r>
      <w:r w:rsidRPr="00656578">
        <w:rPr>
          <w:color w:val="000000" w:themeColor="text1"/>
          <w:lang w:val="en-US"/>
        </w:rPr>
        <w:lastRenderedPageBreak/>
        <w:t>between countries. Although participants generally neither agreed nor disagreed with this statement on average, support for this statement was strongest in Indonesia compared to both Mexico (</w:t>
      </w:r>
      <w:r w:rsidRPr="00656578">
        <w:rPr>
          <w:i/>
          <w:iCs/>
          <w:color w:val="000000" w:themeColor="text1"/>
          <w:lang w:val="en-US"/>
        </w:rPr>
        <w:t>p</w:t>
      </w:r>
      <w:r w:rsidRPr="00656578">
        <w:rPr>
          <w:color w:val="000000" w:themeColor="text1"/>
          <w:lang w:val="en-US"/>
        </w:rPr>
        <w:t xml:space="preserve"> = .001) and Türkiye (</w:t>
      </w:r>
      <w:r w:rsidRPr="00656578">
        <w:rPr>
          <w:i/>
          <w:iCs/>
          <w:color w:val="000000" w:themeColor="text1"/>
          <w:lang w:val="en-US"/>
        </w:rPr>
        <w:t>p</w:t>
      </w:r>
      <w:r w:rsidRPr="00656578">
        <w:rPr>
          <w:color w:val="000000" w:themeColor="text1"/>
          <w:lang w:val="en-US"/>
        </w:rPr>
        <w:t xml:space="preserve"> &lt; .001). Türkiye and Mexico again did not differ in support for this statement (</w:t>
      </w:r>
      <w:r w:rsidRPr="00656578">
        <w:rPr>
          <w:i/>
          <w:iCs/>
          <w:color w:val="000000" w:themeColor="text1"/>
          <w:lang w:val="en-US"/>
        </w:rPr>
        <w:t>p</w:t>
      </w:r>
      <w:r w:rsidRPr="00656578">
        <w:rPr>
          <w:color w:val="000000" w:themeColor="text1"/>
          <w:lang w:val="en-US"/>
        </w:rPr>
        <w:t xml:space="preserve"> = 1.000).</w:t>
      </w:r>
    </w:p>
    <w:p w14:paraId="7FFE64F4" w14:textId="7E96695D" w:rsidR="0083223F" w:rsidRPr="00656578" w:rsidRDefault="0083223F" w:rsidP="0083223F">
      <w:pPr>
        <w:pStyle w:val="berschrift2"/>
        <w:rPr>
          <w:lang w:val="en-US"/>
        </w:rPr>
      </w:pPr>
      <w:r w:rsidRPr="00656578">
        <w:rPr>
          <w:lang w:val="en-US"/>
        </w:rPr>
        <w:t>Country differences in acceptability of Nutri-Score and warning labels</w:t>
      </w:r>
    </w:p>
    <w:p w14:paraId="3FF43D40" w14:textId="51877F45" w:rsidR="0083223F" w:rsidRPr="00656578" w:rsidRDefault="0083223F" w:rsidP="0083223F">
      <w:pPr>
        <w:rPr>
          <w:lang w:val="en-US"/>
        </w:rPr>
      </w:pPr>
      <w:r w:rsidRPr="00656578">
        <w:rPr>
          <w:color w:val="000000" w:themeColor="text1"/>
          <w:lang w:val="en-US"/>
        </w:rPr>
        <w:t xml:space="preserve">Acceptance of both warning labels and the Nutri-Score were high across countries (see Table </w:t>
      </w:r>
      <w:r w:rsidR="00380014">
        <w:rPr>
          <w:color w:val="000000" w:themeColor="text1"/>
          <w:lang w:val="en-US"/>
        </w:rPr>
        <w:t>S15</w:t>
      </w:r>
      <w:r w:rsidRPr="00656578">
        <w:rPr>
          <w:color w:val="000000" w:themeColor="text1"/>
          <w:lang w:val="en-US"/>
        </w:rPr>
        <w:t xml:space="preserve"> for means and standard deviations). In a mixed ANOVA, there was no significant main effect for the within-subjects factor label (</w:t>
      </w:r>
      <w:proofErr w:type="gramStart"/>
      <w:r w:rsidRPr="00656578">
        <w:rPr>
          <w:i/>
          <w:iCs/>
          <w:color w:val="000000" w:themeColor="text1"/>
          <w:lang w:val="en-US"/>
        </w:rPr>
        <w:t>F</w:t>
      </w:r>
      <w:r w:rsidRPr="00656578">
        <w:rPr>
          <w:color w:val="000000" w:themeColor="text1"/>
          <w:lang w:val="en-US"/>
        </w:rPr>
        <w:t>[</w:t>
      </w:r>
      <w:proofErr w:type="gramEnd"/>
      <w:r w:rsidRPr="00656578">
        <w:rPr>
          <w:color w:val="000000" w:themeColor="text1"/>
          <w:lang w:val="en-US"/>
        </w:rPr>
        <w:t xml:space="preserve">1, 636] = 1.57, </w:t>
      </w:r>
      <w:r w:rsidRPr="00656578">
        <w:rPr>
          <w:i/>
          <w:iCs/>
          <w:color w:val="000000" w:themeColor="text1"/>
          <w:lang w:val="en-US"/>
        </w:rPr>
        <w:t>p</w:t>
      </w:r>
      <w:r w:rsidRPr="00656578">
        <w:rPr>
          <w:color w:val="000000" w:themeColor="text1"/>
          <w:lang w:val="en-US"/>
        </w:rPr>
        <w:t xml:space="preserve"> = .210, </w:t>
      </w:r>
      <w:r w:rsidRPr="00656578">
        <w:rPr>
          <w:i/>
          <w:iCs/>
          <w:color w:val="000000" w:themeColor="text1"/>
          <w:lang w:val="en-US"/>
        </w:rPr>
        <w:t>partial</w:t>
      </w:r>
      <w:r w:rsidRPr="00656578">
        <w:rPr>
          <w:color w:val="000000" w:themeColor="text1"/>
          <w:lang w:val="en-US"/>
        </w:rPr>
        <w:t xml:space="preserve"> η² &lt; .01), which means that neither label was pre se preferred. However, the between-subjects factor country reached statistical significance (</w:t>
      </w:r>
      <w:proofErr w:type="gramStart"/>
      <w:r w:rsidRPr="00656578">
        <w:rPr>
          <w:i/>
          <w:iCs/>
          <w:color w:val="000000" w:themeColor="text1"/>
          <w:lang w:val="en-US"/>
        </w:rPr>
        <w:t>F</w:t>
      </w:r>
      <w:r w:rsidRPr="00656578">
        <w:rPr>
          <w:color w:val="000000" w:themeColor="text1"/>
          <w:lang w:val="en-US"/>
        </w:rPr>
        <w:t>[</w:t>
      </w:r>
      <w:proofErr w:type="gramEnd"/>
      <w:r w:rsidRPr="00656578">
        <w:rPr>
          <w:color w:val="000000" w:themeColor="text1"/>
          <w:lang w:val="en-US"/>
        </w:rPr>
        <w:t xml:space="preserve">2, 636] = 9.10, </w:t>
      </w:r>
      <w:r w:rsidRPr="00656578">
        <w:rPr>
          <w:i/>
          <w:iCs/>
          <w:color w:val="000000" w:themeColor="text1"/>
          <w:lang w:val="en-US"/>
        </w:rPr>
        <w:t>p</w:t>
      </w:r>
      <w:r w:rsidRPr="00656578">
        <w:rPr>
          <w:color w:val="000000" w:themeColor="text1"/>
          <w:lang w:val="en-US"/>
        </w:rPr>
        <w:t xml:space="preserve"> &lt; .001, </w:t>
      </w:r>
      <w:r w:rsidRPr="00656578">
        <w:rPr>
          <w:i/>
          <w:iCs/>
          <w:color w:val="000000" w:themeColor="text1"/>
          <w:lang w:val="en-US"/>
        </w:rPr>
        <w:t>partial</w:t>
      </w:r>
      <w:r w:rsidRPr="00656578">
        <w:rPr>
          <w:color w:val="000000" w:themeColor="text1"/>
          <w:lang w:val="en-US"/>
        </w:rPr>
        <w:t xml:space="preserve"> η² = .03), indicating differences between the three countries. Specifically, participants from Mexico rated labels more positively than participants from Indonesia (</w:t>
      </w:r>
      <w:r w:rsidRPr="00656578">
        <w:rPr>
          <w:i/>
          <w:iCs/>
          <w:color w:val="000000" w:themeColor="text1"/>
          <w:lang w:val="en-US"/>
        </w:rPr>
        <w:t>p</w:t>
      </w:r>
      <w:r w:rsidRPr="00656578">
        <w:rPr>
          <w:color w:val="000000" w:themeColor="text1"/>
          <w:lang w:val="en-US"/>
        </w:rPr>
        <w:t xml:space="preserve"> &lt; .001) or Türkiye (</w:t>
      </w:r>
      <w:r w:rsidRPr="00656578">
        <w:rPr>
          <w:i/>
          <w:iCs/>
          <w:color w:val="000000" w:themeColor="text1"/>
          <w:lang w:val="en-US"/>
        </w:rPr>
        <w:t>p</w:t>
      </w:r>
      <w:r w:rsidRPr="00656578">
        <w:rPr>
          <w:color w:val="000000" w:themeColor="text1"/>
          <w:lang w:val="en-US"/>
        </w:rPr>
        <w:t xml:space="preserve"> = .003). The interaction did not reach statistical significance (</w:t>
      </w:r>
      <w:proofErr w:type="gramStart"/>
      <w:r w:rsidRPr="00656578">
        <w:rPr>
          <w:i/>
          <w:iCs/>
          <w:color w:val="000000" w:themeColor="text1"/>
          <w:lang w:val="en-US"/>
        </w:rPr>
        <w:t>F</w:t>
      </w:r>
      <w:r w:rsidRPr="00656578">
        <w:rPr>
          <w:color w:val="000000" w:themeColor="text1"/>
          <w:lang w:val="en-US"/>
        </w:rPr>
        <w:t>[</w:t>
      </w:r>
      <w:proofErr w:type="gramEnd"/>
      <w:r w:rsidRPr="00656578">
        <w:rPr>
          <w:color w:val="000000" w:themeColor="text1"/>
          <w:lang w:val="en-US"/>
        </w:rPr>
        <w:t xml:space="preserve">2, 636] = 0.30, </w:t>
      </w:r>
      <w:r w:rsidRPr="00656578">
        <w:rPr>
          <w:i/>
          <w:iCs/>
          <w:color w:val="000000" w:themeColor="text1"/>
          <w:lang w:val="en-US"/>
        </w:rPr>
        <w:t>p</w:t>
      </w:r>
      <w:r w:rsidRPr="00656578">
        <w:rPr>
          <w:color w:val="000000" w:themeColor="text1"/>
          <w:lang w:val="en-US"/>
        </w:rPr>
        <w:t xml:space="preserve"> = .739, </w:t>
      </w:r>
      <w:r w:rsidRPr="00656578">
        <w:rPr>
          <w:i/>
          <w:iCs/>
          <w:color w:val="000000" w:themeColor="text1"/>
          <w:lang w:val="en-US"/>
        </w:rPr>
        <w:t>partial</w:t>
      </w:r>
      <w:r w:rsidRPr="00656578">
        <w:rPr>
          <w:color w:val="000000" w:themeColor="text1"/>
          <w:lang w:val="en-US"/>
        </w:rPr>
        <w:t xml:space="preserve"> η² &lt; .01).</w:t>
      </w:r>
    </w:p>
    <w:p w14:paraId="17DE9D50" w14:textId="09909570" w:rsidR="0083223F" w:rsidRPr="00656578" w:rsidRDefault="0083223F" w:rsidP="0083223F">
      <w:pPr>
        <w:rPr>
          <w:color w:val="000000" w:themeColor="text1"/>
          <w:lang w:val="en-US"/>
        </w:rPr>
      </w:pPr>
      <w:r w:rsidRPr="00656578">
        <w:rPr>
          <w:lang w:val="en-US"/>
        </w:rPr>
        <w:t xml:space="preserve">Participants from all countries rather agreed that they would stop buying products carrying Nutri-Score D or E or warning labels (see Table </w:t>
      </w:r>
      <w:r w:rsidR="00380014">
        <w:rPr>
          <w:lang w:val="en-US"/>
        </w:rPr>
        <w:t>S15</w:t>
      </w:r>
      <w:r w:rsidRPr="00656578">
        <w:rPr>
          <w:lang w:val="en-US"/>
        </w:rPr>
        <w:t xml:space="preserve"> for means and standard deviations). In a mixed ANOVA, there was no significant main effect for the within-subjects factor label (</w:t>
      </w:r>
      <w:r w:rsidRPr="00656578">
        <w:rPr>
          <w:i/>
          <w:iCs/>
          <w:lang w:val="en-US"/>
        </w:rPr>
        <w:t>F</w:t>
      </w:r>
      <w:r w:rsidRPr="00656578">
        <w:rPr>
          <w:lang w:val="en-US"/>
        </w:rPr>
        <w:t xml:space="preserve">[1, 633] = 0.439, </w:t>
      </w:r>
      <w:r w:rsidRPr="00656578">
        <w:rPr>
          <w:i/>
          <w:iCs/>
          <w:lang w:val="en-US"/>
        </w:rPr>
        <w:t>p</w:t>
      </w:r>
      <w:r w:rsidRPr="00656578">
        <w:rPr>
          <w:lang w:val="en-US"/>
        </w:rPr>
        <w:t xml:space="preserve"> = .508, </w:t>
      </w:r>
      <w:r w:rsidRPr="00656578">
        <w:rPr>
          <w:i/>
          <w:iCs/>
          <w:lang w:val="en-US"/>
        </w:rPr>
        <w:t>partial</w:t>
      </w:r>
      <w:r w:rsidRPr="00656578">
        <w:rPr>
          <w:lang w:val="en-US"/>
        </w:rPr>
        <w:t xml:space="preserve"> η² &lt; .01), but a significant main effect for the between-subjects factor country (</w:t>
      </w:r>
      <w:r w:rsidRPr="00656578">
        <w:rPr>
          <w:i/>
          <w:iCs/>
          <w:lang w:val="en-US"/>
        </w:rPr>
        <w:t>F</w:t>
      </w:r>
      <w:r w:rsidRPr="00656578">
        <w:rPr>
          <w:lang w:val="en-US"/>
        </w:rPr>
        <w:t xml:space="preserve">[2, 633] = 10.76, </w:t>
      </w:r>
      <w:r w:rsidRPr="00656578">
        <w:rPr>
          <w:i/>
          <w:iCs/>
          <w:lang w:val="en-US"/>
        </w:rPr>
        <w:t>p</w:t>
      </w:r>
      <w:r w:rsidRPr="00656578">
        <w:rPr>
          <w:lang w:val="en-US"/>
        </w:rPr>
        <w:t xml:space="preserve"> &lt; .001, </w:t>
      </w:r>
      <w:r w:rsidRPr="00656578">
        <w:rPr>
          <w:i/>
          <w:iCs/>
          <w:lang w:val="en-US"/>
        </w:rPr>
        <w:t>partial</w:t>
      </w:r>
      <w:r w:rsidRPr="00656578">
        <w:rPr>
          <w:lang w:val="en-US"/>
        </w:rPr>
        <w:t xml:space="preserve"> η² = .03) as well as a significant label x country interaction (</w:t>
      </w:r>
      <w:r w:rsidRPr="00656578">
        <w:rPr>
          <w:i/>
          <w:iCs/>
          <w:lang w:val="en-US"/>
        </w:rPr>
        <w:t>F</w:t>
      </w:r>
      <w:r w:rsidRPr="00656578">
        <w:rPr>
          <w:lang w:val="en-US"/>
        </w:rPr>
        <w:t xml:space="preserve">[2, 633] = 4.69, </w:t>
      </w:r>
      <w:r w:rsidRPr="00656578">
        <w:rPr>
          <w:i/>
          <w:iCs/>
          <w:lang w:val="en-US"/>
        </w:rPr>
        <w:t>p</w:t>
      </w:r>
      <w:r w:rsidRPr="00656578">
        <w:rPr>
          <w:lang w:val="en-US"/>
        </w:rPr>
        <w:t xml:space="preserve"> = .010, </w:t>
      </w:r>
      <w:r w:rsidRPr="00656578">
        <w:rPr>
          <w:i/>
          <w:iCs/>
          <w:lang w:val="en-US"/>
        </w:rPr>
        <w:t>partial</w:t>
      </w:r>
      <w:r w:rsidRPr="00656578">
        <w:rPr>
          <w:lang w:val="en-US"/>
        </w:rPr>
        <w:t xml:space="preserve"> η² = .02). The significant interaction was followed up by between-subjects ANOVA per label. For the Nutri-Score, there was a significant main effect of country (</w:t>
      </w:r>
      <w:proofErr w:type="gramStart"/>
      <w:r w:rsidRPr="00656578">
        <w:rPr>
          <w:i/>
          <w:iCs/>
          <w:lang w:val="en-US"/>
        </w:rPr>
        <w:t>F</w:t>
      </w:r>
      <w:r w:rsidRPr="00656578">
        <w:rPr>
          <w:lang w:val="en-US"/>
        </w:rPr>
        <w:t>[</w:t>
      </w:r>
      <w:proofErr w:type="gramEnd"/>
      <w:r w:rsidRPr="00656578">
        <w:rPr>
          <w:lang w:val="en-US"/>
        </w:rPr>
        <w:t xml:space="preserve">2, 635] = 3.89, </w:t>
      </w:r>
      <w:r w:rsidRPr="00656578">
        <w:rPr>
          <w:i/>
          <w:iCs/>
          <w:lang w:val="en-US"/>
        </w:rPr>
        <w:t>p</w:t>
      </w:r>
      <w:r w:rsidRPr="00656578">
        <w:rPr>
          <w:lang w:val="en-US"/>
        </w:rPr>
        <w:t xml:space="preserve"> = .021, </w:t>
      </w:r>
      <w:r w:rsidRPr="00656578">
        <w:rPr>
          <w:i/>
          <w:iCs/>
          <w:lang w:val="en-US"/>
        </w:rPr>
        <w:t>partial</w:t>
      </w:r>
      <w:r w:rsidRPr="00656578">
        <w:rPr>
          <w:lang w:val="en-US"/>
        </w:rPr>
        <w:t xml:space="preserve"> η² = .01); Bonferroni-corrected </w:t>
      </w:r>
      <w:r w:rsidRPr="00656578">
        <w:rPr>
          <w:color w:val="000000" w:themeColor="text1"/>
          <w:lang w:val="en-US"/>
        </w:rPr>
        <w:t>post-hoc tests revealed that this was due to participants from Türkiye agreeing to the statement somewhat more strongly than participants from Indonesia (</w:t>
      </w:r>
      <w:r w:rsidRPr="00656578">
        <w:rPr>
          <w:i/>
          <w:iCs/>
          <w:color w:val="000000" w:themeColor="text1"/>
          <w:lang w:val="en-US"/>
        </w:rPr>
        <w:t>p</w:t>
      </w:r>
      <w:r w:rsidRPr="00656578">
        <w:rPr>
          <w:color w:val="000000" w:themeColor="text1"/>
          <w:lang w:val="en-US"/>
        </w:rPr>
        <w:t xml:space="preserve"> = .045). </w:t>
      </w:r>
      <w:r w:rsidRPr="00656578">
        <w:rPr>
          <w:color w:val="000000" w:themeColor="text1"/>
          <w:lang w:val="en-US"/>
        </w:rPr>
        <w:lastRenderedPageBreak/>
        <w:t>There also was a significant main effect of country for the warning labels (</w:t>
      </w:r>
      <w:proofErr w:type="gramStart"/>
      <w:r w:rsidRPr="00656578">
        <w:rPr>
          <w:i/>
          <w:iCs/>
          <w:color w:val="000000" w:themeColor="text1"/>
          <w:lang w:val="en-US"/>
        </w:rPr>
        <w:t>F</w:t>
      </w:r>
      <w:r w:rsidRPr="00656578">
        <w:rPr>
          <w:color w:val="000000" w:themeColor="text1"/>
          <w:lang w:val="en-US"/>
        </w:rPr>
        <w:t>[</w:t>
      </w:r>
      <w:proofErr w:type="gramEnd"/>
      <w:r w:rsidRPr="00656578">
        <w:rPr>
          <w:color w:val="000000" w:themeColor="text1"/>
          <w:lang w:val="en-US"/>
        </w:rPr>
        <w:t xml:space="preserve">2, 635] = 14.04, </w:t>
      </w:r>
      <w:r w:rsidRPr="00656578">
        <w:rPr>
          <w:i/>
          <w:iCs/>
          <w:color w:val="000000" w:themeColor="text1"/>
          <w:lang w:val="en-US"/>
        </w:rPr>
        <w:t>p</w:t>
      </w:r>
      <w:r w:rsidRPr="00656578">
        <w:rPr>
          <w:color w:val="000000" w:themeColor="text1"/>
          <w:lang w:val="en-US"/>
        </w:rPr>
        <w:t xml:space="preserve"> &lt; .001, </w:t>
      </w:r>
      <w:r w:rsidRPr="00656578">
        <w:rPr>
          <w:i/>
          <w:iCs/>
          <w:color w:val="000000" w:themeColor="text1"/>
          <w:lang w:val="en-US"/>
        </w:rPr>
        <w:t>partial</w:t>
      </w:r>
      <w:r w:rsidRPr="00656578">
        <w:rPr>
          <w:color w:val="000000" w:themeColor="text1"/>
          <w:lang w:val="en-US"/>
        </w:rPr>
        <w:t xml:space="preserve"> η² = .04) which was due to significant differences between all countries (all </w:t>
      </w:r>
      <w:proofErr w:type="spellStart"/>
      <w:r w:rsidRPr="00656578">
        <w:rPr>
          <w:i/>
          <w:iCs/>
          <w:color w:val="000000" w:themeColor="text1"/>
          <w:lang w:val="en-US"/>
        </w:rPr>
        <w:t>p</w:t>
      </w:r>
      <w:r w:rsidRPr="00656578">
        <w:rPr>
          <w:color w:val="000000" w:themeColor="text1"/>
          <w:lang w:val="en-US"/>
        </w:rPr>
        <w:t>s</w:t>
      </w:r>
      <w:proofErr w:type="spellEnd"/>
      <w:r w:rsidRPr="00656578">
        <w:rPr>
          <w:color w:val="000000" w:themeColor="text1"/>
          <w:lang w:val="en-US"/>
        </w:rPr>
        <w:t xml:space="preserve"> ≤ .034).</w:t>
      </w:r>
    </w:p>
    <w:p w14:paraId="5245D077" w14:textId="21191CDC" w:rsidR="0083223F" w:rsidRDefault="0083223F" w:rsidP="0083223F">
      <w:pPr>
        <w:rPr>
          <w:color w:val="000000" w:themeColor="text1"/>
          <w:lang w:val="en-US"/>
        </w:rPr>
      </w:pPr>
      <w:r w:rsidRPr="00656578">
        <w:rPr>
          <w:color w:val="000000" w:themeColor="text1"/>
          <w:lang w:val="en-US"/>
        </w:rPr>
        <w:t>Finally, countries also differed in their preference for labelling schemes (χ</w:t>
      </w:r>
      <w:proofErr w:type="gramStart"/>
      <w:r w:rsidRPr="00656578">
        <w:rPr>
          <w:color w:val="000000" w:themeColor="text1"/>
          <w:lang w:val="en-US"/>
        </w:rPr>
        <w:t>²[</w:t>
      </w:r>
      <w:proofErr w:type="spellStart"/>
      <w:proofErr w:type="gramEnd"/>
      <w:r w:rsidRPr="00656578">
        <w:rPr>
          <w:i/>
          <w:iCs/>
          <w:color w:val="000000" w:themeColor="text1"/>
          <w:lang w:val="en-US"/>
        </w:rPr>
        <w:t>df</w:t>
      </w:r>
      <w:proofErr w:type="spellEnd"/>
      <w:r w:rsidRPr="00656578">
        <w:rPr>
          <w:color w:val="000000" w:themeColor="text1"/>
          <w:lang w:val="en-US"/>
        </w:rPr>
        <w:t xml:space="preserve"> = 4] = 15.70, </w:t>
      </w:r>
      <w:r w:rsidRPr="00656578">
        <w:rPr>
          <w:i/>
          <w:iCs/>
          <w:color w:val="000000" w:themeColor="text1"/>
          <w:lang w:val="en-US"/>
        </w:rPr>
        <w:t>p</w:t>
      </w:r>
      <w:r w:rsidRPr="00656578">
        <w:rPr>
          <w:color w:val="000000" w:themeColor="text1"/>
          <w:lang w:val="en-US"/>
        </w:rPr>
        <w:t xml:space="preserve"> = .003,</w:t>
      </w:r>
      <w:r w:rsidRPr="00656578">
        <w:rPr>
          <w:i/>
          <w:iCs/>
          <w:color w:val="000000" w:themeColor="text1"/>
          <w:lang w:val="en-US"/>
        </w:rPr>
        <w:t xml:space="preserve"> Cramer V</w:t>
      </w:r>
      <w:r w:rsidRPr="00656578">
        <w:rPr>
          <w:color w:val="000000" w:themeColor="text1"/>
          <w:lang w:val="en-US"/>
        </w:rPr>
        <w:t xml:space="preserve"> = .11). In both Indonesia and Mexico, the majority preferred the Nutri-Score, while in Türkiye, the majority preferred the warning labels (see Table </w:t>
      </w:r>
      <w:r w:rsidR="00380014">
        <w:rPr>
          <w:color w:val="000000" w:themeColor="text1"/>
          <w:lang w:val="en-US"/>
        </w:rPr>
        <w:t>S16</w:t>
      </w:r>
      <w:r w:rsidRPr="00656578">
        <w:rPr>
          <w:color w:val="000000" w:themeColor="text1"/>
          <w:lang w:val="en-US"/>
        </w:rPr>
        <w:t xml:space="preserve"> for the proportions per country).</w:t>
      </w:r>
    </w:p>
    <w:p w14:paraId="4630069A" w14:textId="77777777" w:rsidR="001A75ED" w:rsidRDefault="001A75ED" w:rsidP="0083223F">
      <w:pPr>
        <w:rPr>
          <w:color w:val="000000" w:themeColor="text1"/>
          <w:lang w:val="en-US"/>
        </w:rPr>
      </w:pPr>
    </w:p>
    <w:p w14:paraId="1A475301" w14:textId="0BBFC746" w:rsidR="001A75ED" w:rsidRPr="00656578" w:rsidRDefault="001A75ED" w:rsidP="001A75ED">
      <w:pPr>
        <w:rPr>
          <w:lang w:val="en-US"/>
        </w:rPr>
      </w:pPr>
      <w:r w:rsidRPr="00656578">
        <w:rPr>
          <w:b/>
          <w:bCs/>
          <w:lang w:val="en-US"/>
        </w:rPr>
        <w:t xml:space="preserve">Table </w:t>
      </w:r>
      <w:r w:rsidR="00380014">
        <w:rPr>
          <w:b/>
          <w:bCs/>
          <w:lang w:val="en-US"/>
        </w:rPr>
        <w:t>S15</w:t>
      </w:r>
      <w:r w:rsidRPr="00656578">
        <w:rPr>
          <w:b/>
          <w:bCs/>
          <w:lang w:val="en-US"/>
        </w:rPr>
        <w:t>.</w:t>
      </w:r>
      <w:r w:rsidRPr="00656578">
        <w:rPr>
          <w:lang w:val="en-US"/>
        </w:rPr>
        <w:t xml:space="preserve"> Opinions about FOPNL in general and acceptability ratings of the Nutri-Score and warning labels by country. All cells present means and standard deviations.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1322"/>
        <w:gridCol w:w="1673"/>
        <w:gridCol w:w="1562"/>
        <w:gridCol w:w="1541"/>
        <w:gridCol w:w="1390"/>
      </w:tblGrid>
      <w:tr w:rsidR="001A75ED" w:rsidRPr="00656578" w14:paraId="5D5F89B0" w14:textId="77777777" w:rsidTr="00CC2F37">
        <w:tc>
          <w:tcPr>
            <w:tcW w:w="1881" w:type="dxa"/>
            <w:tcBorders>
              <w:top w:val="single" w:sz="4" w:space="0" w:color="auto"/>
              <w:bottom w:val="single" w:sz="4" w:space="0" w:color="auto"/>
            </w:tcBorders>
          </w:tcPr>
          <w:p w14:paraId="3D47FF1E" w14:textId="77777777" w:rsidR="001A75ED" w:rsidRPr="00656578" w:rsidRDefault="001A75ED" w:rsidP="00CC2F37">
            <w:pPr>
              <w:ind w:firstLine="0"/>
              <w:rPr>
                <w:color w:val="000000" w:themeColor="text1"/>
                <w:lang w:val="en-US"/>
              </w:rPr>
            </w:pPr>
          </w:p>
        </w:tc>
        <w:tc>
          <w:tcPr>
            <w:tcW w:w="1335" w:type="dxa"/>
            <w:tcBorders>
              <w:top w:val="single" w:sz="4" w:space="0" w:color="auto"/>
              <w:bottom w:val="single" w:sz="4" w:space="0" w:color="auto"/>
            </w:tcBorders>
          </w:tcPr>
          <w:p w14:paraId="0E12ECC1" w14:textId="77777777" w:rsidR="001A75ED" w:rsidRPr="00656578" w:rsidRDefault="001A75ED" w:rsidP="00CC2F37">
            <w:pPr>
              <w:ind w:firstLine="0"/>
              <w:jc w:val="center"/>
              <w:rPr>
                <w:color w:val="000000" w:themeColor="text1"/>
                <w:lang w:val="en-US"/>
              </w:rPr>
            </w:pPr>
            <w:r w:rsidRPr="00656578">
              <w:rPr>
                <w:color w:val="000000" w:themeColor="text1"/>
                <w:lang w:val="en-US"/>
              </w:rPr>
              <w:t>Total</w:t>
            </w:r>
          </w:p>
        </w:tc>
        <w:tc>
          <w:tcPr>
            <w:tcW w:w="1684" w:type="dxa"/>
            <w:tcBorders>
              <w:top w:val="single" w:sz="4" w:space="0" w:color="auto"/>
              <w:bottom w:val="single" w:sz="4" w:space="0" w:color="auto"/>
            </w:tcBorders>
          </w:tcPr>
          <w:p w14:paraId="07116D33" w14:textId="77777777" w:rsidR="001A75ED" w:rsidRPr="00656578" w:rsidRDefault="001A75ED" w:rsidP="00CC2F37">
            <w:pPr>
              <w:ind w:firstLine="0"/>
              <w:jc w:val="center"/>
              <w:rPr>
                <w:color w:val="000000" w:themeColor="text1"/>
                <w:lang w:val="en-US"/>
              </w:rPr>
            </w:pPr>
            <w:r w:rsidRPr="00656578">
              <w:rPr>
                <w:color w:val="000000" w:themeColor="text1"/>
                <w:lang w:val="en-US"/>
              </w:rPr>
              <w:t>Indonesia</w:t>
            </w:r>
          </w:p>
        </w:tc>
        <w:tc>
          <w:tcPr>
            <w:tcW w:w="1575" w:type="dxa"/>
            <w:tcBorders>
              <w:top w:val="single" w:sz="4" w:space="0" w:color="auto"/>
              <w:bottom w:val="single" w:sz="4" w:space="0" w:color="auto"/>
            </w:tcBorders>
          </w:tcPr>
          <w:p w14:paraId="42970323" w14:textId="77777777" w:rsidR="001A75ED" w:rsidRPr="00656578" w:rsidRDefault="001A75ED" w:rsidP="00CC2F37">
            <w:pPr>
              <w:ind w:firstLine="0"/>
              <w:jc w:val="center"/>
              <w:rPr>
                <w:color w:val="000000" w:themeColor="text1"/>
                <w:lang w:val="en-US"/>
              </w:rPr>
            </w:pPr>
            <w:r w:rsidRPr="00656578">
              <w:rPr>
                <w:color w:val="000000" w:themeColor="text1"/>
                <w:lang w:val="en-US"/>
              </w:rPr>
              <w:t>Mexico</w:t>
            </w:r>
          </w:p>
        </w:tc>
        <w:tc>
          <w:tcPr>
            <w:tcW w:w="1553" w:type="dxa"/>
            <w:tcBorders>
              <w:top w:val="single" w:sz="4" w:space="0" w:color="auto"/>
              <w:bottom w:val="single" w:sz="4" w:space="0" w:color="auto"/>
            </w:tcBorders>
          </w:tcPr>
          <w:p w14:paraId="366025BD" w14:textId="77777777" w:rsidR="001A75ED" w:rsidRPr="00656578" w:rsidRDefault="001A75ED" w:rsidP="00CC2F37">
            <w:pPr>
              <w:ind w:firstLine="0"/>
              <w:jc w:val="center"/>
              <w:rPr>
                <w:color w:val="000000" w:themeColor="text1"/>
                <w:lang w:val="en-US"/>
              </w:rPr>
            </w:pPr>
            <w:r w:rsidRPr="00656578">
              <w:rPr>
                <w:color w:val="000000" w:themeColor="text1"/>
                <w:lang w:val="en-US"/>
              </w:rPr>
              <w:t>Türkiye</w:t>
            </w:r>
          </w:p>
        </w:tc>
        <w:tc>
          <w:tcPr>
            <w:tcW w:w="1332" w:type="dxa"/>
            <w:tcBorders>
              <w:top w:val="single" w:sz="4" w:space="0" w:color="auto"/>
              <w:bottom w:val="single" w:sz="4" w:space="0" w:color="auto"/>
            </w:tcBorders>
          </w:tcPr>
          <w:p w14:paraId="21949D34" w14:textId="77777777" w:rsidR="001A75ED" w:rsidRPr="00656578" w:rsidRDefault="001A75ED" w:rsidP="00CC2F37">
            <w:pPr>
              <w:ind w:firstLine="0"/>
              <w:jc w:val="center"/>
              <w:rPr>
                <w:color w:val="000000" w:themeColor="text1"/>
                <w:lang w:val="en-US"/>
              </w:rPr>
            </w:pPr>
            <w:r w:rsidRPr="00656578">
              <w:rPr>
                <w:color w:val="000000" w:themeColor="text1"/>
                <w:lang w:val="en-US"/>
              </w:rPr>
              <w:t>Comparison between countries</w:t>
            </w:r>
          </w:p>
        </w:tc>
      </w:tr>
      <w:tr w:rsidR="001A75ED" w:rsidRPr="00656578" w14:paraId="517251BC" w14:textId="77777777" w:rsidTr="00CC2F37">
        <w:tc>
          <w:tcPr>
            <w:tcW w:w="1881" w:type="dxa"/>
            <w:tcBorders>
              <w:top w:val="single" w:sz="4" w:space="0" w:color="auto"/>
            </w:tcBorders>
          </w:tcPr>
          <w:p w14:paraId="35320ED0" w14:textId="77777777" w:rsidR="001A75ED" w:rsidRPr="00656578" w:rsidRDefault="001A75ED" w:rsidP="00CC2F37">
            <w:pPr>
              <w:ind w:firstLine="0"/>
              <w:rPr>
                <w:color w:val="000000" w:themeColor="text1"/>
                <w:lang w:val="en-US"/>
              </w:rPr>
            </w:pPr>
            <w:r w:rsidRPr="00656578">
              <w:rPr>
                <w:color w:val="000000" w:themeColor="text1"/>
                <w:lang w:val="en-US"/>
              </w:rPr>
              <w:t>Pay attention to nutrition information on food packaging</w:t>
            </w:r>
          </w:p>
        </w:tc>
        <w:tc>
          <w:tcPr>
            <w:tcW w:w="1335" w:type="dxa"/>
            <w:tcBorders>
              <w:top w:val="single" w:sz="4" w:space="0" w:color="auto"/>
            </w:tcBorders>
          </w:tcPr>
          <w:p w14:paraId="5C6F0E4A" w14:textId="77777777" w:rsidR="001A75ED" w:rsidRPr="00656578" w:rsidRDefault="001A75ED" w:rsidP="00CC2F37">
            <w:pPr>
              <w:ind w:firstLine="0"/>
              <w:jc w:val="center"/>
              <w:rPr>
                <w:color w:val="000000" w:themeColor="text1"/>
                <w:lang w:val="en-US"/>
              </w:rPr>
            </w:pPr>
            <w:r w:rsidRPr="00656578">
              <w:rPr>
                <w:color w:val="000000" w:themeColor="text1"/>
                <w:lang w:val="en-US"/>
              </w:rPr>
              <w:t>2.82, 1.83</w:t>
            </w:r>
          </w:p>
        </w:tc>
        <w:tc>
          <w:tcPr>
            <w:tcW w:w="1684" w:type="dxa"/>
            <w:tcBorders>
              <w:top w:val="single" w:sz="4" w:space="0" w:color="auto"/>
            </w:tcBorders>
          </w:tcPr>
          <w:p w14:paraId="2B8406B9" w14:textId="77777777" w:rsidR="001A75ED" w:rsidRPr="00656578" w:rsidRDefault="001A75ED" w:rsidP="00CC2F37">
            <w:pPr>
              <w:ind w:firstLine="0"/>
              <w:jc w:val="center"/>
              <w:rPr>
                <w:color w:val="000000" w:themeColor="text1"/>
                <w:lang w:val="en-US"/>
              </w:rPr>
            </w:pPr>
            <w:r w:rsidRPr="00656578">
              <w:rPr>
                <w:color w:val="000000" w:themeColor="text1"/>
                <w:lang w:val="en-US"/>
              </w:rPr>
              <w:t>3.02, 1.70</w:t>
            </w:r>
          </w:p>
        </w:tc>
        <w:tc>
          <w:tcPr>
            <w:tcW w:w="1575" w:type="dxa"/>
            <w:tcBorders>
              <w:top w:val="single" w:sz="4" w:space="0" w:color="auto"/>
            </w:tcBorders>
          </w:tcPr>
          <w:p w14:paraId="0302B8E2" w14:textId="77777777" w:rsidR="001A75ED" w:rsidRPr="00656578" w:rsidRDefault="001A75ED" w:rsidP="00CC2F37">
            <w:pPr>
              <w:ind w:firstLine="0"/>
              <w:jc w:val="center"/>
              <w:rPr>
                <w:color w:val="000000" w:themeColor="text1"/>
                <w:lang w:val="en-US"/>
              </w:rPr>
            </w:pPr>
            <w:r w:rsidRPr="00656578">
              <w:rPr>
                <w:color w:val="000000" w:themeColor="text1"/>
                <w:lang w:val="en-US"/>
              </w:rPr>
              <w:t>2.67, 1.95</w:t>
            </w:r>
          </w:p>
        </w:tc>
        <w:tc>
          <w:tcPr>
            <w:tcW w:w="1553" w:type="dxa"/>
            <w:tcBorders>
              <w:top w:val="single" w:sz="4" w:space="0" w:color="auto"/>
            </w:tcBorders>
          </w:tcPr>
          <w:p w14:paraId="1A7B6921" w14:textId="77777777" w:rsidR="001A75ED" w:rsidRPr="00656578" w:rsidRDefault="001A75ED" w:rsidP="00CC2F37">
            <w:pPr>
              <w:ind w:firstLine="0"/>
              <w:jc w:val="center"/>
              <w:rPr>
                <w:color w:val="000000" w:themeColor="text1"/>
                <w:lang w:val="en-US"/>
              </w:rPr>
            </w:pPr>
            <w:r w:rsidRPr="00656578">
              <w:rPr>
                <w:color w:val="000000" w:themeColor="text1"/>
                <w:lang w:val="en-US"/>
              </w:rPr>
              <w:t>2.75, 1.84</w:t>
            </w:r>
          </w:p>
        </w:tc>
        <w:tc>
          <w:tcPr>
            <w:tcW w:w="1332" w:type="dxa"/>
            <w:tcBorders>
              <w:top w:val="single" w:sz="4" w:space="0" w:color="auto"/>
            </w:tcBorders>
          </w:tcPr>
          <w:p w14:paraId="0B7CE538" w14:textId="77777777" w:rsidR="001A75ED" w:rsidRPr="00656578" w:rsidRDefault="001A75ED" w:rsidP="00CC2F37">
            <w:pPr>
              <w:ind w:firstLine="0"/>
              <w:jc w:val="center"/>
              <w:rPr>
                <w:color w:val="000000" w:themeColor="text1"/>
                <w:lang w:val="en-US"/>
              </w:rPr>
            </w:pPr>
            <w:proofErr w:type="gramStart"/>
            <w:r w:rsidRPr="00656578">
              <w:rPr>
                <w:i/>
                <w:iCs/>
                <w:color w:val="000000" w:themeColor="text1"/>
                <w:lang w:val="en-US"/>
              </w:rPr>
              <w:t>F</w:t>
            </w:r>
            <w:r w:rsidRPr="00656578">
              <w:rPr>
                <w:color w:val="000000" w:themeColor="text1"/>
                <w:lang w:val="en-US"/>
              </w:rPr>
              <w:t>[</w:t>
            </w:r>
            <w:proofErr w:type="gramEnd"/>
            <w:r w:rsidRPr="00656578">
              <w:rPr>
                <w:color w:val="000000" w:themeColor="text1"/>
                <w:lang w:val="en-US"/>
              </w:rPr>
              <w:t xml:space="preserve">2, 635] = 2.13, </w:t>
            </w:r>
            <w:r w:rsidRPr="00656578">
              <w:rPr>
                <w:i/>
                <w:iCs/>
                <w:color w:val="000000" w:themeColor="text1"/>
                <w:lang w:val="en-US"/>
              </w:rPr>
              <w:t>p</w:t>
            </w:r>
            <w:r w:rsidRPr="00656578">
              <w:rPr>
                <w:color w:val="000000" w:themeColor="text1"/>
                <w:lang w:val="en-US"/>
              </w:rPr>
              <w:t xml:space="preserve"> = .120, </w:t>
            </w:r>
            <w:r w:rsidRPr="00656578">
              <w:rPr>
                <w:i/>
                <w:iCs/>
                <w:color w:val="000000" w:themeColor="text1"/>
                <w:lang w:val="en-US"/>
              </w:rPr>
              <w:t>partial</w:t>
            </w:r>
            <w:r w:rsidRPr="00656578">
              <w:rPr>
                <w:color w:val="000000" w:themeColor="text1"/>
                <w:lang w:val="en-US"/>
              </w:rPr>
              <w:t xml:space="preserve"> η² = .01</w:t>
            </w:r>
          </w:p>
        </w:tc>
      </w:tr>
      <w:tr w:rsidR="001A75ED" w:rsidRPr="00656578" w14:paraId="3C12567B" w14:textId="77777777" w:rsidTr="00CC2F37">
        <w:tc>
          <w:tcPr>
            <w:tcW w:w="1881" w:type="dxa"/>
          </w:tcPr>
          <w:p w14:paraId="29B68293" w14:textId="77777777" w:rsidR="001A75ED" w:rsidRPr="00656578" w:rsidRDefault="001A75ED" w:rsidP="00CC2F37">
            <w:pPr>
              <w:ind w:firstLine="0"/>
              <w:rPr>
                <w:color w:val="000000" w:themeColor="text1"/>
                <w:lang w:val="en-US"/>
              </w:rPr>
            </w:pPr>
            <w:proofErr w:type="gramStart"/>
            <w:r w:rsidRPr="00656578">
              <w:rPr>
                <w:color w:val="000000" w:themeColor="text1"/>
                <w:lang w:val="en-US"/>
              </w:rPr>
              <w:t>Base</w:t>
            </w:r>
            <w:proofErr w:type="gramEnd"/>
            <w:r w:rsidRPr="00656578">
              <w:rPr>
                <w:color w:val="000000" w:themeColor="text1"/>
                <w:lang w:val="en-US"/>
              </w:rPr>
              <w:t xml:space="preserve"> purchasing decisions on nutrition information on food packaging</w:t>
            </w:r>
          </w:p>
        </w:tc>
        <w:tc>
          <w:tcPr>
            <w:tcW w:w="1335" w:type="dxa"/>
          </w:tcPr>
          <w:p w14:paraId="59BBFCBF" w14:textId="77777777" w:rsidR="001A75ED" w:rsidRPr="00656578" w:rsidRDefault="001A75ED" w:rsidP="00CC2F37">
            <w:pPr>
              <w:ind w:firstLine="0"/>
              <w:jc w:val="center"/>
              <w:rPr>
                <w:color w:val="000000" w:themeColor="text1"/>
                <w:lang w:val="en-US"/>
              </w:rPr>
            </w:pPr>
            <w:r w:rsidRPr="00656578">
              <w:rPr>
                <w:color w:val="000000" w:themeColor="text1"/>
                <w:lang w:val="en-US"/>
              </w:rPr>
              <w:t>4.15, 1.73</w:t>
            </w:r>
          </w:p>
        </w:tc>
        <w:tc>
          <w:tcPr>
            <w:tcW w:w="1684" w:type="dxa"/>
          </w:tcPr>
          <w:p w14:paraId="1BDBFFD5" w14:textId="77777777" w:rsidR="001A75ED" w:rsidRPr="00656578" w:rsidRDefault="001A75ED" w:rsidP="00CC2F37">
            <w:pPr>
              <w:ind w:firstLine="0"/>
              <w:jc w:val="center"/>
              <w:rPr>
                <w:color w:val="000000" w:themeColor="text1"/>
                <w:lang w:val="en-US"/>
              </w:rPr>
            </w:pPr>
            <w:r w:rsidRPr="00656578">
              <w:rPr>
                <w:color w:val="000000" w:themeColor="text1"/>
                <w:lang w:val="en-US"/>
              </w:rPr>
              <w:t>4.22, 1.57</w:t>
            </w:r>
          </w:p>
        </w:tc>
        <w:tc>
          <w:tcPr>
            <w:tcW w:w="1575" w:type="dxa"/>
          </w:tcPr>
          <w:p w14:paraId="61F25D0D" w14:textId="77777777" w:rsidR="001A75ED" w:rsidRPr="00656578" w:rsidRDefault="001A75ED" w:rsidP="00CC2F37">
            <w:pPr>
              <w:ind w:firstLine="0"/>
              <w:jc w:val="center"/>
              <w:rPr>
                <w:color w:val="000000" w:themeColor="text1"/>
                <w:lang w:val="en-US"/>
              </w:rPr>
            </w:pPr>
            <w:r w:rsidRPr="00656578">
              <w:rPr>
                <w:color w:val="000000" w:themeColor="text1"/>
                <w:lang w:val="en-US"/>
              </w:rPr>
              <w:t>4.38, 1.83</w:t>
            </w:r>
          </w:p>
        </w:tc>
        <w:tc>
          <w:tcPr>
            <w:tcW w:w="1553" w:type="dxa"/>
          </w:tcPr>
          <w:p w14:paraId="29E8B149" w14:textId="77777777" w:rsidR="001A75ED" w:rsidRPr="00656578" w:rsidRDefault="001A75ED" w:rsidP="00CC2F37">
            <w:pPr>
              <w:ind w:firstLine="0"/>
              <w:jc w:val="center"/>
              <w:rPr>
                <w:color w:val="000000" w:themeColor="text1"/>
                <w:lang w:val="en-US"/>
              </w:rPr>
            </w:pPr>
            <w:r w:rsidRPr="00656578">
              <w:rPr>
                <w:color w:val="000000" w:themeColor="text1"/>
                <w:lang w:val="en-US"/>
              </w:rPr>
              <w:t>3.88, 1.75</w:t>
            </w:r>
          </w:p>
        </w:tc>
        <w:tc>
          <w:tcPr>
            <w:tcW w:w="1332" w:type="dxa"/>
          </w:tcPr>
          <w:p w14:paraId="5EE61722" w14:textId="77777777" w:rsidR="001A75ED" w:rsidRPr="00656578" w:rsidRDefault="001A75ED" w:rsidP="00CC2F37">
            <w:pPr>
              <w:ind w:firstLine="0"/>
              <w:jc w:val="center"/>
              <w:rPr>
                <w:color w:val="000000" w:themeColor="text1"/>
                <w:lang w:val="en-US"/>
              </w:rPr>
            </w:pPr>
            <w:proofErr w:type="gramStart"/>
            <w:r w:rsidRPr="00656578">
              <w:rPr>
                <w:i/>
                <w:iCs/>
                <w:color w:val="000000" w:themeColor="text1"/>
                <w:lang w:val="en-US"/>
              </w:rPr>
              <w:t>F</w:t>
            </w:r>
            <w:r w:rsidRPr="00656578">
              <w:rPr>
                <w:color w:val="000000" w:themeColor="text1"/>
                <w:lang w:val="en-US"/>
              </w:rPr>
              <w:t>[</w:t>
            </w:r>
            <w:proofErr w:type="gramEnd"/>
            <w:r w:rsidRPr="00656578">
              <w:rPr>
                <w:color w:val="000000" w:themeColor="text1"/>
                <w:lang w:val="en-US"/>
              </w:rPr>
              <w:t xml:space="preserve">2, 636] = 4.62, </w:t>
            </w:r>
            <w:r w:rsidRPr="00656578">
              <w:rPr>
                <w:i/>
                <w:iCs/>
                <w:color w:val="000000" w:themeColor="text1"/>
                <w:lang w:val="en-US"/>
              </w:rPr>
              <w:t>p</w:t>
            </w:r>
            <w:r w:rsidRPr="00656578">
              <w:rPr>
                <w:color w:val="000000" w:themeColor="text1"/>
                <w:lang w:val="en-US"/>
              </w:rPr>
              <w:t xml:space="preserve"> = .010, </w:t>
            </w:r>
            <w:r w:rsidRPr="00656578">
              <w:rPr>
                <w:i/>
                <w:iCs/>
                <w:color w:val="000000" w:themeColor="text1"/>
                <w:lang w:val="en-US"/>
              </w:rPr>
              <w:t>partial</w:t>
            </w:r>
            <w:r w:rsidRPr="00656578">
              <w:rPr>
                <w:color w:val="000000" w:themeColor="text1"/>
                <w:lang w:val="en-US"/>
              </w:rPr>
              <w:t xml:space="preserve"> η² = .01</w:t>
            </w:r>
          </w:p>
        </w:tc>
      </w:tr>
      <w:tr w:rsidR="001A75ED" w:rsidRPr="00656578" w14:paraId="3A5A63E4" w14:textId="77777777" w:rsidTr="00CC2F37">
        <w:tc>
          <w:tcPr>
            <w:tcW w:w="1881" w:type="dxa"/>
          </w:tcPr>
          <w:p w14:paraId="268C9270" w14:textId="77777777" w:rsidR="001A75ED" w:rsidRPr="00656578" w:rsidRDefault="001A75ED" w:rsidP="00CC2F37">
            <w:pPr>
              <w:ind w:firstLine="0"/>
              <w:rPr>
                <w:color w:val="000000" w:themeColor="text1"/>
                <w:lang w:val="en-US"/>
              </w:rPr>
            </w:pPr>
            <w:r w:rsidRPr="00656578">
              <w:rPr>
                <w:color w:val="000000" w:themeColor="text1"/>
                <w:lang w:val="en-US"/>
              </w:rPr>
              <w:t xml:space="preserve">FOPNL </w:t>
            </w:r>
            <w:proofErr w:type="gramStart"/>
            <w:r w:rsidRPr="00656578">
              <w:rPr>
                <w:color w:val="000000" w:themeColor="text1"/>
                <w:lang w:val="en-US"/>
              </w:rPr>
              <w:t>are</w:t>
            </w:r>
            <w:proofErr w:type="gramEnd"/>
            <w:r w:rsidRPr="00656578">
              <w:rPr>
                <w:color w:val="000000" w:themeColor="text1"/>
                <w:lang w:val="en-US"/>
              </w:rPr>
              <w:t xml:space="preserve"> an important source of information</w:t>
            </w:r>
          </w:p>
        </w:tc>
        <w:tc>
          <w:tcPr>
            <w:tcW w:w="1335" w:type="dxa"/>
          </w:tcPr>
          <w:p w14:paraId="79DA9FC9" w14:textId="77777777" w:rsidR="001A75ED" w:rsidRPr="00656578" w:rsidRDefault="001A75ED" w:rsidP="00CC2F37">
            <w:pPr>
              <w:ind w:firstLine="0"/>
              <w:jc w:val="center"/>
              <w:rPr>
                <w:color w:val="000000" w:themeColor="text1"/>
                <w:lang w:val="en-US"/>
              </w:rPr>
            </w:pPr>
            <w:r w:rsidRPr="00656578">
              <w:rPr>
                <w:color w:val="000000" w:themeColor="text1"/>
                <w:lang w:val="en-US"/>
              </w:rPr>
              <w:t>5.33, 1.19</w:t>
            </w:r>
          </w:p>
        </w:tc>
        <w:tc>
          <w:tcPr>
            <w:tcW w:w="1684" w:type="dxa"/>
          </w:tcPr>
          <w:p w14:paraId="5330DEB3" w14:textId="77777777" w:rsidR="001A75ED" w:rsidRPr="00656578" w:rsidRDefault="001A75ED" w:rsidP="00CC2F37">
            <w:pPr>
              <w:ind w:firstLine="0"/>
              <w:jc w:val="center"/>
              <w:rPr>
                <w:color w:val="000000" w:themeColor="text1"/>
                <w:lang w:val="en-US"/>
              </w:rPr>
            </w:pPr>
            <w:r w:rsidRPr="00656578">
              <w:rPr>
                <w:color w:val="000000" w:themeColor="text1"/>
                <w:lang w:val="en-US"/>
              </w:rPr>
              <w:t>5.25, 1.11</w:t>
            </w:r>
          </w:p>
        </w:tc>
        <w:tc>
          <w:tcPr>
            <w:tcW w:w="1575" w:type="dxa"/>
          </w:tcPr>
          <w:p w14:paraId="14DC5C76" w14:textId="77777777" w:rsidR="001A75ED" w:rsidRPr="00656578" w:rsidRDefault="001A75ED" w:rsidP="00CC2F37">
            <w:pPr>
              <w:ind w:firstLine="0"/>
              <w:jc w:val="center"/>
              <w:rPr>
                <w:color w:val="000000" w:themeColor="text1"/>
                <w:lang w:val="en-US"/>
              </w:rPr>
            </w:pPr>
            <w:r w:rsidRPr="00656578">
              <w:rPr>
                <w:color w:val="000000" w:themeColor="text1"/>
                <w:lang w:val="en-US"/>
              </w:rPr>
              <w:t>5.50, 1.11</w:t>
            </w:r>
          </w:p>
        </w:tc>
        <w:tc>
          <w:tcPr>
            <w:tcW w:w="1553" w:type="dxa"/>
          </w:tcPr>
          <w:p w14:paraId="64D3CFC4" w14:textId="77777777" w:rsidR="001A75ED" w:rsidRPr="00656578" w:rsidRDefault="001A75ED" w:rsidP="00CC2F37">
            <w:pPr>
              <w:ind w:firstLine="0"/>
              <w:jc w:val="center"/>
              <w:rPr>
                <w:color w:val="000000" w:themeColor="text1"/>
                <w:lang w:val="en-US"/>
              </w:rPr>
            </w:pPr>
            <w:r w:rsidRPr="00656578">
              <w:rPr>
                <w:color w:val="000000" w:themeColor="text1"/>
                <w:lang w:val="en-US"/>
              </w:rPr>
              <w:t>5.25, 1.31</w:t>
            </w:r>
          </w:p>
        </w:tc>
        <w:tc>
          <w:tcPr>
            <w:tcW w:w="1332" w:type="dxa"/>
          </w:tcPr>
          <w:p w14:paraId="2CD6752F" w14:textId="77777777" w:rsidR="001A75ED" w:rsidRPr="00656578" w:rsidRDefault="001A75ED" w:rsidP="00CC2F37">
            <w:pPr>
              <w:ind w:firstLine="0"/>
              <w:jc w:val="center"/>
              <w:rPr>
                <w:color w:val="000000" w:themeColor="text1"/>
                <w:lang w:val="en-US"/>
              </w:rPr>
            </w:pPr>
            <w:proofErr w:type="gramStart"/>
            <w:r w:rsidRPr="00656578">
              <w:rPr>
                <w:i/>
                <w:iCs/>
                <w:color w:val="000000" w:themeColor="text1"/>
                <w:lang w:val="en-US"/>
              </w:rPr>
              <w:t>F</w:t>
            </w:r>
            <w:r w:rsidRPr="00656578">
              <w:rPr>
                <w:color w:val="000000" w:themeColor="text1"/>
                <w:lang w:val="en-US"/>
              </w:rPr>
              <w:t>[</w:t>
            </w:r>
            <w:proofErr w:type="gramEnd"/>
            <w:r w:rsidRPr="00656578">
              <w:rPr>
                <w:color w:val="000000" w:themeColor="text1"/>
                <w:lang w:val="en-US"/>
              </w:rPr>
              <w:t xml:space="preserve">2, 635] = 3.18, </w:t>
            </w:r>
            <w:r w:rsidRPr="00656578">
              <w:rPr>
                <w:i/>
                <w:iCs/>
                <w:color w:val="000000" w:themeColor="text1"/>
                <w:lang w:val="en-US"/>
              </w:rPr>
              <w:t>p</w:t>
            </w:r>
            <w:r w:rsidRPr="00656578">
              <w:rPr>
                <w:color w:val="000000" w:themeColor="text1"/>
                <w:lang w:val="en-US"/>
              </w:rPr>
              <w:t xml:space="preserve"> = .042, </w:t>
            </w:r>
            <w:r w:rsidRPr="00656578">
              <w:rPr>
                <w:i/>
                <w:iCs/>
                <w:color w:val="000000" w:themeColor="text1"/>
                <w:lang w:val="en-US"/>
              </w:rPr>
              <w:t>partial</w:t>
            </w:r>
            <w:r w:rsidRPr="00656578">
              <w:rPr>
                <w:color w:val="000000" w:themeColor="text1"/>
                <w:lang w:val="en-US"/>
              </w:rPr>
              <w:t xml:space="preserve"> η² = .01</w:t>
            </w:r>
          </w:p>
        </w:tc>
      </w:tr>
      <w:tr w:rsidR="001A75ED" w:rsidRPr="00656578" w14:paraId="0D2682AE" w14:textId="77777777" w:rsidTr="00CC2F37">
        <w:tc>
          <w:tcPr>
            <w:tcW w:w="1881" w:type="dxa"/>
          </w:tcPr>
          <w:p w14:paraId="38B6F72C" w14:textId="77777777" w:rsidR="001A75ED" w:rsidRPr="00656578" w:rsidRDefault="001A75ED" w:rsidP="00CC2F37">
            <w:pPr>
              <w:ind w:firstLine="0"/>
              <w:rPr>
                <w:color w:val="000000" w:themeColor="text1"/>
                <w:lang w:val="en-US"/>
              </w:rPr>
            </w:pPr>
            <w:r w:rsidRPr="00656578">
              <w:rPr>
                <w:color w:val="000000" w:themeColor="text1"/>
                <w:lang w:val="en-US"/>
              </w:rPr>
              <w:t>FOPNL should be compulsory</w:t>
            </w:r>
          </w:p>
        </w:tc>
        <w:tc>
          <w:tcPr>
            <w:tcW w:w="1335" w:type="dxa"/>
          </w:tcPr>
          <w:p w14:paraId="5E35288D" w14:textId="77777777" w:rsidR="001A75ED" w:rsidRPr="00656578" w:rsidRDefault="001A75ED" w:rsidP="00CC2F37">
            <w:pPr>
              <w:ind w:firstLine="0"/>
              <w:jc w:val="center"/>
              <w:rPr>
                <w:color w:val="000000" w:themeColor="text1"/>
                <w:lang w:val="en-US"/>
              </w:rPr>
            </w:pPr>
            <w:r w:rsidRPr="00656578">
              <w:rPr>
                <w:color w:val="000000" w:themeColor="text1"/>
                <w:lang w:val="en-US"/>
              </w:rPr>
              <w:t>5.52, 1.06</w:t>
            </w:r>
          </w:p>
        </w:tc>
        <w:tc>
          <w:tcPr>
            <w:tcW w:w="1684" w:type="dxa"/>
          </w:tcPr>
          <w:p w14:paraId="386193B2" w14:textId="77777777" w:rsidR="001A75ED" w:rsidRPr="00656578" w:rsidRDefault="001A75ED" w:rsidP="00CC2F37">
            <w:pPr>
              <w:ind w:firstLine="0"/>
              <w:jc w:val="center"/>
              <w:rPr>
                <w:color w:val="000000" w:themeColor="text1"/>
                <w:lang w:val="en-US"/>
              </w:rPr>
            </w:pPr>
            <w:r w:rsidRPr="00656578">
              <w:rPr>
                <w:color w:val="000000" w:themeColor="text1"/>
                <w:lang w:val="en-US"/>
              </w:rPr>
              <w:t>5.24, 1.14</w:t>
            </w:r>
          </w:p>
        </w:tc>
        <w:tc>
          <w:tcPr>
            <w:tcW w:w="1575" w:type="dxa"/>
          </w:tcPr>
          <w:p w14:paraId="126BF1C7" w14:textId="77777777" w:rsidR="001A75ED" w:rsidRPr="00656578" w:rsidRDefault="001A75ED" w:rsidP="00CC2F37">
            <w:pPr>
              <w:ind w:firstLine="0"/>
              <w:jc w:val="center"/>
              <w:rPr>
                <w:color w:val="000000" w:themeColor="text1"/>
                <w:lang w:val="en-US"/>
              </w:rPr>
            </w:pPr>
            <w:r w:rsidRPr="00656578">
              <w:rPr>
                <w:color w:val="000000" w:themeColor="text1"/>
                <w:lang w:val="en-US"/>
              </w:rPr>
              <w:t>5.54, 1.16</w:t>
            </w:r>
          </w:p>
        </w:tc>
        <w:tc>
          <w:tcPr>
            <w:tcW w:w="1553" w:type="dxa"/>
          </w:tcPr>
          <w:p w14:paraId="5227182A" w14:textId="77777777" w:rsidR="001A75ED" w:rsidRPr="00656578" w:rsidRDefault="001A75ED" w:rsidP="00CC2F37">
            <w:pPr>
              <w:ind w:firstLine="0"/>
              <w:jc w:val="center"/>
              <w:rPr>
                <w:color w:val="000000" w:themeColor="text1"/>
                <w:lang w:val="en-US"/>
              </w:rPr>
            </w:pPr>
            <w:r w:rsidRPr="00656578">
              <w:rPr>
                <w:color w:val="000000" w:themeColor="text1"/>
                <w:lang w:val="en-US"/>
              </w:rPr>
              <w:t>5.77, 0.77</w:t>
            </w:r>
          </w:p>
        </w:tc>
        <w:tc>
          <w:tcPr>
            <w:tcW w:w="1332" w:type="dxa"/>
          </w:tcPr>
          <w:p w14:paraId="40D6D7ED" w14:textId="77777777" w:rsidR="001A75ED" w:rsidRPr="00656578" w:rsidRDefault="001A75ED" w:rsidP="00CC2F37">
            <w:pPr>
              <w:ind w:firstLine="0"/>
              <w:jc w:val="center"/>
              <w:rPr>
                <w:color w:val="000000" w:themeColor="text1"/>
                <w:lang w:val="en-US"/>
              </w:rPr>
            </w:pPr>
            <w:proofErr w:type="gramStart"/>
            <w:r w:rsidRPr="00656578">
              <w:rPr>
                <w:i/>
                <w:iCs/>
                <w:color w:val="000000" w:themeColor="text1"/>
                <w:lang w:val="en-US"/>
              </w:rPr>
              <w:t>F</w:t>
            </w:r>
            <w:r w:rsidRPr="00656578">
              <w:rPr>
                <w:color w:val="000000" w:themeColor="text1"/>
                <w:lang w:val="en-US"/>
              </w:rPr>
              <w:t>[</w:t>
            </w:r>
            <w:proofErr w:type="gramEnd"/>
            <w:r w:rsidRPr="00656578">
              <w:rPr>
                <w:color w:val="000000" w:themeColor="text1"/>
                <w:lang w:val="en-US"/>
              </w:rPr>
              <w:t xml:space="preserve">2, 635] = 14.46, </w:t>
            </w:r>
            <w:r w:rsidRPr="00656578">
              <w:rPr>
                <w:i/>
                <w:iCs/>
                <w:color w:val="000000" w:themeColor="text1"/>
                <w:lang w:val="en-US"/>
              </w:rPr>
              <w:t>p</w:t>
            </w:r>
            <w:r w:rsidRPr="00656578">
              <w:rPr>
                <w:color w:val="000000" w:themeColor="text1"/>
                <w:lang w:val="en-US"/>
              </w:rPr>
              <w:t xml:space="preserve"> &lt; .001, </w:t>
            </w:r>
            <w:r w:rsidRPr="00656578">
              <w:rPr>
                <w:i/>
                <w:iCs/>
                <w:color w:val="000000" w:themeColor="text1"/>
                <w:lang w:val="en-US"/>
              </w:rPr>
              <w:t>partial</w:t>
            </w:r>
            <w:r w:rsidRPr="00656578">
              <w:rPr>
                <w:color w:val="000000" w:themeColor="text1"/>
                <w:lang w:val="en-US"/>
              </w:rPr>
              <w:t xml:space="preserve"> η² = .04</w:t>
            </w:r>
          </w:p>
        </w:tc>
      </w:tr>
      <w:tr w:rsidR="001A75ED" w:rsidRPr="00656578" w14:paraId="59F89980" w14:textId="77777777" w:rsidTr="00CC2F37">
        <w:tc>
          <w:tcPr>
            <w:tcW w:w="1881" w:type="dxa"/>
          </w:tcPr>
          <w:p w14:paraId="1970100D" w14:textId="77777777" w:rsidR="001A75ED" w:rsidRPr="00656578" w:rsidRDefault="001A75ED" w:rsidP="00CC2F37">
            <w:pPr>
              <w:ind w:firstLine="0"/>
              <w:rPr>
                <w:color w:val="000000" w:themeColor="text1"/>
                <w:lang w:val="en-US"/>
              </w:rPr>
            </w:pPr>
            <w:r w:rsidRPr="00656578">
              <w:rPr>
                <w:color w:val="000000" w:themeColor="text1"/>
                <w:lang w:val="en-US"/>
              </w:rPr>
              <w:t xml:space="preserve">Food companies should be able to choose whether </w:t>
            </w:r>
            <w:r w:rsidRPr="00656578">
              <w:rPr>
                <w:color w:val="000000" w:themeColor="text1"/>
                <w:lang w:val="en-US"/>
              </w:rPr>
              <w:lastRenderedPageBreak/>
              <w:t>they apply FOPNL</w:t>
            </w:r>
          </w:p>
        </w:tc>
        <w:tc>
          <w:tcPr>
            <w:tcW w:w="1335" w:type="dxa"/>
          </w:tcPr>
          <w:p w14:paraId="7B247718" w14:textId="77777777" w:rsidR="001A75ED" w:rsidRPr="00656578" w:rsidRDefault="001A75ED" w:rsidP="00CC2F37">
            <w:pPr>
              <w:ind w:firstLine="0"/>
              <w:jc w:val="center"/>
              <w:rPr>
                <w:color w:val="000000" w:themeColor="text1"/>
                <w:lang w:val="en-US"/>
              </w:rPr>
            </w:pPr>
            <w:r w:rsidRPr="00656578">
              <w:rPr>
                <w:color w:val="000000" w:themeColor="text1"/>
                <w:lang w:val="en-US"/>
              </w:rPr>
              <w:lastRenderedPageBreak/>
              <w:t>2.69, 2.06</w:t>
            </w:r>
          </w:p>
        </w:tc>
        <w:tc>
          <w:tcPr>
            <w:tcW w:w="1684" w:type="dxa"/>
          </w:tcPr>
          <w:p w14:paraId="40F9D2A6" w14:textId="77777777" w:rsidR="001A75ED" w:rsidRPr="00656578" w:rsidRDefault="001A75ED" w:rsidP="00CC2F37">
            <w:pPr>
              <w:ind w:firstLine="0"/>
              <w:jc w:val="center"/>
              <w:rPr>
                <w:color w:val="000000" w:themeColor="text1"/>
                <w:lang w:val="en-US"/>
              </w:rPr>
            </w:pPr>
            <w:r w:rsidRPr="00656578">
              <w:rPr>
                <w:color w:val="000000" w:themeColor="text1"/>
                <w:lang w:val="en-US"/>
              </w:rPr>
              <w:t>3.22, 1.90</w:t>
            </w:r>
          </w:p>
        </w:tc>
        <w:tc>
          <w:tcPr>
            <w:tcW w:w="1575" w:type="dxa"/>
          </w:tcPr>
          <w:p w14:paraId="4B12F8C1" w14:textId="77777777" w:rsidR="001A75ED" w:rsidRPr="00656578" w:rsidRDefault="001A75ED" w:rsidP="00CC2F37">
            <w:pPr>
              <w:ind w:firstLine="0"/>
              <w:jc w:val="center"/>
              <w:rPr>
                <w:color w:val="000000" w:themeColor="text1"/>
                <w:lang w:val="en-US"/>
              </w:rPr>
            </w:pPr>
            <w:r w:rsidRPr="00656578">
              <w:rPr>
                <w:color w:val="000000" w:themeColor="text1"/>
                <w:lang w:val="en-US"/>
              </w:rPr>
              <w:t>2.52, 2.12</w:t>
            </w:r>
          </w:p>
        </w:tc>
        <w:tc>
          <w:tcPr>
            <w:tcW w:w="1553" w:type="dxa"/>
          </w:tcPr>
          <w:p w14:paraId="31DDE4C6" w14:textId="77777777" w:rsidR="001A75ED" w:rsidRPr="00656578" w:rsidRDefault="001A75ED" w:rsidP="00CC2F37">
            <w:pPr>
              <w:ind w:firstLine="0"/>
              <w:jc w:val="center"/>
              <w:rPr>
                <w:color w:val="000000" w:themeColor="text1"/>
                <w:lang w:val="en-US"/>
              </w:rPr>
            </w:pPr>
            <w:r w:rsidRPr="00656578">
              <w:rPr>
                <w:color w:val="000000" w:themeColor="text1"/>
                <w:lang w:val="en-US"/>
              </w:rPr>
              <w:t>2.35, 2.04</w:t>
            </w:r>
          </w:p>
        </w:tc>
        <w:tc>
          <w:tcPr>
            <w:tcW w:w="1332" w:type="dxa"/>
          </w:tcPr>
          <w:p w14:paraId="289E3F8C" w14:textId="77777777" w:rsidR="001A75ED" w:rsidRPr="00656578" w:rsidRDefault="001A75ED" w:rsidP="00CC2F37">
            <w:pPr>
              <w:ind w:firstLine="0"/>
              <w:jc w:val="center"/>
              <w:rPr>
                <w:color w:val="000000" w:themeColor="text1"/>
                <w:lang w:val="en-US"/>
              </w:rPr>
            </w:pPr>
            <w:proofErr w:type="gramStart"/>
            <w:r w:rsidRPr="00656578">
              <w:rPr>
                <w:i/>
                <w:iCs/>
                <w:color w:val="000000" w:themeColor="text1"/>
                <w:lang w:val="en-US"/>
              </w:rPr>
              <w:t>F</w:t>
            </w:r>
            <w:r w:rsidRPr="00656578">
              <w:rPr>
                <w:color w:val="000000" w:themeColor="text1"/>
                <w:lang w:val="en-US"/>
              </w:rPr>
              <w:t>[</w:t>
            </w:r>
            <w:proofErr w:type="gramEnd"/>
            <w:r w:rsidRPr="00656578">
              <w:rPr>
                <w:color w:val="000000" w:themeColor="text1"/>
                <w:lang w:val="en-US"/>
              </w:rPr>
              <w:t xml:space="preserve">2, 636] = 11.17, </w:t>
            </w:r>
            <w:r w:rsidRPr="00656578">
              <w:rPr>
                <w:i/>
                <w:iCs/>
                <w:color w:val="000000" w:themeColor="text1"/>
                <w:lang w:val="en-US"/>
              </w:rPr>
              <w:t>p</w:t>
            </w:r>
            <w:r w:rsidRPr="00656578">
              <w:rPr>
                <w:color w:val="000000" w:themeColor="text1"/>
                <w:lang w:val="en-US"/>
              </w:rPr>
              <w:t xml:space="preserve"> &lt; .001, </w:t>
            </w:r>
            <w:r w:rsidRPr="00656578">
              <w:rPr>
                <w:i/>
                <w:iCs/>
                <w:color w:val="000000" w:themeColor="text1"/>
                <w:lang w:val="en-US"/>
              </w:rPr>
              <w:lastRenderedPageBreak/>
              <w:t>partial</w:t>
            </w:r>
            <w:r w:rsidRPr="00656578">
              <w:rPr>
                <w:color w:val="000000" w:themeColor="text1"/>
                <w:lang w:val="en-US"/>
              </w:rPr>
              <w:t xml:space="preserve"> η² = .03</w:t>
            </w:r>
          </w:p>
        </w:tc>
      </w:tr>
      <w:tr w:rsidR="001A75ED" w:rsidRPr="00656578" w14:paraId="5A4CBC60" w14:textId="77777777" w:rsidTr="00CC2F37">
        <w:tc>
          <w:tcPr>
            <w:tcW w:w="1881" w:type="dxa"/>
          </w:tcPr>
          <w:p w14:paraId="3125B3D2" w14:textId="77777777" w:rsidR="001A75ED" w:rsidRPr="00656578" w:rsidRDefault="001A75ED" w:rsidP="00CC2F37">
            <w:pPr>
              <w:ind w:firstLine="0"/>
              <w:rPr>
                <w:color w:val="000000" w:themeColor="text1"/>
                <w:lang w:val="en-US"/>
              </w:rPr>
            </w:pPr>
            <w:r w:rsidRPr="00656578">
              <w:rPr>
                <w:color w:val="000000" w:themeColor="text1"/>
                <w:lang w:val="en-US"/>
              </w:rPr>
              <w:lastRenderedPageBreak/>
              <w:t>Acceptability of Nutri-Score</w:t>
            </w:r>
          </w:p>
        </w:tc>
        <w:tc>
          <w:tcPr>
            <w:tcW w:w="1335" w:type="dxa"/>
          </w:tcPr>
          <w:p w14:paraId="0E703D7C" w14:textId="77777777" w:rsidR="001A75ED" w:rsidRPr="00656578" w:rsidRDefault="001A75ED" w:rsidP="00CC2F37">
            <w:pPr>
              <w:ind w:firstLine="0"/>
              <w:jc w:val="center"/>
              <w:rPr>
                <w:color w:val="000000" w:themeColor="text1"/>
                <w:lang w:val="en-US"/>
              </w:rPr>
            </w:pPr>
            <w:r w:rsidRPr="00656578">
              <w:rPr>
                <w:color w:val="000000" w:themeColor="text1"/>
                <w:lang w:val="en-US"/>
              </w:rPr>
              <w:t>5.00, 1.28</w:t>
            </w:r>
          </w:p>
        </w:tc>
        <w:tc>
          <w:tcPr>
            <w:tcW w:w="1684" w:type="dxa"/>
          </w:tcPr>
          <w:p w14:paraId="02F36863" w14:textId="77777777" w:rsidR="001A75ED" w:rsidRPr="00656578" w:rsidRDefault="001A75ED" w:rsidP="00CC2F37">
            <w:pPr>
              <w:ind w:firstLine="0"/>
              <w:jc w:val="center"/>
              <w:rPr>
                <w:color w:val="000000" w:themeColor="text1"/>
                <w:lang w:val="en-US"/>
              </w:rPr>
            </w:pPr>
            <w:r w:rsidRPr="00656578">
              <w:rPr>
                <w:color w:val="000000" w:themeColor="text1"/>
                <w:lang w:val="en-US"/>
              </w:rPr>
              <w:t>4.87, 1.00</w:t>
            </w:r>
          </w:p>
        </w:tc>
        <w:tc>
          <w:tcPr>
            <w:tcW w:w="1575" w:type="dxa"/>
          </w:tcPr>
          <w:p w14:paraId="4EF84321" w14:textId="77777777" w:rsidR="001A75ED" w:rsidRPr="00656578" w:rsidRDefault="001A75ED" w:rsidP="00CC2F37">
            <w:pPr>
              <w:ind w:firstLine="0"/>
              <w:jc w:val="center"/>
              <w:rPr>
                <w:color w:val="000000" w:themeColor="text1"/>
                <w:lang w:val="en-US"/>
              </w:rPr>
            </w:pPr>
            <w:r w:rsidRPr="00656578">
              <w:rPr>
                <w:color w:val="000000" w:themeColor="text1"/>
                <w:lang w:val="en-US"/>
              </w:rPr>
              <w:t>5.24, 1.67</w:t>
            </w:r>
          </w:p>
        </w:tc>
        <w:tc>
          <w:tcPr>
            <w:tcW w:w="1553" w:type="dxa"/>
          </w:tcPr>
          <w:p w14:paraId="2534266E" w14:textId="77777777" w:rsidR="001A75ED" w:rsidRPr="00656578" w:rsidRDefault="001A75ED" w:rsidP="00CC2F37">
            <w:pPr>
              <w:ind w:firstLine="0"/>
              <w:jc w:val="center"/>
              <w:rPr>
                <w:color w:val="000000" w:themeColor="text1"/>
                <w:lang w:val="en-US"/>
              </w:rPr>
            </w:pPr>
            <w:r w:rsidRPr="00656578">
              <w:rPr>
                <w:color w:val="000000" w:themeColor="text1"/>
                <w:lang w:val="en-US"/>
              </w:rPr>
              <w:t>4.90, 1.07</w:t>
            </w:r>
          </w:p>
        </w:tc>
        <w:tc>
          <w:tcPr>
            <w:tcW w:w="1332" w:type="dxa"/>
          </w:tcPr>
          <w:p w14:paraId="5CB3017B" w14:textId="77777777" w:rsidR="001A75ED" w:rsidRPr="00656578" w:rsidRDefault="001A75ED" w:rsidP="00CC2F37">
            <w:pPr>
              <w:ind w:firstLine="0"/>
              <w:jc w:val="center"/>
              <w:rPr>
                <w:color w:val="000000" w:themeColor="text1"/>
                <w:lang w:val="en-US"/>
              </w:rPr>
            </w:pPr>
          </w:p>
        </w:tc>
      </w:tr>
      <w:tr w:rsidR="001A75ED" w:rsidRPr="00656578" w14:paraId="0FFB20F3" w14:textId="77777777" w:rsidTr="00CC2F37">
        <w:tc>
          <w:tcPr>
            <w:tcW w:w="1881" w:type="dxa"/>
          </w:tcPr>
          <w:p w14:paraId="4CE38FE8" w14:textId="77777777" w:rsidR="001A75ED" w:rsidRPr="00656578" w:rsidRDefault="001A75ED" w:rsidP="00CC2F37">
            <w:pPr>
              <w:ind w:firstLine="0"/>
              <w:rPr>
                <w:color w:val="000000" w:themeColor="text1"/>
                <w:lang w:val="en-US"/>
              </w:rPr>
            </w:pPr>
            <w:r w:rsidRPr="00656578">
              <w:rPr>
                <w:color w:val="000000" w:themeColor="text1"/>
                <w:lang w:val="en-US"/>
              </w:rPr>
              <w:t>Acceptability of warning label</w:t>
            </w:r>
          </w:p>
        </w:tc>
        <w:tc>
          <w:tcPr>
            <w:tcW w:w="1335" w:type="dxa"/>
          </w:tcPr>
          <w:p w14:paraId="511499BC" w14:textId="77777777" w:rsidR="001A75ED" w:rsidRPr="00656578" w:rsidRDefault="001A75ED" w:rsidP="00CC2F37">
            <w:pPr>
              <w:ind w:firstLine="0"/>
              <w:jc w:val="center"/>
              <w:rPr>
                <w:color w:val="000000" w:themeColor="text1"/>
                <w:lang w:val="en-US"/>
              </w:rPr>
            </w:pPr>
            <w:r w:rsidRPr="00656578">
              <w:rPr>
                <w:color w:val="000000" w:themeColor="text1"/>
                <w:lang w:val="en-US"/>
              </w:rPr>
              <w:t>5.07, 1.28</w:t>
            </w:r>
          </w:p>
        </w:tc>
        <w:tc>
          <w:tcPr>
            <w:tcW w:w="1684" w:type="dxa"/>
          </w:tcPr>
          <w:p w14:paraId="1E5AB510" w14:textId="77777777" w:rsidR="001A75ED" w:rsidRPr="00656578" w:rsidRDefault="001A75ED" w:rsidP="00CC2F37">
            <w:pPr>
              <w:ind w:firstLine="0"/>
              <w:jc w:val="center"/>
              <w:rPr>
                <w:color w:val="000000" w:themeColor="text1"/>
                <w:lang w:val="en-US"/>
              </w:rPr>
            </w:pPr>
            <w:r w:rsidRPr="00656578">
              <w:rPr>
                <w:color w:val="000000" w:themeColor="text1"/>
                <w:lang w:val="en-US"/>
              </w:rPr>
              <w:t>4.88, 1.05</w:t>
            </w:r>
          </w:p>
        </w:tc>
        <w:tc>
          <w:tcPr>
            <w:tcW w:w="1575" w:type="dxa"/>
          </w:tcPr>
          <w:p w14:paraId="18E0F2A5" w14:textId="77777777" w:rsidR="001A75ED" w:rsidRPr="00656578" w:rsidRDefault="001A75ED" w:rsidP="00CC2F37">
            <w:pPr>
              <w:ind w:firstLine="0"/>
              <w:jc w:val="center"/>
              <w:rPr>
                <w:color w:val="000000" w:themeColor="text1"/>
                <w:lang w:val="en-US"/>
              </w:rPr>
            </w:pPr>
            <w:r w:rsidRPr="00656578">
              <w:rPr>
                <w:color w:val="000000" w:themeColor="text1"/>
                <w:lang w:val="en-US"/>
              </w:rPr>
              <w:t>5.34, 1.60</w:t>
            </w:r>
          </w:p>
        </w:tc>
        <w:tc>
          <w:tcPr>
            <w:tcW w:w="1553" w:type="dxa"/>
          </w:tcPr>
          <w:p w14:paraId="08C95087" w14:textId="77777777" w:rsidR="001A75ED" w:rsidRPr="00656578" w:rsidRDefault="001A75ED" w:rsidP="00CC2F37">
            <w:pPr>
              <w:ind w:firstLine="0"/>
              <w:jc w:val="center"/>
              <w:rPr>
                <w:color w:val="000000" w:themeColor="text1"/>
                <w:lang w:val="en-US"/>
              </w:rPr>
            </w:pPr>
            <w:r w:rsidRPr="00656578">
              <w:rPr>
                <w:color w:val="000000" w:themeColor="text1"/>
                <w:lang w:val="en-US"/>
              </w:rPr>
              <w:t>5.00, 1.11</w:t>
            </w:r>
          </w:p>
        </w:tc>
        <w:tc>
          <w:tcPr>
            <w:tcW w:w="1332" w:type="dxa"/>
          </w:tcPr>
          <w:p w14:paraId="2E230171" w14:textId="77777777" w:rsidR="001A75ED" w:rsidRPr="00656578" w:rsidRDefault="001A75ED" w:rsidP="00CC2F37">
            <w:pPr>
              <w:ind w:firstLine="0"/>
              <w:jc w:val="center"/>
              <w:rPr>
                <w:color w:val="000000" w:themeColor="text1"/>
                <w:lang w:val="en-US"/>
              </w:rPr>
            </w:pPr>
          </w:p>
        </w:tc>
      </w:tr>
      <w:tr w:rsidR="001A75ED" w:rsidRPr="00656578" w14:paraId="34777A13" w14:textId="77777777" w:rsidTr="00CC2F37">
        <w:tc>
          <w:tcPr>
            <w:tcW w:w="1881" w:type="dxa"/>
          </w:tcPr>
          <w:p w14:paraId="302BB609" w14:textId="77777777" w:rsidR="001A75ED" w:rsidRPr="00656578" w:rsidRDefault="001A75ED" w:rsidP="00CC2F37">
            <w:pPr>
              <w:ind w:firstLine="0"/>
              <w:rPr>
                <w:color w:val="000000" w:themeColor="text1"/>
                <w:lang w:val="en-US"/>
              </w:rPr>
            </w:pPr>
            <w:r w:rsidRPr="00656578">
              <w:rPr>
                <w:color w:val="000000" w:themeColor="text1"/>
                <w:lang w:val="en-US"/>
              </w:rPr>
              <w:t xml:space="preserve">Would stop buying product with Nutri-Score D or E </w:t>
            </w:r>
          </w:p>
        </w:tc>
        <w:tc>
          <w:tcPr>
            <w:tcW w:w="1335" w:type="dxa"/>
          </w:tcPr>
          <w:p w14:paraId="17F3541C" w14:textId="77777777" w:rsidR="001A75ED" w:rsidRPr="00656578" w:rsidRDefault="001A75ED" w:rsidP="00CC2F37">
            <w:pPr>
              <w:ind w:firstLine="0"/>
              <w:jc w:val="center"/>
              <w:rPr>
                <w:color w:val="000000" w:themeColor="text1"/>
                <w:lang w:val="en-US"/>
              </w:rPr>
            </w:pPr>
            <w:r w:rsidRPr="00656578">
              <w:rPr>
                <w:color w:val="000000" w:themeColor="text1"/>
                <w:lang w:val="en-US"/>
              </w:rPr>
              <w:t>4.43, 1.91</w:t>
            </w:r>
          </w:p>
        </w:tc>
        <w:tc>
          <w:tcPr>
            <w:tcW w:w="1684" w:type="dxa"/>
          </w:tcPr>
          <w:p w14:paraId="6CEE6BAB" w14:textId="77777777" w:rsidR="001A75ED" w:rsidRPr="00656578" w:rsidRDefault="001A75ED" w:rsidP="00CC2F37">
            <w:pPr>
              <w:ind w:firstLine="0"/>
              <w:jc w:val="center"/>
              <w:rPr>
                <w:color w:val="000000" w:themeColor="text1"/>
                <w:lang w:val="en-US"/>
              </w:rPr>
            </w:pPr>
            <w:r w:rsidRPr="00656578">
              <w:rPr>
                <w:color w:val="000000" w:themeColor="text1"/>
                <w:lang w:val="en-US"/>
              </w:rPr>
              <w:t>4.13, 1.67</w:t>
            </w:r>
          </w:p>
        </w:tc>
        <w:tc>
          <w:tcPr>
            <w:tcW w:w="1575" w:type="dxa"/>
          </w:tcPr>
          <w:p w14:paraId="11A5737D" w14:textId="77777777" w:rsidR="001A75ED" w:rsidRPr="00656578" w:rsidRDefault="001A75ED" w:rsidP="00CC2F37">
            <w:pPr>
              <w:ind w:firstLine="0"/>
              <w:jc w:val="center"/>
              <w:rPr>
                <w:color w:val="000000" w:themeColor="text1"/>
                <w:lang w:val="en-US"/>
              </w:rPr>
            </w:pPr>
            <w:r w:rsidRPr="00656578">
              <w:rPr>
                <w:color w:val="000000" w:themeColor="text1"/>
                <w:lang w:val="en-US"/>
              </w:rPr>
              <w:t>4.58, 2.37</w:t>
            </w:r>
          </w:p>
        </w:tc>
        <w:tc>
          <w:tcPr>
            <w:tcW w:w="1553" w:type="dxa"/>
          </w:tcPr>
          <w:p w14:paraId="134C3956" w14:textId="77777777" w:rsidR="001A75ED" w:rsidRPr="00656578" w:rsidRDefault="001A75ED" w:rsidP="00CC2F37">
            <w:pPr>
              <w:ind w:firstLine="0"/>
              <w:jc w:val="center"/>
              <w:rPr>
                <w:color w:val="000000" w:themeColor="text1"/>
                <w:lang w:val="en-US"/>
              </w:rPr>
            </w:pPr>
            <w:r w:rsidRPr="00656578">
              <w:rPr>
                <w:color w:val="000000" w:themeColor="text1"/>
                <w:lang w:val="en-US"/>
              </w:rPr>
              <w:t>4.58, 1.60</w:t>
            </w:r>
          </w:p>
        </w:tc>
        <w:tc>
          <w:tcPr>
            <w:tcW w:w="1332" w:type="dxa"/>
          </w:tcPr>
          <w:p w14:paraId="6E40512F" w14:textId="77777777" w:rsidR="001A75ED" w:rsidRPr="00656578" w:rsidRDefault="001A75ED" w:rsidP="00CC2F37">
            <w:pPr>
              <w:ind w:firstLine="0"/>
              <w:jc w:val="center"/>
              <w:rPr>
                <w:color w:val="000000" w:themeColor="text1"/>
                <w:lang w:val="en-US"/>
              </w:rPr>
            </w:pPr>
          </w:p>
        </w:tc>
      </w:tr>
      <w:tr w:rsidR="001A75ED" w:rsidRPr="00656578" w14:paraId="0CEACA6A" w14:textId="77777777" w:rsidTr="00CC2F37">
        <w:tc>
          <w:tcPr>
            <w:tcW w:w="1881" w:type="dxa"/>
            <w:tcBorders>
              <w:bottom w:val="single" w:sz="4" w:space="0" w:color="auto"/>
            </w:tcBorders>
          </w:tcPr>
          <w:p w14:paraId="66930A6F" w14:textId="77777777" w:rsidR="001A75ED" w:rsidRPr="00656578" w:rsidRDefault="001A75ED" w:rsidP="00CC2F37">
            <w:pPr>
              <w:ind w:firstLine="0"/>
              <w:rPr>
                <w:color w:val="000000" w:themeColor="text1"/>
                <w:lang w:val="en-US"/>
              </w:rPr>
            </w:pPr>
            <w:r w:rsidRPr="00656578">
              <w:rPr>
                <w:color w:val="000000" w:themeColor="text1"/>
                <w:lang w:val="en-US"/>
              </w:rPr>
              <w:t xml:space="preserve">Would stop buying </w:t>
            </w:r>
            <w:proofErr w:type="gramStart"/>
            <w:r w:rsidRPr="00656578">
              <w:rPr>
                <w:color w:val="000000" w:themeColor="text1"/>
                <w:lang w:val="en-US"/>
              </w:rPr>
              <w:t>product</w:t>
            </w:r>
            <w:proofErr w:type="gramEnd"/>
            <w:r w:rsidRPr="00656578">
              <w:rPr>
                <w:color w:val="000000" w:themeColor="text1"/>
                <w:lang w:val="en-US"/>
              </w:rPr>
              <w:t xml:space="preserve"> with warning label</w:t>
            </w:r>
          </w:p>
        </w:tc>
        <w:tc>
          <w:tcPr>
            <w:tcW w:w="1335" w:type="dxa"/>
            <w:tcBorders>
              <w:bottom w:val="single" w:sz="4" w:space="0" w:color="auto"/>
            </w:tcBorders>
          </w:tcPr>
          <w:p w14:paraId="320434DE" w14:textId="77777777" w:rsidR="001A75ED" w:rsidRPr="00656578" w:rsidRDefault="001A75ED" w:rsidP="00CC2F37">
            <w:pPr>
              <w:ind w:firstLine="0"/>
              <w:jc w:val="center"/>
              <w:rPr>
                <w:color w:val="000000" w:themeColor="text1"/>
                <w:lang w:val="en-US"/>
              </w:rPr>
            </w:pPr>
            <w:r w:rsidRPr="00656578">
              <w:rPr>
                <w:color w:val="000000" w:themeColor="text1"/>
                <w:lang w:val="en-US"/>
              </w:rPr>
              <w:t>4.47, 1.99</w:t>
            </w:r>
          </w:p>
        </w:tc>
        <w:tc>
          <w:tcPr>
            <w:tcW w:w="1684" w:type="dxa"/>
            <w:tcBorders>
              <w:bottom w:val="single" w:sz="4" w:space="0" w:color="auto"/>
            </w:tcBorders>
          </w:tcPr>
          <w:p w14:paraId="666CFBBE" w14:textId="77777777" w:rsidR="001A75ED" w:rsidRPr="00656578" w:rsidRDefault="001A75ED" w:rsidP="00CC2F37">
            <w:pPr>
              <w:ind w:firstLine="0"/>
              <w:jc w:val="center"/>
              <w:rPr>
                <w:color w:val="000000" w:themeColor="text1"/>
                <w:lang w:val="en-US"/>
              </w:rPr>
            </w:pPr>
            <w:r w:rsidRPr="00656578">
              <w:rPr>
                <w:color w:val="000000" w:themeColor="text1"/>
                <w:lang w:val="en-US"/>
              </w:rPr>
              <w:t>3.97, 1.67</w:t>
            </w:r>
          </w:p>
        </w:tc>
        <w:tc>
          <w:tcPr>
            <w:tcW w:w="1575" w:type="dxa"/>
            <w:tcBorders>
              <w:bottom w:val="single" w:sz="4" w:space="0" w:color="auto"/>
            </w:tcBorders>
          </w:tcPr>
          <w:p w14:paraId="7E0292B8" w14:textId="77777777" w:rsidR="001A75ED" w:rsidRPr="00656578" w:rsidRDefault="001A75ED" w:rsidP="00CC2F37">
            <w:pPr>
              <w:ind w:firstLine="0"/>
              <w:jc w:val="center"/>
              <w:rPr>
                <w:color w:val="000000" w:themeColor="text1"/>
                <w:lang w:val="en-US"/>
              </w:rPr>
            </w:pPr>
            <w:r w:rsidRPr="00656578">
              <w:rPr>
                <w:color w:val="000000" w:themeColor="text1"/>
                <w:lang w:val="en-US"/>
              </w:rPr>
              <w:t>4.98, 2.37</w:t>
            </w:r>
          </w:p>
        </w:tc>
        <w:tc>
          <w:tcPr>
            <w:tcW w:w="1553" w:type="dxa"/>
            <w:tcBorders>
              <w:bottom w:val="single" w:sz="4" w:space="0" w:color="auto"/>
            </w:tcBorders>
          </w:tcPr>
          <w:p w14:paraId="43C38FDC" w14:textId="77777777" w:rsidR="001A75ED" w:rsidRPr="00656578" w:rsidRDefault="001A75ED" w:rsidP="00CC2F37">
            <w:pPr>
              <w:ind w:firstLine="0"/>
              <w:jc w:val="center"/>
              <w:rPr>
                <w:color w:val="000000" w:themeColor="text1"/>
                <w:lang w:val="en-US"/>
              </w:rPr>
            </w:pPr>
            <w:r w:rsidRPr="00656578">
              <w:rPr>
                <w:color w:val="000000" w:themeColor="text1"/>
                <w:lang w:val="en-US"/>
              </w:rPr>
              <w:t>4.50, 1.76</w:t>
            </w:r>
          </w:p>
        </w:tc>
        <w:tc>
          <w:tcPr>
            <w:tcW w:w="1332" w:type="dxa"/>
            <w:tcBorders>
              <w:bottom w:val="single" w:sz="4" w:space="0" w:color="auto"/>
            </w:tcBorders>
          </w:tcPr>
          <w:p w14:paraId="4072BDDE" w14:textId="77777777" w:rsidR="001A75ED" w:rsidRPr="00656578" w:rsidRDefault="001A75ED" w:rsidP="00CC2F37">
            <w:pPr>
              <w:ind w:firstLine="0"/>
              <w:jc w:val="center"/>
              <w:rPr>
                <w:color w:val="000000" w:themeColor="text1"/>
                <w:lang w:val="en-US"/>
              </w:rPr>
            </w:pPr>
          </w:p>
        </w:tc>
      </w:tr>
    </w:tbl>
    <w:p w14:paraId="122EFE0D" w14:textId="77777777" w:rsidR="001A75ED" w:rsidRDefault="001A75ED" w:rsidP="001A75ED">
      <w:pPr>
        <w:spacing w:after="160" w:line="259" w:lineRule="auto"/>
        <w:ind w:firstLine="0"/>
        <w:rPr>
          <w:lang w:val="en-US"/>
        </w:rPr>
      </w:pPr>
    </w:p>
    <w:p w14:paraId="2FD4F185" w14:textId="48F5E739" w:rsidR="001A75ED" w:rsidRPr="00656578" w:rsidRDefault="001A75ED" w:rsidP="001A75ED">
      <w:pPr>
        <w:rPr>
          <w:lang w:val="en-US"/>
        </w:rPr>
      </w:pPr>
      <w:r w:rsidRPr="00656578">
        <w:rPr>
          <w:b/>
          <w:bCs/>
          <w:lang w:val="en-US"/>
        </w:rPr>
        <w:t xml:space="preserve">Table </w:t>
      </w:r>
      <w:r w:rsidR="00380014">
        <w:rPr>
          <w:b/>
          <w:bCs/>
          <w:lang w:val="en-US"/>
        </w:rPr>
        <w:t>S16</w:t>
      </w:r>
      <w:r w:rsidRPr="00656578">
        <w:rPr>
          <w:b/>
          <w:bCs/>
          <w:lang w:val="en-US"/>
        </w:rPr>
        <w:t>.</w:t>
      </w:r>
      <w:r w:rsidRPr="00656578">
        <w:rPr>
          <w:lang w:val="en-US"/>
        </w:rPr>
        <w:t xml:space="preserve"> Preferences for the Nutri-Score, the warning label, or neither label by country.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1A75ED" w:rsidRPr="00656578" w14:paraId="14F6A294" w14:textId="77777777" w:rsidTr="00CC2F37">
        <w:tc>
          <w:tcPr>
            <w:tcW w:w="2337" w:type="dxa"/>
            <w:tcBorders>
              <w:top w:val="single" w:sz="4" w:space="0" w:color="auto"/>
              <w:bottom w:val="single" w:sz="4" w:space="0" w:color="auto"/>
            </w:tcBorders>
          </w:tcPr>
          <w:p w14:paraId="17424905" w14:textId="77777777" w:rsidR="001A75ED" w:rsidRPr="00656578" w:rsidRDefault="001A75ED" w:rsidP="00CC2F37">
            <w:pPr>
              <w:ind w:firstLine="0"/>
              <w:rPr>
                <w:lang w:val="en-US"/>
              </w:rPr>
            </w:pPr>
          </w:p>
        </w:tc>
        <w:tc>
          <w:tcPr>
            <w:tcW w:w="2337" w:type="dxa"/>
            <w:tcBorders>
              <w:top w:val="single" w:sz="4" w:space="0" w:color="auto"/>
              <w:bottom w:val="single" w:sz="4" w:space="0" w:color="auto"/>
            </w:tcBorders>
          </w:tcPr>
          <w:p w14:paraId="64F80627" w14:textId="77777777" w:rsidR="001A75ED" w:rsidRPr="00656578" w:rsidRDefault="001A75ED" w:rsidP="00CC2F37">
            <w:pPr>
              <w:ind w:firstLine="0"/>
              <w:jc w:val="center"/>
              <w:rPr>
                <w:lang w:val="en-US"/>
              </w:rPr>
            </w:pPr>
            <w:r w:rsidRPr="00656578">
              <w:rPr>
                <w:lang w:val="en-US"/>
              </w:rPr>
              <w:t>Indonesia</w:t>
            </w:r>
          </w:p>
        </w:tc>
        <w:tc>
          <w:tcPr>
            <w:tcW w:w="2338" w:type="dxa"/>
            <w:tcBorders>
              <w:top w:val="single" w:sz="4" w:space="0" w:color="auto"/>
              <w:bottom w:val="single" w:sz="4" w:space="0" w:color="auto"/>
            </w:tcBorders>
          </w:tcPr>
          <w:p w14:paraId="1A10EEFF" w14:textId="77777777" w:rsidR="001A75ED" w:rsidRPr="00656578" w:rsidRDefault="001A75ED" w:rsidP="00CC2F37">
            <w:pPr>
              <w:ind w:firstLine="0"/>
              <w:jc w:val="center"/>
              <w:rPr>
                <w:lang w:val="en-US"/>
              </w:rPr>
            </w:pPr>
            <w:r w:rsidRPr="00656578">
              <w:rPr>
                <w:lang w:val="en-US"/>
              </w:rPr>
              <w:t>Mexico</w:t>
            </w:r>
          </w:p>
        </w:tc>
        <w:tc>
          <w:tcPr>
            <w:tcW w:w="2338" w:type="dxa"/>
            <w:tcBorders>
              <w:top w:val="single" w:sz="4" w:space="0" w:color="auto"/>
              <w:bottom w:val="single" w:sz="4" w:space="0" w:color="auto"/>
            </w:tcBorders>
          </w:tcPr>
          <w:p w14:paraId="16AD6489" w14:textId="77777777" w:rsidR="001A75ED" w:rsidRPr="00656578" w:rsidRDefault="001A75ED" w:rsidP="00CC2F37">
            <w:pPr>
              <w:ind w:firstLine="0"/>
              <w:jc w:val="center"/>
              <w:rPr>
                <w:lang w:val="en-US"/>
              </w:rPr>
            </w:pPr>
            <w:r w:rsidRPr="00656578">
              <w:rPr>
                <w:color w:val="000000" w:themeColor="text1"/>
                <w:lang w:val="en-US"/>
              </w:rPr>
              <w:t>Türkiye</w:t>
            </w:r>
          </w:p>
        </w:tc>
      </w:tr>
      <w:tr w:rsidR="001A75ED" w:rsidRPr="00656578" w14:paraId="29B24431" w14:textId="77777777" w:rsidTr="00CC2F37">
        <w:tc>
          <w:tcPr>
            <w:tcW w:w="2337" w:type="dxa"/>
            <w:tcBorders>
              <w:top w:val="single" w:sz="4" w:space="0" w:color="auto"/>
            </w:tcBorders>
          </w:tcPr>
          <w:p w14:paraId="54C7D431" w14:textId="77777777" w:rsidR="001A75ED" w:rsidRPr="00656578" w:rsidRDefault="001A75ED" w:rsidP="00CC2F37">
            <w:pPr>
              <w:ind w:firstLine="0"/>
              <w:rPr>
                <w:lang w:val="en-US"/>
              </w:rPr>
            </w:pPr>
            <w:r w:rsidRPr="00656578">
              <w:rPr>
                <w:lang w:val="en-US"/>
              </w:rPr>
              <w:t>Preference for Nutri-Score</w:t>
            </w:r>
          </w:p>
        </w:tc>
        <w:tc>
          <w:tcPr>
            <w:tcW w:w="2337" w:type="dxa"/>
            <w:tcBorders>
              <w:top w:val="single" w:sz="4" w:space="0" w:color="auto"/>
            </w:tcBorders>
          </w:tcPr>
          <w:p w14:paraId="11244022" w14:textId="77777777" w:rsidR="001A75ED" w:rsidRPr="00656578" w:rsidRDefault="001A75ED" w:rsidP="00CC2F37">
            <w:pPr>
              <w:ind w:firstLine="0"/>
              <w:jc w:val="center"/>
              <w:rPr>
                <w:lang w:val="en-US"/>
              </w:rPr>
            </w:pPr>
            <w:r w:rsidRPr="00656578">
              <w:rPr>
                <w:lang w:val="en-US"/>
              </w:rPr>
              <w:t>58.3%</w:t>
            </w:r>
          </w:p>
        </w:tc>
        <w:tc>
          <w:tcPr>
            <w:tcW w:w="2338" w:type="dxa"/>
            <w:tcBorders>
              <w:top w:val="single" w:sz="4" w:space="0" w:color="auto"/>
            </w:tcBorders>
          </w:tcPr>
          <w:p w14:paraId="36BD1425" w14:textId="77777777" w:rsidR="001A75ED" w:rsidRPr="00656578" w:rsidRDefault="001A75ED" w:rsidP="00CC2F37">
            <w:pPr>
              <w:ind w:firstLine="0"/>
              <w:jc w:val="center"/>
              <w:rPr>
                <w:lang w:val="en-US"/>
              </w:rPr>
            </w:pPr>
            <w:r w:rsidRPr="00656578">
              <w:rPr>
                <w:lang w:val="en-US"/>
              </w:rPr>
              <w:t>51.7%</w:t>
            </w:r>
          </w:p>
        </w:tc>
        <w:tc>
          <w:tcPr>
            <w:tcW w:w="2338" w:type="dxa"/>
            <w:tcBorders>
              <w:top w:val="single" w:sz="4" w:space="0" w:color="auto"/>
            </w:tcBorders>
          </w:tcPr>
          <w:p w14:paraId="0EBAA756" w14:textId="77777777" w:rsidR="001A75ED" w:rsidRPr="00656578" w:rsidRDefault="001A75ED" w:rsidP="00CC2F37">
            <w:pPr>
              <w:ind w:firstLine="0"/>
              <w:jc w:val="center"/>
              <w:rPr>
                <w:lang w:val="en-US"/>
              </w:rPr>
            </w:pPr>
            <w:r w:rsidRPr="00656578">
              <w:rPr>
                <w:lang w:val="en-US"/>
              </w:rPr>
              <w:t>39.7%</w:t>
            </w:r>
          </w:p>
        </w:tc>
      </w:tr>
      <w:tr w:rsidR="001A75ED" w:rsidRPr="00656578" w14:paraId="17E48C44" w14:textId="77777777" w:rsidTr="00CC2F37">
        <w:tc>
          <w:tcPr>
            <w:tcW w:w="2337" w:type="dxa"/>
          </w:tcPr>
          <w:p w14:paraId="36EEDD40" w14:textId="77777777" w:rsidR="001A75ED" w:rsidRPr="00656578" w:rsidRDefault="001A75ED" w:rsidP="00CC2F37">
            <w:pPr>
              <w:ind w:firstLine="0"/>
              <w:rPr>
                <w:lang w:val="en-US"/>
              </w:rPr>
            </w:pPr>
            <w:r w:rsidRPr="00656578">
              <w:rPr>
                <w:lang w:val="en-US"/>
              </w:rPr>
              <w:t>Preference for warning labels</w:t>
            </w:r>
          </w:p>
        </w:tc>
        <w:tc>
          <w:tcPr>
            <w:tcW w:w="2337" w:type="dxa"/>
          </w:tcPr>
          <w:p w14:paraId="04AAA4BD" w14:textId="77777777" w:rsidR="001A75ED" w:rsidRPr="00656578" w:rsidRDefault="001A75ED" w:rsidP="00CC2F37">
            <w:pPr>
              <w:ind w:firstLine="0"/>
              <w:jc w:val="center"/>
              <w:rPr>
                <w:lang w:val="en-US"/>
              </w:rPr>
            </w:pPr>
            <w:r w:rsidRPr="00656578">
              <w:rPr>
                <w:lang w:val="en-US"/>
              </w:rPr>
              <w:t>40.3%</w:t>
            </w:r>
          </w:p>
        </w:tc>
        <w:tc>
          <w:tcPr>
            <w:tcW w:w="2338" w:type="dxa"/>
          </w:tcPr>
          <w:p w14:paraId="217E9AE3" w14:textId="77777777" w:rsidR="001A75ED" w:rsidRPr="00656578" w:rsidRDefault="001A75ED" w:rsidP="00CC2F37">
            <w:pPr>
              <w:ind w:firstLine="0"/>
              <w:jc w:val="center"/>
              <w:rPr>
                <w:lang w:val="en-US"/>
              </w:rPr>
            </w:pPr>
            <w:r w:rsidRPr="00656578">
              <w:rPr>
                <w:lang w:val="en-US"/>
              </w:rPr>
              <w:t>46.3%</w:t>
            </w:r>
          </w:p>
        </w:tc>
        <w:tc>
          <w:tcPr>
            <w:tcW w:w="2338" w:type="dxa"/>
          </w:tcPr>
          <w:p w14:paraId="1108C119" w14:textId="77777777" w:rsidR="001A75ED" w:rsidRPr="00656578" w:rsidRDefault="001A75ED" w:rsidP="00CC2F37">
            <w:pPr>
              <w:ind w:firstLine="0"/>
              <w:jc w:val="center"/>
              <w:rPr>
                <w:lang w:val="en-US"/>
              </w:rPr>
            </w:pPr>
            <w:r w:rsidRPr="00656578">
              <w:rPr>
                <w:lang w:val="en-US"/>
              </w:rPr>
              <w:t>58.5%</w:t>
            </w:r>
          </w:p>
        </w:tc>
      </w:tr>
      <w:tr w:rsidR="001A75ED" w:rsidRPr="00656578" w14:paraId="46006082" w14:textId="77777777" w:rsidTr="00CC2F37">
        <w:tc>
          <w:tcPr>
            <w:tcW w:w="2337" w:type="dxa"/>
            <w:tcBorders>
              <w:bottom w:val="single" w:sz="4" w:space="0" w:color="auto"/>
            </w:tcBorders>
          </w:tcPr>
          <w:p w14:paraId="35E5B850" w14:textId="77777777" w:rsidR="001A75ED" w:rsidRPr="00656578" w:rsidRDefault="001A75ED" w:rsidP="00CC2F37">
            <w:pPr>
              <w:ind w:firstLine="0"/>
              <w:rPr>
                <w:lang w:val="en-US"/>
              </w:rPr>
            </w:pPr>
            <w:r w:rsidRPr="00656578">
              <w:rPr>
                <w:lang w:val="en-US"/>
              </w:rPr>
              <w:t>Preference for neither</w:t>
            </w:r>
          </w:p>
        </w:tc>
        <w:tc>
          <w:tcPr>
            <w:tcW w:w="2337" w:type="dxa"/>
            <w:tcBorders>
              <w:bottom w:val="single" w:sz="4" w:space="0" w:color="auto"/>
            </w:tcBorders>
          </w:tcPr>
          <w:p w14:paraId="48DCA3F6" w14:textId="77777777" w:rsidR="001A75ED" w:rsidRPr="00656578" w:rsidRDefault="001A75ED" w:rsidP="00CC2F37">
            <w:pPr>
              <w:ind w:firstLine="0"/>
              <w:jc w:val="center"/>
              <w:rPr>
                <w:lang w:val="en-US"/>
              </w:rPr>
            </w:pPr>
            <w:r w:rsidRPr="00656578">
              <w:rPr>
                <w:lang w:val="en-US"/>
              </w:rPr>
              <w:t>1.4%</w:t>
            </w:r>
          </w:p>
        </w:tc>
        <w:tc>
          <w:tcPr>
            <w:tcW w:w="2338" w:type="dxa"/>
            <w:tcBorders>
              <w:bottom w:val="single" w:sz="4" w:space="0" w:color="auto"/>
            </w:tcBorders>
          </w:tcPr>
          <w:p w14:paraId="538AF878" w14:textId="77777777" w:rsidR="001A75ED" w:rsidRPr="00656578" w:rsidRDefault="001A75ED" w:rsidP="00CC2F37">
            <w:pPr>
              <w:ind w:firstLine="0"/>
              <w:jc w:val="center"/>
              <w:rPr>
                <w:lang w:val="en-US"/>
              </w:rPr>
            </w:pPr>
            <w:r w:rsidRPr="00656578">
              <w:rPr>
                <w:lang w:val="en-US"/>
              </w:rPr>
              <w:t>2.0%</w:t>
            </w:r>
          </w:p>
        </w:tc>
        <w:tc>
          <w:tcPr>
            <w:tcW w:w="2338" w:type="dxa"/>
            <w:tcBorders>
              <w:bottom w:val="single" w:sz="4" w:space="0" w:color="auto"/>
            </w:tcBorders>
          </w:tcPr>
          <w:p w14:paraId="156B0736" w14:textId="77777777" w:rsidR="001A75ED" w:rsidRPr="00656578" w:rsidRDefault="001A75ED" w:rsidP="00CC2F37">
            <w:pPr>
              <w:ind w:firstLine="0"/>
              <w:jc w:val="center"/>
              <w:rPr>
                <w:lang w:val="en-US"/>
              </w:rPr>
            </w:pPr>
            <w:r w:rsidRPr="00656578">
              <w:rPr>
                <w:lang w:val="en-US"/>
              </w:rPr>
              <w:t>1.8%</w:t>
            </w:r>
          </w:p>
        </w:tc>
      </w:tr>
    </w:tbl>
    <w:p w14:paraId="64D1F0BB" w14:textId="77777777" w:rsidR="001A75ED" w:rsidRDefault="001A75ED" w:rsidP="001A75ED">
      <w:pPr>
        <w:spacing w:after="160" w:line="259" w:lineRule="auto"/>
        <w:ind w:firstLine="0"/>
        <w:rPr>
          <w:lang w:val="en-US"/>
        </w:rPr>
      </w:pPr>
    </w:p>
    <w:p w14:paraId="650D250D" w14:textId="0EC0A9A5" w:rsidR="001A75ED" w:rsidRPr="00656578" w:rsidRDefault="001A75ED" w:rsidP="001A75ED">
      <w:pPr>
        <w:pStyle w:val="berschrift2"/>
        <w:rPr>
          <w:lang w:val="en-US"/>
        </w:rPr>
      </w:pPr>
      <w:r>
        <w:rPr>
          <w:lang w:val="en-US"/>
        </w:rPr>
        <w:t>Interpretation and discussion</w:t>
      </w:r>
    </w:p>
    <w:p w14:paraId="44534BDF" w14:textId="2F94EBB7" w:rsidR="001A75ED" w:rsidRPr="00656578" w:rsidRDefault="001A75ED" w:rsidP="001A75ED">
      <w:pPr>
        <w:rPr>
          <w:color w:val="000000" w:themeColor="text1"/>
          <w:lang w:val="en-US"/>
        </w:rPr>
      </w:pPr>
      <w:r w:rsidRPr="00656578">
        <w:rPr>
          <w:color w:val="000000" w:themeColor="text1"/>
          <w:lang w:val="en-US"/>
        </w:rPr>
        <w:t xml:space="preserve">Compared to other policy measures that have been shown to improve dietary healthiness, such as altering the availability of food products, labels are relatively accepted </w:t>
      </w:r>
      <w:r w:rsidR="002F55AB">
        <w:rPr>
          <w:color w:val="000000" w:themeColor="text1"/>
          <w:lang w:val="en-US"/>
        </w:rPr>
        <w:fldChar w:fldCharType="begin"/>
      </w:r>
      <w:r w:rsidR="002F55AB">
        <w:rPr>
          <w:color w:val="000000" w:themeColor="text1"/>
          <w:lang w:val="en-US"/>
        </w:rPr>
        <w:instrText xml:space="preserve"> ADDIN EN.CITE &lt;EndNote&gt;&lt;Cite&gt;&lt;Author&gt;Reynolds&lt;/Author&gt;&lt;Year&gt;2019&lt;/Year&gt;&lt;RecNum&gt;2027&lt;/RecNum&gt;&lt;DisplayText&gt;[1]&lt;/DisplayText&gt;&lt;record&gt;&lt;rec-number&gt;2027&lt;/rec-number&gt;&lt;foreign-keys&gt;&lt;key app="EN" db-id="ps25fwx2la2t9pexpd9vzfvuv00z2zxrse2z" timestamp="1707911282"&gt;2027&lt;/key&gt;&lt;/foreign-keys&gt;&lt;ref-type name="Journal Article"&gt;17&lt;/ref-type&gt;&lt;contributors&gt;&lt;authors&gt;&lt;author&gt;Reynolds, James P&lt;/author&gt;&lt;author&gt;Archer, Stephanie&lt;/author&gt;&lt;author&gt;Pilling, Mark&lt;/author&gt;&lt;author&gt;Kenny, Mike&lt;/author&gt;&lt;author&gt;Hollands, Gareth J&lt;/author&gt;&lt;author&gt;Marteau, Theresa M&lt;/author&gt;&lt;/authors&gt;&lt;/contributors&gt;&lt;titles&gt;&lt;title&gt;Public acceptability of nudging and taxing to reduce consumption of alcohol, tobacco, and food: A population-based survey experiment&lt;/title&gt;&lt;secondary-title&gt;Social Science &amp;amp; Medicine&lt;/secondary-title&gt;&lt;/titles&gt;&lt;periodical&gt;&lt;full-title&gt;Social Science &amp;amp; Medicine&lt;/full-title&gt;&lt;/periodical&gt;&lt;pages&gt;112395&lt;/pages&gt;&lt;volume&gt;236&lt;/volume&gt;&lt;dates&gt;&lt;year&gt;2019&lt;/year&gt;&lt;/dates&gt;&lt;isbn&gt;0277-9536&lt;/isbn&gt;&lt;urls&gt;&lt;/urls&gt;&lt;/record&gt;&lt;/Cite&gt;&lt;/EndNote&gt;</w:instrText>
      </w:r>
      <w:r w:rsidR="002F55AB">
        <w:rPr>
          <w:color w:val="000000" w:themeColor="text1"/>
          <w:lang w:val="en-US"/>
        </w:rPr>
        <w:fldChar w:fldCharType="separate"/>
      </w:r>
      <w:r w:rsidR="002F55AB">
        <w:rPr>
          <w:noProof/>
          <w:color w:val="000000" w:themeColor="text1"/>
          <w:lang w:val="en-US"/>
        </w:rPr>
        <w:t>[1]</w:t>
      </w:r>
      <w:r w:rsidR="002F55AB">
        <w:rPr>
          <w:color w:val="000000" w:themeColor="text1"/>
          <w:lang w:val="en-US"/>
        </w:rPr>
        <w:fldChar w:fldCharType="end"/>
      </w:r>
      <w:r w:rsidRPr="00656578">
        <w:rPr>
          <w:color w:val="000000" w:themeColor="text1"/>
          <w:lang w:val="en-US"/>
        </w:rPr>
        <w:t xml:space="preserve">. The present study suggests that this is also the case in upper-middle-income countries. Across all three countries studied here, participants considered FOPNL as an important source of information and strongly and consistently supported the notion that FOPNL should be mandatory. </w:t>
      </w:r>
      <w:bookmarkStart w:id="0" w:name="_Hlk173424345"/>
      <w:r w:rsidRPr="00656578">
        <w:rPr>
          <w:color w:val="000000" w:themeColor="text1"/>
          <w:lang w:val="en-US"/>
        </w:rPr>
        <w:t xml:space="preserve">While survey responses in general might be subject to social desirability </w:t>
      </w:r>
      <w:r w:rsidR="002F55AB">
        <w:rPr>
          <w:color w:val="000000" w:themeColor="text1"/>
          <w:lang w:val="en-US"/>
        </w:rPr>
        <w:fldChar w:fldCharType="begin"/>
      </w:r>
      <w:r w:rsidR="002F55AB">
        <w:rPr>
          <w:color w:val="000000" w:themeColor="text1"/>
          <w:lang w:val="en-US"/>
        </w:rPr>
        <w:instrText xml:space="preserve"> ADDIN EN.CITE &lt;EndNote&gt;&lt;Cite&gt;&lt;Author&gt;Grimm&lt;/Author&gt;&lt;Year&gt;2010&lt;/Year&gt;&lt;RecNum&gt;3217&lt;/RecNum&gt;&lt;DisplayText&gt;[2]&lt;/DisplayText&gt;&lt;record&gt;&lt;rec-number&gt;3217&lt;/rec-number&gt;&lt;foreign-keys&gt;&lt;key app="EN" db-id="ps25fwx2la2t9pexpd9vzfvuv00z2zxrse2z" timestamp="1719415078"&gt;3217&lt;/key&gt;&lt;/foreign-keys&gt;&lt;ref-type name="Journal Article"&gt;17&lt;/ref-type&gt;&lt;contributors&gt;&lt;authors&gt;&lt;author&gt;Grimm, Pamela&lt;/author&gt;&lt;/authors&gt;&lt;/contributors&gt;&lt;titles&gt;&lt;title&gt;Social desirability bias&lt;/title&gt;&lt;secondary-title&gt;Wiley international encyclopedia of marketing&lt;/secondary-title&gt;&lt;/titles&gt;&lt;periodical&gt;&lt;full-title&gt;Wiley international encyclopedia of marketing&lt;/full-title&gt;&lt;/periodical&gt;&lt;dates&gt;&lt;year&gt;2010&lt;/year&gt;&lt;/dates&gt;&lt;urls&gt;&lt;/urls&gt;&lt;/record&gt;&lt;/Cite&gt;&lt;/EndNote&gt;</w:instrText>
      </w:r>
      <w:r w:rsidR="002F55AB">
        <w:rPr>
          <w:color w:val="000000" w:themeColor="text1"/>
          <w:lang w:val="en-US"/>
        </w:rPr>
        <w:fldChar w:fldCharType="separate"/>
      </w:r>
      <w:r w:rsidR="002F55AB">
        <w:rPr>
          <w:noProof/>
          <w:color w:val="000000" w:themeColor="text1"/>
          <w:lang w:val="en-US"/>
        </w:rPr>
        <w:t>[2]</w:t>
      </w:r>
      <w:r w:rsidR="002F55AB">
        <w:rPr>
          <w:color w:val="000000" w:themeColor="text1"/>
          <w:lang w:val="en-US"/>
        </w:rPr>
        <w:fldChar w:fldCharType="end"/>
      </w:r>
      <w:r w:rsidRPr="00656578">
        <w:rPr>
          <w:color w:val="000000" w:themeColor="text1"/>
          <w:lang w:val="en-US"/>
        </w:rPr>
        <w:t xml:space="preserve">, the results are in line with other studies indicating high acceptability of labelling, also in comparison to other policies </w:t>
      </w:r>
      <w:r w:rsidR="002F55AB">
        <w:rPr>
          <w:color w:val="000000" w:themeColor="text1"/>
          <w:lang w:val="en-US"/>
        </w:rPr>
        <w:fldChar w:fldCharType="begin"/>
      </w:r>
      <w:r w:rsidR="002F55AB">
        <w:rPr>
          <w:color w:val="000000" w:themeColor="text1"/>
          <w:lang w:val="en-US"/>
        </w:rPr>
        <w:instrText xml:space="preserve"> ADDIN EN.CITE &lt;EndNote&gt;&lt;Cite&gt;&lt;Author&gt;Reynolds&lt;/Author&gt;&lt;Year&gt;2019&lt;/Year&gt;&lt;RecNum&gt;2027&lt;/RecNum&gt;&lt;DisplayText&gt;[1]&lt;/DisplayText&gt;&lt;record&gt;&lt;rec-number&gt;2027&lt;/rec-number&gt;&lt;foreign-keys&gt;&lt;key app="EN" db-id="ps25fwx2la2t9pexpd9vzfvuv00z2zxrse2z" timestamp="1707911282"&gt;2027&lt;/key&gt;&lt;/foreign-keys&gt;&lt;ref-type name="Journal Article"&gt;17&lt;/ref-type&gt;&lt;contributors&gt;&lt;authors&gt;&lt;author&gt;Reynolds, James P&lt;/author&gt;&lt;author&gt;Archer, Stephanie&lt;/author&gt;&lt;author&gt;Pilling, Mark&lt;/author&gt;&lt;author&gt;Kenny, Mike&lt;/author&gt;&lt;author&gt;Hollands, Gareth J&lt;/author&gt;&lt;author&gt;Marteau, Theresa M&lt;/author&gt;&lt;/authors&gt;&lt;/contributors&gt;&lt;titles&gt;&lt;title&gt;Public acceptability of nudging and taxing to reduce consumption of alcohol, tobacco, and food: A population-based survey experiment&lt;/title&gt;&lt;secondary-title&gt;Social Science &amp;amp; Medicine&lt;/secondary-title&gt;&lt;/titles&gt;&lt;periodical&gt;&lt;full-title&gt;Social Science &amp;amp; Medicine&lt;/full-title&gt;&lt;/periodical&gt;&lt;pages&gt;112395&lt;/pages&gt;&lt;volume&gt;236&lt;/volume&gt;&lt;dates&gt;&lt;year&gt;2019&lt;/year&gt;&lt;/dates&gt;&lt;isbn&gt;0277-9536&lt;/isbn&gt;&lt;urls&gt;&lt;/urls&gt;&lt;/record&gt;&lt;/Cite&gt;&lt;/EndNote&gt;</w:instrText>
      </w:r>
      <w:r w:rsidR="002F55AB">
        <w:rPr>
          <w:color w:val="000000" w:themeColor="text1"/>
          <w:lang w:val="en-US"/>
        </w:rPr>
        <w:fldChar w:fldCharType="separate"/>
      </w:r>
      <w:r w:rsidR="002F55AB">
        <w:rPr>
          <w:noProof/>
          <w:color w:val="000000" w:themeColor="text1"/>
          <w:lang w:val="en-US"/>
        </w:rPr>
        <w:t>[1]</w:t>
      </w:r>
      <w:r w:rsidR="002F55AB">
        <w:rPr>
          <w:color w:val="000000" w:themeColor="text1"/>
          <w:lang w:val="en-US"/>
        </w:rPr>
        <w:fldChar w:fldCharType="end"/>
      </w:r>
      <w:r w:rsidRPr="00656578">
        <w:rPr>
          <w:color w:val="000000" w:themeColor="text1"/>
          <w:lang w:val="en-US"/>
        </w:rPr>
        <w:t xml:space="preserve">. </w:t>
      </w:r>
      <w:bookmarkEnd w:id="0"/>
      <w:r w:rsidRPr="00656578">
        <w:rPr>
          <w:color w:val="000000" w:themeColor="text1"/>
          <w:lang w:val="en-US"/>
        </w:rPr>
        <w:t xml:space="preserve">Beyond the graphic details of the different labelling schemes, this is in line with the Latin American regulatory approach of introducing FOPNL on a mandatory basis rather than the </w:t>
      </w:r>
      <w:r w:rsidRPr="00656578">
        <w:rPr>
          <w:color w:val="000000" w:themeColor="text1"/>
          <w:lang w:val="en-US"/>
        </w:rPr>
        <w:lastRenderedPageBreak/>
        <w:t xml:space="preserve">European voluntary approach </w:t>
      </w:r>
      <w:r w:rsidR="002F55AB">
        <w:rPr>
          <w:color w:val="000000" w:themeColor="text1"/>
          <w:lang w:val="en-US"/>
        </w:rPr>
        <w:fldChar w:fldCharType="begin"/>
      </w:r>
      <w:r w:rsidR="002F55AB">
        <w:rPr>
          <w:color w:val="000000" w:themeColor="text1"/>
          <w:lang w:val="en-US"/>
        </w:rPr>
        <w:instrText xml:space="preserve"> ADDIN EN.CITE &lt;EndNote&gt;&lt;Cite&gt;&lt;Author&gt;Gokani&lt;/Author&gt;&lt;Year&gt;2023&lt;/Year&gt;&lt;RecNum&gt;2084&lt;/RecNum&gt;&lt;DisplayText&gt;[3]&lt;/DisplayText&gt;&lt;record&gt;&lt;rec-number&gt;2084&lt;/rec-number&gt;&lt;foreign-keys&gt;&lt;key app="EN" db-id="ps25fwx2la2t9pexpd9vzfvuv00z2zxrse2z" timestamp="1710507876"&gt;2084&lt;/key&gt;&lt;/foreign-keys&gt;&lt;ref-type name="Generic"&gt;13&lt;/ref-type&gt;&lt;contributors&gt;&lt;authors&gt;&lt;author&gt;Gokani, Nikhil&lt;/author&gt;&lt;author&gt;Garde, Amandine&lt;/author&gt;&lt;/authors&gt;&lt;/contributors&gt;&lt;titles&gt;&lt;title&gt;Front-of-pack nutrition labelling: time for the EU to adopt a harmonized scheme&lt;/title&gt;&lt;/titles&gt;&lt;pages&gt;751-752&lt;/pages&gt;&lt;volume&gt;33&lt;/volume&gt;&lt;number&gt;5&lt;/number&gt;&lt;dates&gt;&lt;year&gt;2023&lt;/year&gt;&lt;/dates&gt;&lt;publisher&gt;Oxford University Press&lt;/publisher&gt;&lt;isbn&gt;1101-1262&lt;/isbn&gt;&lt;urls&gt;&lt;/urls&gt;&lt;/record&gt;&lt;/Cite&gt;&lt;/EndNote&gt;</w:instrText>
      </w:r>
      <w:r w:rsidR="002F55AB">
        <w:rPr>
          <w:color w:val="000000" w:themeColor="text1"/>
          <w:lang w:val="en-US"/>
        </w:rPr>
        <w:fldChar w:fldCharType="separate"/>
      </w:r>
      <w:r w:rsidR="002F55AB">
        <w:rPr>
          <w:noProof/>
          <w:color w:val="000000" w:themeColor="text1"/>
          <w:lang w:val="en-US"/>
        </w:rPr>
        <w:t>[3]</w:t>
      </w:r>
      <w:r w:rsidR="002F55AB">
        <w:rPr>
          <w:color w:val="000000" w:themeColor="text1"/>
          <w:lang w:val="en-US"/>
        </w:rPr>
        <w:fldChar w:fldCharType="end"/>
      </w:r>
      <w:r w:rsidRPr="00656578">
        <w:rPr>
          <w:color w:val="000000" w:themeColor="text1"/>
          <w:lang w:val="en-US"/>
        </w:rPr>
        <w:t xml:space="preserve">. This finding suggests that the absence of FOPNL regulation in Indonesia </w:t>
      </w:r>
      <w:r w:rsidR="002F55AB">
        <w:rPr>
          <w:color w:val="000000" w:themeColor="text1"/>
          <w:lang w:val="en-US"/>
        </w:rPr>
        <w:fldChar w:fldCharType="begin"/>
      </w:r>
      <w:r w:rsidR="002F55AB">
        <w:rPr>
          <w:color w:val="000000" w:themeColor="text1"/>
          <w:lang w:val="en-US"/>
        </w:rPr>
        <w:instrText xml:space="preserve"> ADDIN EN.CITE &lt;EndNote&gt;&lt;Cite&gt;&lt;Author&gt;Dorlach&lt;/Author&gt;&lt;Year&gt;2020&lt;/Year&gt;&lt;RecNum&gt;2072&lt;/RecNum&gt;&lt;DisplayText&gt;[4]&lt;/DisplayText&gt;&lt;record&gt;&lt;rec-number&gt;2072&lt;/rec-number&gt;&lt;foreign-keys&gt;&lt;key app="EN" db-id="ps25fwx2la2t9pexpd9vzfvuv00z2zxrse2z" timestamp="1710505251"&gt;2072&lt;/key&gt;&lt;/foreign-keys&gt;&lt;ref-type name="Journal Article"&gt;17&lt;/ref-type&gt;&lt;contributors&gt;&lt;authors&gt;&lt;author&gt;Dorlach, Tim&lt;/author&gt;&lt;author&gt;Mertenskötter, Paul&lt;/author&gt;&lt;/authors&gt;&lt;/contributors&gt;&lt;titles&gt;&lt;title&gt;Interpreters of international economic law: corporations and bureaucrats in contest over Chile&amp;apos;s nutrition label&lt;/title&gt;&lt;secondary-title&gt;Law &amp;amp; Society Review&lt;/secondary-title&gt;&lt;/titles&gt;&lt;periodical&gt;&lt;full-title&gt;Law &amp;amp; Society Review&lt;/full-title&gt;&lt;/periodical&gt;&lt;pages&gt;571-606&lt;/pages&gt;&lt;volume&gt;54&lt;/volume&gt;&lt;number&gt;3&lt;/number&gt;&lt;dates&gt;&lt;year&gt;2020&lt;/year&gt;&lt;/dates&gt;&lt;isbn&gt;0023-9216&lt;/isbn&gt;&lt;urls&gt;&lt;/urls&gt;&lt;/record&gt;&lt;/Cite&gt;&lt;/EndNote&gt;</w:instrText>
      </w:r>
      <w:r w:rsidR="002F55AB">
        <w:rPr>
          <w:color w:val="000000" w:themeColor="text1"/>
          <w:lang w:val="en-US"/>
        </w:rPr>
        <w:fldChar w:fldCharType="separate"/>
      </w:r>
      <w:r w:rsidR="002F55AB">
        <w:rPr>
          <w:noProof/>
          <w:color w:val="000000" w:themeColor="text1"/>
          <w:lang w:val="en-US"/>
        </w:rPr>
        <w:t>[4]</w:t>
      </w:r>
      <w:r w:rsidR="002F55AB">
        <w:rPr>
          <w:color w:val="000000" w:themeColor="text1"/>
          <w:lang w:val="en-US"/>
        </w:rPr>
        <w:fldChar w:fldCharType="end"/>
      </w:r>
      <w:r w:rsidRPr="00656578">
        <w:rPr>
          <w:color w:val="000000" w:themeColor="text1"/>
          <w:lang w:val="en-US"/>
        </w:rPr>
        <w:t xml:space="preserve"> and Türkiye </w:t>
      </w:r>
      <w:r w:rsidR="002F55AB">
        <w:rPr>
          <w:color w:val="000000" w:themeColor="text1"/>
          <w:lang w:val="en-US"/>
        </w:rPr>
        <w:fldChar w:fldCharType="begin"/>
      </w:r>
      <w:r w:rsidR="002F55AB">
        <w:rPr>
          <w:color w:val="000000" w:themeColor="text1"/>
          <w:lang w:val="en-US"/>
        </w:rPr>
        <w:instrText xml:space="preserve"> ADDIN EN.CITE &lt;EndNote&gt;&lt;Cite&gt;&lt;Author&gt;Bayram&lt;/Author&gt;&lt;Year&gt;2022&lt;/Year&gt;&lt;RecNum&gt;3112&lt;/RecNum&gt;&lt;DisplayText&gt;[5]&lt;/DisplayText&gt;&lt;record&gt;&lt;rec-number&gt;3112&lt;/rec-number&gt;&lt;foreign-keys&gt;&lt;key app="EN" db-id="ps25fwx2la2t9pexpd9vzfvuv00z2zxrse2z" timestamp="1712832702"&gt;3112&lt;/key&gt;&lt;/foreign-keys&gt;&lt;ref-type name="Journal Article"&gt;17&lt;/ref-type&gt;&lt;contributors&gt;&lt;authors&gt;&lt;author&gt;Bayram, Hatice Merve&lt;/author&gt;&lt;author&gt;Ozturkcan, S Arda&lt;/author&gt;&lt;/authors&gt;&lt;/contributors&gt;&lt;titles&gt;&lt;title&gt;The multiple ‘traffic light’labels: Are they a promising alternative for packaged foods and beverages sold in Turkey&lt;/title&gt;&lt;secondary-title&gt;International Journal of Health Promotion and Education&lt;/secondary-title&gt;&lt;/titles&gt;&lt;periodical&gt;&lt;full-title&gt;International Journal of Health Promotion and Education&lt;/full-title&gt;&lt;/periodical&gt;&lt;pages&gt;1-16&lt;/pages&gt;&lt;dates&gt;&lt;year&gt;2022&lt;/year&gt;&lt;/dates&gt;&lt;isbn&gt;1463-5240&lt;/isbn&gt;&lt;urls&gt;&lt;/urls&gt;&lt;/record&gt;&lt;/Cite&gt;&lt;/EndNote&gt;</w:instrText>
      </w:r>
      <w:r w:rsidR="002F55AB">
        <w:rPr>
          <w:color w:val="000000" w:themeColor="text1"/>
          <w:lang w:val="en-US"/>
        </w:rPr>
        <w:fldChar w:fldCharType="separate"/>
      </w:r>
      <w:r w:rsidR="002F55AB">
        <w:rPr>
          <w:noProof/>
          <w:color w:val="000000" w:themeColor="text1"/>
          <w:lang w:val="en-US"/>
        </w:rPr>
        <w:t>[5]</w:t>
      </w:r>
      <w:r w:rsidR="002F55AB">
        <w:rPr>
          <w:color w:val="000000" w:themeColor="text1"/>
          <w:lang w:val="en-US"/>
        </w:rPr>
        <w:fldChar w:fldCharType="end"/>
      </w:r>
      <w:r w:rsidRPr="00656578">
        <w:rPr>
          <w:color w:val="000000" w:themeColor="text1"/>
          <w:lang w:val="en-US"/>
        </w:rPr>
        <w:t xml:space="preserve"> as well as the difficulty of introducing FOPNL in Mexico </w:t>
      </w:r>
      <w:r w:rsidR="002F55AB">
        <w:rPr>
          <w:color w:val="000000" w:themeColor="text1"/>
          <w:lang w:val="en-US"/>
        </w:rPr>
        <w:fldChar w:fldCharType="begin"/>
      </w:r>
      <w:r w:rsidR="002F55AB">
        <w:rPr>
          <w:color w:val="000000" w:themeColor="text1"/>
          <w:lang w:val="en-US"/>
        </w:rPr>
        <w:instrText xml:space="preserve"> ADDIN EN.CITE &lt;EndNote&gt;&lt;Cite&gt;&lt;Author&gt;Crosbie&lt;/Author&gt;&lt;Year&gt;2023&lt;/Year&gt;&lt;RecNum&gt;2081&lt;/RecNum&gt;&lt;DisplayText&gt;[6]&lt;/DisplayText&gt;&lt;record&gt;&lt;rec-number&gt;2081&lt;/rec-number&gt;&lt;foreign-keys&gt;&lt;key app="EN" db-id="ps25fwx2la2t9pexpd9vzfvuv00z2zxrse2z" timestamp="1710505580"&gt;2081&lt;/key&gt;&lt;/foreign-keys&gt;&lt;ref-type name="Journal Article"&gt;17&lt;/ref-type&gt;&lt;contributors&gt;&lt;authors&gt;&lt;author&gt;Crosbie, Eric&lt;/author&gt;&lt;author&gt;Alvarez, Margarita Gabriela Otero&lt;/author&gt;&lt;author&gt;Cao, Michelle&lt;/author&gt;&lt;author&gt;Renteria, Lesly Samara Vejar&lt;/author&gt;&lt;author&gt;Rodriguez, Estefania&lt;/author&gt;&lt;author&gt;Flota, Ana Larrañaga&lt;/author&gt;&lt;author&gt;Carriedo, Angela&lt;/author&gt;&lt;/authors&gt;&lt;/contributors&gt;&lt;titles&gt;&lt;title&gt;Implementing front-of-pack nutrition warning labels in Mexico: important lessons for low-and middle-income countries&lt;/title&gt;&lt;secondary-title&gt;Public health nutrition&lt;/secondary-title&gt;&lt;/titles&gt;&lt;periodical&gt;&lt;full-title&gt;Public Health Nutrition&lt;/full-title&gt;&lt;abbr-1&gt;Public Health Nutr&lt;/abbr-1&gt;&lt;/periodical&gt;&lt;pages&gt;2149-2161&lt;/pages&gt;&lt;volume&gt;26&lt;/volume&gt;&lt;number&gt;10&lt;/number&gt;&lt;dates&gt;&lt;year&gt;2023&lt;/year&gt;&lt;/dates&gt;&lt;isbn&gt;1368-9800&lt;/isbn&gt;&lt;urls&gt;&lt;/urls&gt;&lt;/record&gt;&lt;/Cite&gt;&lt;/EndNote&gt;</w:instrText>
      </w:r>
      <w:r w:rsidR="002F55AB">
        <w:rPr>
          <w:color w:val="000000" w:themeColor="text1"/>
          <w:lang w:val="en-US"/>
        </w:rPr>
        <w:fldChar w:fldCharType="separate"/>
      </w:r>
      <w:r w:rsidR="002F55AB">
        <w:rPr>
          <w:noProof/>
          <w:color w:val="000000" w:themeColor="text1"/>
          <w:lang w:val="en-US"/>
        </w:rPr>
        <w:t>[6]</w:t>
      </w:r>
      <w:r w:rsidR="002F55AB">
        <w:rPr>
          <w:color w:val="000000" w:themeColor="text1"/>
          <w:lang w:val="en-US"/>
        </w:rPr>
        <w:fldChar w:fldCharType="end"/>
      </w:r>
      <w:r w:rsidRPr="00656578">
        <w:rPr>
          <w:color w:val="000000" w:themeColor="text1"/>
          <w:lang w:val="en-US"/>
        </w:rPr>
        <w:t xml:space="preserve"> has more to do with food industry opposition than with a lack of popular support. </w:t>
      </w:r>
    </w:p>
    <w:p w14:paraId="2B7B33C0" w14:textId="460B264B" w:rsidR="002F55AB" w:rsidRDefault="001A75ED" w:rsidP="0083223F">
      <w:pPr>
        <w:rPr>
          <w:color w:val="000000" w:themeColor="text1"/>
          <w:lang w:val="en-US"/>
        </w:rPr>
      </w:pPr>
      <w:r w:rsidRPr="00656578">
        <w:rPr>
          <w:color w:val="000000" w:themeColor="text1"/>
          <w:lang w:val="en-US"/>
        </w:rPr>
        <w:t xml:space="preserve">Regarding the acceptability of the two specific FOPNL systems we have investigated, both the Nutri-Score and the warning label system were broadly accepted by participants in all three countries. This acceptance (of both labelling systems) was highest in Mexico, potentially reflecting the fact that the Mexican participants have already been exposed to mandatory FOPNL since 2020 (see also Hammond et al., for similar findings in both Mexico and Chile </w:t>
      </w:r>
      <w:r w:rsidR="002F55AB">
        <w:rPr>
          <w:color w:val="000000" w:themeColor="text1"/>
          <w:lang w:val="en-US"/>
        </w:rPr>
        <w:fldChar w:fldCharType="begin"/>
      </w:r>
      <w:r w:rsidR="002F55AB">
        <w:rPr>
          <w:color w:val="000000" w:themeColor="text1"/>
          <w:lang w:val="en-US"/>
        </w:rPr>
        <w:instrText xml:space="preserve"> ADDIN EN.CITE &lt;EndNote&gt;&lt;Cite&gt;&lt;Author&gt;Hammond&lt;/Author&gt;&lt;Year&gt;2023&lt;/Year&gt;&lt;RecNum&gt;3113&lt;/RecNum&gt;&lt;DisplayText&gt;[7]&lt;/DisplayText&gt;&lt;record&gt;&lt;rec-number&gt;3113&lt;/rec-number&gt;&lt;foreign-keys&gt;&lt;key app="EN" db-id="ps25fwx2la2t9pexpd9vzfvuv00z2zxrse2z" timestamp="1712832871"&gt;3113&lt;/key&gt;&lt;/foreign-keys&gt;&lt;ref-type name="Journal Article"&gt;17&lt;/ref-type&gt;&lt;contributors&gt;&lt;authors&gt;&lt;author&gt;Hammond, David&lt;/author&gt;&lt;author&gt;Acton, Rachel B&lt;/author&gt;&lt;author&gt;Rynard, Vicki L&lt;/author&gt;&lt;author&gt;White, Christine M&lt;/author&gt;&lt;author&gt;Vanderlee, Lana&lt;/author&gt;&lt;author&gt;Bhawra, Jasmin&lt;/author&gt;&lt;author&gt;Reyes, Marcela&lt;/author&gt;&lt;author&gt;Jáuregui, Alejandra&lt;/author&gt;&lt;author&gt;Adams, Jean&lt;/author&gt;&lt;author&gt;Roberto, Christina A&lt;/author&gt;&lt;/authors&gt;&lt;/contributors&gt;&lt;titles&gt;&lt;title&gt;Awareness, use and understanding of nutrition labels among children and youth from six countries: Findings from the 2019–2020 International Food Policy Study&lt;/title&gt;&lt;secondary-title&gt;International Journal of Behavioral Nutrition and Physical Activity&lt;/secondary-title&gt;&lt;/titles&gt;&lt;periodical&gt;&lt;full-title&gt;International Journal of Behavioral Nutrition and Physical Activity&lt;/full-title&gt;&lt;abbr-1&gt;Int J Behav Nutr Phy&lt;/abbr-1&gt;&lt;/periodical&gt;&lt;pages&gt;55&lt;/pages&gt;&lt;volume&gt;20&lt;/volume&gt;&lt;number&gt;1&lt;/number&gt;&lt;dates&gt;&lt;year&gt;2023&lt;/year&gt;&lt;/dates&gt;&lt;isbn&gt;1479-5868&lt;/isbn&gt;&lt;urls&gt;&lt;/urls&gt;&lt;/record&gt;&lt;/Cite&gt;&lt;/EndNote&gt;</w:instrText>
      </w:r>
      <w:r w:rsidR="002F55AB">
        <w:rPr>
          <w:color w:val="000000" w:themeColor="text1"/>
          <w:lang w:val="en-US"/>
        </w:rPr>
        <w:fldChar w:fldCharType="separate"/>
      </w:r>
      <w:r w:rsidR="002F55AB">
        <w:rPr>
          <w:noProof/>
          <w:color w:val="000000" w:themeColor="text1"/>
          <w:lang w:val="en-US"/>
        </w:rPr>
        <w:t>[7]</w:t>
      </w:r>
      <w:r w:rsidR="002F55AB">
        <w:rPr>
          <w:color w:val="000000" w:themeColor="text1"/>
          <w:lang w:val="en-US"/>
        </w:rPr>
        <w:fldChar w:fldCharType="end"/>
      </w:r>
      <w:r w:rsidRPr="00656578">
        <w:rPr>
          <w:color w:val="000000" w:themeColor="text1"/>
          <w:lang w:val="en-US"/>
        </w:rPr>
        <w:t xml:space="preserve">), suggesting that there has been no popular backlash to FOPNL. When explicitly asked, 58% of Indonesian participants preferred the Nutri-Score, while 59% of Turkish participants preferred nutrition warning labels. This suggests that neither system is the dominantly preferred system in upper-middle-income countries and that consumers are open to both. Interestingly, 52% of Mexican participants preferred the Nutri-Score rather than warning labels (which are already in use in Mexico). Label system preferences are thus unlikely to be based primarily on mere exposure </w:t>
      </w:r>
      <w:r w:rsidR="002F55AB">
        <w:rPr>
          <w:color w:val="000000" w:themeColor="text1"/>
          <w:lang w:val="en-US"/>
        </w:rPr>
        <w:fldChar w:fldCharType="begin"/>
      </w:r>
      <w:r w:rsidR="002F55AB">
        <w:rPr>
          <w:color w:val="000000" w:themeColor="text1"/>
          <w:lang w:val="en-US"/>
        </w:rPr>
        <w:instrText xml:space="preserve"> ADDIN EN.CITE &lt;EndNote&gt;&lt;Cite&gt;&lt;Author&gt;Zajonc&lt;/Author&gt;&lt;Year&gt;1968&lt;/Year&gt;&lt;RecNum&gt;1358&lt;/RecNum&gt;&lt;DisplayText&gt;[8]&lt;/DisplayText&gt;&lt;record&gt;&lt;rec-number&gt;1358&lt;/rec-number&gt;&lt;foreign-keys&gt;&lt;key app="EN" db-id="ps25fwx2la2t9pexpd9vzfvuv00z2zxrse2z" timestamp="1545127189"&gt;1358&lt;/key&gt;&lt;/foreign-keys&gt;&lt;ref-type name="Journal Article"&gt;17&lt;/ref-type&gt;&lt;contributors&gt;&lt;authors&gt;&lt;author&gt;Zajonc, Robert B&lt;/author&gt;&lt;/authors&gt;&lt;/contributors&gt;&lt;titles&gt;&lt;title&gt;Attitudinal effects of mere exposure&lt;/title&gt;&lt;secondary-title&gt;Journal of Personality and Social Psychology&lt;/secondary-title&gt;&lt;/titles&gt;&lt;periodical&gt;&lt;full-title&gt;Journal of Personality and Social Psychology&lt;/full-title&gt;&lt;abbr-1&gt;J Pers Soc Psychol&lt;/abbr-1&gt;&lt;/periodical&gt;&lt;pages&gt;1-18&lt;/pages&gt;&lt;volume&gt;9&lt;/volume&gt;&lt;number&gt;2, Part 2&lt;/number&gt;&lt;dates&gt;&lt;year&gt;1968&lt;/year&gt;&lt;/dates&gt;&lt;isbn&gt;1939-1315&lt;/isbn&gt;&lt;urls&gt;&lt;/urls&gt;&lt;/record&gt;&lt;/Cite&gt;&lt;/EndNote&gt;</w:instrText>
      </w:r>
      <w:r w:rsidR="002F55AB">
        <w:rPr>
          <w:color w:val="000000" w:themeColor="text1"/>
          <w:lang w:val="en-US"/>
        </w:rPr>
        <w:fldChar w:fldCharType="separate"/>
      </w:r>
      <w:r w:rsidR="002F55AB">
        <w:rPr>
          <w:noProof/>
          <w:color w:val="000000" w:themeColor="text1"/>
          <w:lang w:val="en-US"/>
        </w:rPr>
        <w:t>[8]</w:t>
      </w:r>
      <w:r w:rsidR="002F55AB">
        <w:rPr>
          <w:color w:val="000000" w:themeColor="text1"/>
          <w:lang w:val="en-US"/>
        </w:rPr>
        <w:fldChar w:fldCharType="end"/>
      </w:r>
      <w:r w:rsidRPr="00656578">
        <w:rPr>
          <w:color w:val="000000" w:themeColor="text1"/>
          <w:lang w:val="en-US"/>
        </w:rPr>
        <w:t xml:space="preserve">. Furthermore, this result suggests that consumers are open to changes of FOPNL systems once in place. </w:t>
      </w:r>
    </w:p>
    <w:p w14:paraId="45C92FFF" w14:textId="18DE6C0B" w:rsidR="002F55AB" w:rsidRDefault="002F55AB" w:rsidP="002F55AB">
      <w:pPr>
        <w:pStyle w:val="berschrift1"/>
        <w:rPr>
          <w:lang w:val="en-US"/>
        </w:rPr>
      </w:pPr>
      <w:r>
        <w:rPr>
          <w:lang w:val="en-US"/>
        </w:rPr>
        <w:t>References</w:t>
      </w:r>
    </w:p>
    <w:p w14:paraId="47D21B83" w14:textId="77777777" w:rsidR="002F55AB" w:rsidRPr="002F55AB" w:rsidRDefault="002F55AB" w:rsidP="002F55AB">
      <w:pPr>
        <w:pStyle w:val="EndNoteBibliography"/>
        <w:ind w:firstLine="0"/>
      </w:pPr>
      <w:r>
        <w:rPr>
          <w:lang w:val="en-US"/>
        </w:rPr>
        <w:fldChar w:fldCharType="begin"/>
      </w:r>
      <w:r>
        <w:rPr>
          <w:lang w:val="en-US"/>
        </w:rPr>
        <w:instrText xml:space="preserve"> ADDIN EN.REFLIST </w:instrText>
      </w:r>
      <w:r>
        <w:rPr>
          <w:lang w:val="en-US"/>
        </w:rPr>
        <w:fldChar w:fldCharType="separate"/>
      </w:r>
      <w:r w:rsidRPr="002F55AB">
        <w:t xml:space="preserve">1. Reynolds JP, Archer S, Pilling M, Kenny M, Hollands GJ, Marteau TM. Public acceptability of nudging and taxing to reduce consumption of alcohol, tobacco, and food: A population-based survey experiment. Social Science &amp; Medicine. 2019;236:112395. </w:t>
      </w:r>
    </w:p>
    <w:p w14:paraId="21C74CD6" w14:textId="77777777" w:rsidR="002F55AB" w:rsidRPr="002F55AB" w:rsidRDefault="002F55AB" w:rsidP="002F55AB">
      <w:pPr>
        <w:pStyle w:val="EndNoteBibliography"/>
        <w:ind w:firstLine="0"/>
      </w:pPr>
      <w:r w:rsidRPr="002F55AB">
        <w:t xml:space="preserve">2. Grimm P. Social desirability bias. Wiley international encyclopedia of marketing. 2010. </w:t>
      </w:r>
    </w:p>
    <w:p w14:paraId="016EB67F" w14:textId="77777777" w:rsidR="002F55AB" w:rsidRPr="002F55AB" w:rsidRDefault="002F55AB" w:rsidP="002F55AB">
      <w:pPr>
        <w:pStyle w:val="EndNoteBibliography"/>
        <w:ind w:firstLine="0"/>
      </w:pPr>
      <w:r w:rsidRPr="002F55AB">
        <w:t>3. Gokani N, Garde A. Front-of-pack nutrition labelling: time for the EU to adopt a harmonized scheme. Oxford University Press; 2023. p. 751-2.</w:t>
      </w:r>
    </w:p>
    <w:p w14:paraId="1A22CD64" w14:textId="77777777" w:rsidR="002F55AB" w:rsidRPr="002F55AB" w:rsidRDefault="002F55AB" w:rsidP="002F55AB">
      <w:pPr>
        <w:pStyle w:val="EndNoteBibliography"/>
        <w:ind w:firstLine="0"/>
      </w:pPr>
      <w:r w:rsidRPr="002F55AB">
        <w:t xml:space="preserve">4. Dorlach T, Mertenskötter P. Interpreters of international economic law: corporations and bureaucrats in contest over Chile's nutrition label. Law &amp; Society Review. 2020;54(3):571-606. </w:t>
      </w:r>
    </w:p>
    <w:p w14:paraId="06C960E6" w14:textId="77777777" w:rsidR="002F55AB" w:rsidRPr="002F55AB" w:rsidRDefault="002F55AB" w:rsidP="002F55AB">
      <w:pPr>
        <w:pStyle w:val="EndNoteBibliography"/>
        <w:ind w:firstLine="0"/>
      </w:pPr>
      <w:r w:rsidRPr="002F55AB">
        <w:t xml:space="preserve">5. Bayram HM, Ozturkcan SA. The multiple ‘traffic light’labels: Are they a promising alternative for packaged foods and beverages sold in Turkey. International Journal of Health Promotion and Education. 2022:1-16. </w:t>
      </w:r>
    </w:p>
    <w:p w14:paraId="7DE32E6F" w14:textId="77777777" w:rsidR="002F55AB" w:rsidRPr="002F55AB" w:rsidRDefault="002F55AB" w:rsidP="002F55AB">
      <w:pPr>
        <w:pStyle w:val="EndNoteBibliography"/>
        <w:ind w:firstLine="0"/>
      </w:pPr>
      <w:r w:rsidRPr="002F55AB">
        <w:lastRenderedPageBreak/>
        <w:t xml:space="preserve">6. Crosbie E, Alvarez MGO, Cao M, Renteria LSV, Rodriguez E, Flota AL, et al. Implementing front-of-pack nutrition warning labels in Mexico: important lessons for low-and middle-income countries. Public Health Nutr. 2023;26(10):2149-61. </w:t>
      </w:r>
    </w:p>
    <w:p w14:paraId="3855ADF9" w14:textId="77777777" w:rsidR="002F55AB" w:rsidRPr="002F55AB" w:rsidRDefault="002F55AB" w:rsidP="002F55AB">
      <w:pPr>
        <w:pStyle w:val="EndNoteBibliography"/>
        <w:ind w:firstLine="0"/>
      </w:pPr>
      <w:r w:rsidRPr="002F55AB">
        <w:t xml:space="preserve">7. Hammond D, Acton RB, Rynard VL, White CM, Vanderlee L, Bhawra J, et al. Awareness, use and understanding of nutrition labels among children and youth from six countries: Findings from the 2019–2020 International Food Policy Study. Int J Behav Nutr Phy. 2023;20(1):55. </w:t>
      </w:r>
    </w:p>
    <w:p w14:paraId="7B6924DA" w14:textId="77777777" w:rsidR="002F55AB" w:rsidRPr="002F55AB" w:rsidRDefault="002F55AB" w:rsidP="002F55AB">
      <w:pPr>
        <w:pStyle w:val="EndNoteBibliography"/>
        <w:ind w:firstLine="0"/>
      </w:pPr>
      <w:r w:rsidRPr="002F55AB">
        <w:t xml:space="preserve">8. Zajonc RB. Attitudinal effects of mere exposure. J Pers Soc Psychol. 1968;9(2, Part 2):1-18. </w:t>
      </w:r>
    </w:p>
    <w:p w14:paraId="15DDFB4D" w14:textId="49FFF50F" w:rsidR="0083223F" w:rsidRDefault="002F55AB" w:rsidP="0099556F">
      <w:pPr>
        <w:ind w:firstLine="0"/>
        <w:rPr>
          <w:lang w:val="en-US"/>
        </w:rPr>
      </w:pPr>
      <w:r>
        <w:rPr>
          <w:lang w:val="en-US"/>
        </w:rPr>
        <w:fldChar w:fldCharType="end"/>
      </w:r>
    </w:p>
    <w:sectPr w:rsidR="0083223F" w:rsidSect="00821FA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7AAF3" w14:textId="77777777" w:rsidR="00AB14BA" w:rsidRDefault="00AB14BA" w:rsidP="000502AC">
      <w:pPr>
        <w:spacing w:line="240" w:lineRule="auto"/>
      </w:pPr>
      <w:r>
        <w:separator/>
      </w:r>
    </w:p>
  </w:endnote>
  <w:endnote w:type="continuationSeparator" w:id="0">
    <w:p w14:paraId="4339DFE1" w14:textId="77777777" w:rsidR="00AB14BA" w:rsidRDefault="00AB14BA" w:rsidP="000502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67F1" w14:textId="77777777" w:rsidR="00821FAD" w:rsidRDefault="00821FA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DF27" w14:textId="77777777" w:rsidR="00821FAD" w:rsidRDefault="00821FA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2B354" w14:textId="77777777" w:rsidR="00821FAD" w:rsidRDefault="00821F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2D581" w14:textId="77777777" w:rsidR="00AB14BA" w:rsidRDefault="00AB14BA" w:rsidP="000502AC">
      <w:pPr>
        <w:spacing w:line="240" w:lineRule="auto"/>
      </w:pPr>
      <w:r>
        <w:separator/>
      </w:r>
    </w:p>
  </w:footnote>
  <w:footnote w:type="continuationSeparator" w:id="0">
    <w:p w14:paraId="64055354" w14:textId="77777777" w:rsidR="00AB14BA" w:rsidRDefault="00AB14BA" w:rsidP="000502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0304" w14:textId="77777777" w:rsidR="00821FAD" w:rsidRDefault="00821F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610966"/>
      <w:docPartObj>
        <w:docPartGallery w:val="Page Numbers (Top of Page)"/>
        <w:docPartUnique/>
      </w:docPartObj>
    </w:sdtPr>
    <w:sdtContent>
      <w:p w14:paraId="723E44A5" w14:textId="60188718" w:rsidR="00C94085" w:rsidRDefault="00C94085">
        <w:pPr>
          <w:pStyle w:val="Kopfzeile"/>
          <w:jc w:val="right"/>
        </w:pPr>
        <w:r>
          <w:fldChar w:fldCharType="begin"/>
        </w:r>
        <w:r>
          <w:instrText>PAGE   \* MERGEFORMAT</w:instrText>
        </w:r>
        <w:r>
          <w:fldChar w:fldCharType="separate"/>
        </w:r>
        <w:r w:rsidR="009B3394" w:rsidRPr="009B3394">
          <w:rPr>
            <w:noProof/>
            <w:lang w:val="de-DE"/>
          </w:rPr>
          <w:t>14</w:t>
        </w:r>
        <w:r>
          <w:fldChar w:fldCharType="end"/>
        </w:r>
      </w:p>
    </w:sdtContent>
  </w:sdt>
  <w:p w14:paraId="3A24CA7E" w14:textId="77777777" w:rsidR="00C94085" w:rsidRDefault="00C9408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83341" w14:textId="09E36F92" w:rsidR="00821FAD" w:rsidRPr="00821FAD" w:rsidRDefault="00821FAD" w:rsidP="00821FAD">
    <w:pPr>
      <w:keepNext/>
      <w:keepLines/>
      <w:spacing w:before="480" w:after="120" w:line="240" w:lineRule="auto"/>
      <w:ind w:firstLine="0"/>
      <w:rPr>
        <w:b/>
        <w:szCs w:val="72"/>
        <w:lang w:val="en-US"/>
      </w:rPr>
    </w:pPr>
    <w:r>
      <w:t xml:space="preserve">Supplementary material for: König, L. M., </w:t>
    </w:r>
    <w:proofErr w:type="spellStart"/>
    <w:r>
      <w:t>Akad</w:t>
    </w:r>
    <w:proofErr w:type="spellEnd"/>
    <w:r>
      <w:t xml:space="preserve">, E., Gunawan, G., Rocha Gonzalez, D. V., &amp; </w:t>
    </w:r>
    <w:proofErr w:type="spellStart"/>
    <w:r>
      <w:t>Dorlach</w:t>
    </w:r>
    <w:proofErr w:type="spellEnd"/>
    <w:r>
      <w:t xml:space="preserve">, T. (2025). </w:t>
    </w:r>
    <w:r w:rsidRPr="003148DA">
      <w:rPr>
        <w:bCs/>
        <w:szCs w:val="72"/>
        <w:lang w:val="en-US"/>
      </w:rPr>
      <w:t xml:space="preserve">Nutri-Score and nutrition warning labels are effective in guiding hypothetical choice in Indonesia, </w:t>
    </w:r>
    <w:r w:rsidRPr="003148DA">
      <w:rPr>
        <w:bCs/>
        <w:color w:val="000000" w:themeColor="text1"/>
        <w:szCs w:val="72"/>
        <w:lang w:val="en-US"/>
      </w:rPr>
      <w:t>Mexico, and Türkiye</w:t>
    </w:r>
    <w:r w:rsidRPr="003148DA">
      <w:rPr>
        <w:bCs/>
        <w:szCs w:val="72"/>
        <w:lang w:val="en-US"/>
      </w:rPr>
      <w:t xml:space="preserve">: Results from a cross-country online experiment. </w:t>
    </w:r>
    <w:r w:rsidRPr="003148DA">
      <w:rPr>
        <w:bCs/>
        <w:i/>
        <w:iCs/>
        <w:szCs w:val="72"/>
        <w:lang w:val="en-US"/>
      </w:rPr>
      <w:t>International Journal of Behavioral Medicine</w:t>
    </w:r>
    <w:r w:rsidRPr="003148DA">
      <w:rPr>
        <w:bCs/>
        <w:szCs w:val="72"/>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E7986"/>
    <w:multiLevelType w:val="hybridMultilevel"/>
    <w:tmpl w:val="D0BA0140"/>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 w15:restartNumberingAfterBreak="0">
    <w:nsid w:val="204110A7"/>
    <w:multiLevelType w:val="multilevel"/>
    <w:tmpl w:val="FC04C2F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69052C3E"/>
    <w:multiLevelType w:val="multilevel"/>
    <w:tmpl w:val="E8D0232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6946795F"/>
    <w:multiLevelType w:val="multilevel"/>
    <w:tmpl w:val="F752C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CE72AF0"/>
    <w:multiLevelType w:val="hybridMultilevel"/>
    <w:tmpl w:val="B1407A9A"/>
    <w:lvl w:ilvl="0" w:tplc="DD8E459A">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4618993">
    <w:abstractNumId w:val="3"/>
  </w:num>
  <w:num w:numId="2" w16cid:durableId="1483503893">
    <w:abstractNumId w:val="2"/>
  </w:num>
  <w:num w:numId="3" w16cid:durableId="979188736">
    <w:abstractNumId w:val="1"/>
  </w:num>
  <w:num w:numId="4" w16cid:durableId="950353756">
    <w:abstractNumId w:val="4"/>
  </w:num>
  <w:num w:numId="5" w16cid:durableId="691150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 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s25fwx2la2t9pexpd9vzfvuv00z2zxrse2z&quot;&gt;2012-09-05_Laura-Converted&lt;record-ids&gt;&lt;item&gt;1358&lt;/item&gt;&lt;item&gt;2027&lt;/item&gt;&lt;item&gt;2072&lt;/item&gt;&lt;item&gt;2081&lt;/item&gt;&lt;item&gt;2084&lt;/item&gt;&lt;item&gt;3112&lt;/item&gt;&lt;item&gt;3113&lt;/item&gt;&lt;item&gt;3217&lt;/item&gt;&lt;/record-ids&gt;&lt;/item&gt;&lt;/Libraries&gt;"/>
  </w:docVars>
  <w:rsids>
    <w:rsidRoot w:val="00255B85"/>
    <w:rsid w:val="00000900"/>
    <w:rsid w:val="0000128B"/>
    <w:rsid w:val="00002158"/>
    <w:rsid w:val="000026CB"/>
    <w:rsid w:val="000027D6"/>
    <w:rsid w:val="00006AE9"/>
    <w:rsid w:val="00006CCC"/>
    <w:rsid w:val="0000712D"/>
    <w:rsid w:val="00011EF2"/>
    <w:rsid w:val="000128B7"/>
    <w:rsid w:val="00012E9B"/>
    <w:rsid w:val="00013393"/>
    <w:rsid w:val="00014914"/>
    <w:rsid w:val="00015295"/>
    <w:rsid w:val="000155AF"/>
    <w:rsid w:val="00015E4B"/>
    <w:rsid w:val="00016587"/>
    <w:rsid w:val="00016BED"/>
    <w:rsid w:val="0001773E"/>
    <w:rsid w:val="00017850"/>
    <w:rsid w:val="0002128B"/>
    <w:rsid w:val="00021362"/>
    <w:rsid w:val="00021390"/>
    <w:rsid w:val="000243F8"/>
    <w:rsid w:val="00024A49"/>
    <w:rsid w:val="00025222"/>
    <w:rsid w:val="000254E1"/>
    <w:rsid w:val="00026BDA"/>
    <w:rsid w:val="00027BE6"/>
    <w:rsid w:val="00032786"/>
    <w:rsid w:val="00033354"/>
    <w:rsid w:val="00033758"/>
    <w:rsid w:val="00035985"/>
    <w:rsid w:val="000363BB"/>
    <w:rsid w:val="00037EC9"/>
    <w:rsid w:val="000402E4"/>
    <w:rsid w:val="000405F7"/>
    <w:rsid w:val="000420DD"/>
    <w:rsid w:val="00042BAE"/>
    <w:rsid w:val="00044043"/>
    <w:rsid w:val="00047203"/>
    <w:rsid w:val="00047E9D"/>
    <w:rsid w:val="000502AC"/>
    <w:rsid w:val="0005085C"/>
    <w:rsid w:val="00051660"/>
    <w:rsid w:val="00052564"/>
    <w:rsid w:val="00052927"/>
    <w:rsid w:val="00052BE1"/>
    <w:rsid w:val="0005572E"/>
    <w:rsid w:val="000575A8"/>
    <w:rsid w:val="0006026C"/>
    <w:rsid w:val="00060545"/>
    <w:rsid w:val="000610D8"/>
    <w:rsid w:val="00061750"/>
    <w:rsid w:val="00063C7D"/>
    <w:rsid w:val="0006506F"/>
    <w:rsid w:val="000654F5"/>
    <w:rsid w:val="000655BF"/>
    <w:rsid w:val="00065752"/>
    <w:rsid w:val="000657A8"/>
    <w:rsid w:val="000665BE"/>
    <w:rsid w:val="0006666A"/>
    <w:rsid w:val="00066E50"/>
    <w:rsid w:val="0006722C"/>
    <w:rsid w:val="000702C9"/>
    <w:rsid w:val="00074295"/>
    <w:rsid w:val="00075A6F"/>
    <w:rsid w:val="00075D88"/>
    <w:rsid w:val="00081DBA"/>
    <w:rsid w:val="00083C9D"/>
    <w:rsid w:val="00084B11"/>
    <w:rsid w:val="00084CBA"/>
    <w:rsid w:val="00085258"/>
    <w:rsid w:val="0008775B"/>
    <w:rsid w:val="00087D08"/>
    <w:rsid w:val="00087E23"/>
    <w:rsid w:val="000943B6"/>
    <w:rsid w:val="00095FBC"/>
    <w:rsid w:val="000A0452"/>
    <w:rsid w:val="000A0A1E"/>
    <w:rsid w:val="000A4557"/>
    <w:rsid w:val="000A6983"/>
    <w:rsid w:val="000A77F5"/>
    <w:rsid w:val="000A78E5"/>
    <w:rsid w:val="000B12EA"/>
    <w:rsid w:val="000B4EA0"/>
    <w:rsid w:val="000B580D"/>
    <w:rsid w:val="000B5AF6"/>
    <w:rsid w:val="000B6951"/>
    <w:rsid w:val="000B7962"/>
    <w:rsid w:val="000B79FF"/>
    <w:rsid w:val="000B7D89"/>
    <w:rsid w:val="000C08D3"/>
    <w:rsid w:val="000C157C"/>
    <w:rsid w:val="000C41D5"/>
    <w:rsid w:val="000C4975"/>
    <w:rsid w:val="000C5FBE"/>
    <w:rsid w:val="000C6635"/>
    <w:rsid w:val="000C67B0"/>
    <w:rsid w:val="000C7008"/>
    <w:rsid w:val="000C7360"/>
    <w:rsid w:val="000C7BA7"/>
    <w:rsid w:val="000D042D"/>
    <w:rsid w:val="000D08A7"/>
    <w:rsid w:val="000D1427"/>
    <w:rsid w:val="000D2C92"/>
    <w:rsid w:val="000D6543"/>
    <w:rsid w:val="000E0186"/>
    <w:rsid w:val="000E1AA1"/>
    <w:rsid w:val="000E2627"/>
    <w:rsid w:val="000E2AEF"/>
    <w:rsid w:val="000E2C3E"/>
    <w:rsid w:val="000E36A4"/>
    <w:rsid w:val="000E47F1"/>
    <w:rsid w:val="000F000F"/>
    <w:rsid w:val="000F0455"/>
    <w:rsid w:val="000F0716"/>
    <w:rsid w:val="000F0F29"/>
    <w:rsid w:val="000F21A4"/>
    <w:rsid w:val="000F2601"/>
    <w:rsid w:val="000F5636"/>
    <w:rsid w:val="000F5B79"/>
    <w:rsid w:val="000F6DFC"/>
    <w:rsid w:val="00100A1B"/>
    <w:rsid w:val="001024CB"/>
    <w:rsid w:val="001024D1"/>
    <w:rsid w:val="00102965"/>
    <w:rsid w:val="00103438"/>
    <w:rsid w:val="00103BB1"/>
    <w:rsid w:val="00103F4E"/>
    <w:rsid w:val="001040F6"/>
    <w:rsid w:val="00104501"/>
    <w:rsid w:val="001046A5"/>
    <w:rsid w:val="0011479F"/>
    <w:rsid w:val="001156D2"/>
    <w:rsid w:val="00120484"/>
    <w:rsid w:val="00120EED"/>
    <w:rsid w:val="00121432"/>
    <w:rsid w:val="00121C67"/>
    <w:rsid w:val="00123B04"/>
    <w:rsid w:val="001246CA"/>
    <w:rsid w:val="00124A11"/>
    <w:rsid w:val="00124A22"/>
    <w:rsid w:val="00124DFE"/>
    <w:rsid w:val="00124F99"/>
    <w:rsid w:val="00125191"/>
    <w:rsid w:val="001259C2"/>
    <w:rsid w:val="001262AF"/>
    <w:rsid w:val="00126DD1"/>
    <w:rsid w:val="001323BE"/>
    <w:rsid w:val="00133185"/>
    <w:rsid w:val="001349D6"/>
    <w:rsid w:val="00135449"/>
    <w:rsid w:val="00136271"/>
    <w:rsid w:val="001364B7"/>
    <w:rsid w:val="00137157"/>
    <w:rsid w:val="001413C7"/>
    <w:rsid w:val="001418E1"/>
    <w:rsid w:val="001428BF"/>
    <w:rsid w:val="00143C68"/>
    <w:rsid w:val="0014724E"/>
    <w:rsid w:val="0014726B"/>
    <w:rsid w:val="001479BB"/>
    <w:rsid w:val="00147EB0"/>
    <w:rsid w:val="0015166F"/>
    <w:rsid w:val="00152307"/>
    <w:rsid w:val="00154907"/>
    <w:rsid w:val="001568AE"/>
    <w:rsid w:val="001630F1"/>
    <w:rsid w:val="001640A8"/>
    <w:rsid w:val="001644F2"/>
    <w:rsid w:val="00164DE5"/>
    <w:rsid w:val="00164EF1"/>
    <w:rsid w:val="00164F89"/>
    <w:rsid w:val="00167636"/>
    <w:rsid w:val="00172660"/>
    <w:rsid w:val="00172CB0"/>
    <w:rsid w:val="00173B40"/>
    <w:rsid w:val="00174427"/>
    <w:rsid w:val="00176195"/>
    <w:rsid w:val="00177391"/>
    <w:rsid w:val="001777EC"/>
    <w:rsid w:val="00177FD8"/>
    <w:rsid w:val="00180482"/>
    <w:rsid w:val="00180976"/>
    <w:rsid w:val="00182623"/>
    <w:rsid w:val="001832DA"/>
    <w:rsid w:val="00186800"/>
    <w:rsid w:val="00186B0A"/>
    <w:rsid w:val="0018790E"/>
    <w:rsid w:val="00190159"/>
    <w:rsid w:val="001906D2"/>
    <w:rsid w:val="0019141E"/>
    <w:rsid w:val="0019195A"/>
    <w:rsid w:val="00192608"/>
    <w:rsid w:val="0019409E"/>
    <w:rsid w:val="00195B40"/>
    <w:rsid w:val="00197877"/>
    <w:rsid w:val="001A0377"/>
    <w:rsid w:val="001A252E"/>
    <w:rsid w:val="001A293F"/>
    <w:rsid w:val="001A3154"/>
    <w:rsid w:val="001A5C06"/>
    <w:rsid w:val="001A6B13"/>
    <w:rsid w:val="001A6BB0"/>
    <w:rsid w:val="001A75ED"/>
    <w:rsid w:val="001A7C39"/>
    <w:rsid w:val="001B0C5C"/>
    <w:rsid w:val="001B1066"/>
    <w:rsid w:val="001B1B50"/>
    <w:rsid w:val="001B1F1B"/>
    <w:rsid w:val="001B32EE"/>
    <w:rsid w:val="001B3A42"/>
    <w:rsid w:val="001B640D"/>
    <w:rsid w:val="001B6A57"/>
    <w:rsid w:val="001B6A5E"/>
    <w:rsid w:val="001B70BA"/>
    <w:rsid w:val="001B727E"/>
    <w:rsid w:val="001B7D66"/>
    <w:rsid w:val="001C099A"/>
    <w:rsid w:val="001C0DAF"/>
    <w:rsid w:val="001C31A9"/>
    <w:rsid w:val="001C400F"/>
    <w:rsid w:val="001C4629"/>
    <w:rsid w:val="001C4738"/>
    <w:rsid w:val="001C4891"/>
    <w:rsid w:val="001C4A83"/>
    <w:rsid w:val="001C5A0B"/>
    <w:rsid w:val="001C7050"/>
    <w:rsid w:val="001C77A8"/>
    <w:rsid w:val="001C7C89"/>
    <w:rsid w:val="001D02F6"/>
    <w:rsid w:val="001D2758"/>
    <w:rsid w:val="001D3BEA"/>
    <w:rsid w:val="001D4E29"/>
    <w:rsid w:val="001D6E57"/>
    <w:rsid w:val="001D7F00"/>
    <w:rsid w:val="001E0E12"/>
    <w:rsid w:val="001E128E"/>
    <w:rsid w:val="001E2895"/>
    <w:rsid w:val="001E2D3D"/>
    <w:rsid w:val="001E489D"/>
    <w:rsid w:val="001E4E7A"/>
    <w:rsid w:val="001E5761"/>
    <w:rsid w:val="001E59E3"/>
    <w:rsid w:val="001E7037"/>
    <w:rsid w:val="001F0759"/>
    <w:rsid w:val="001F077D"/>
    <w:rsid w:val="001F0B04"/>
    <w:rsid w:val="001F1C68"/>
    <w:rsid w:val="001F3888"/>
    <w:rsid w:val="001F3C70"/>
    <w:rsid w:val="001F3E67"/>
    <w:rsid w:val="001F3E6C"/>
    <w:rsid w:val="001F4449"/>
    <w:rsid w:val="001F630C"/>
    <w:rsid w:val="001F666F"/>
    <w:rsid w:val="0020606C"/>
    <w:rsid w:val="00206918"/>
    <w:rsid w:val="00212095"/>
    <w:rsid w:val="002140B1"/>
    <w:rsid w:val="0021480C"/>
    <w:rsid w:val="002151A5"/>
    <w:rsid w:val="0021580C"/>
    <w:rsid w:val="002158DE"/>
    <w:rsid w:val="00217451"/>
    <w:rsid w:val="00217518"/>
    <w:rsid w:val="00217685"/>
    <w:rsid w:val="00220EC0"/>
    <w:rsid w:val="00220FB5"/>
    <w:rsid w:val="00221B4E"/>
    <w:rsid w:val="00222369"/>
    <w:rsid w:val="00223093"/>
    <w:rsid w:val="00223482"/>
    <w:rsid w:val="0022374A"/>
    <w:rsid w:val="00224371"/>
    <w:rsid w:val="00227146"/>
    <w:rsid w:val="00227A35"/>
    <w:rsid w:val="002336CB"/>
    <w:rsid w:val="00233919"/>
    <w:rsid w:val="00235081"/>
    <w:rsid w:val="00235DC0"/>
    <w:rsid w:val="0023778E"/>
    <w:rsid w:val="00237946"/>
    <w:rsid w:val="002410EB"/>
    <w:rsid w:val="0024255F"/>
    <w:rsid w:val="0024269A"/>
    <w:rsid w:val="00243E96"/>
    <w:rsid w:val="00244BAA"/>
    <w:rsid w:val="00244D67"/>
    <w:rsid w:val="002457E8"/>
    <w:rsid w:val="00245C97"/>
    <w:rsid w:val="0025151D"/>
    <w:rsid w:val="00251577"/>
    <w:rsid w:val="002517E3"/>
    <w:rsid w:val="00253FDC"/>
    <w:rsid w:val="002542FE"/>
    <w:rsid w:val="00255B85"/>
    <w:rsid w:val="0025697F"/>
    <w:rsid w:val="00257B16"/>
    <w:rsid w:val="00257CF2"/>
    <w:rsid w:val="00260FC0"/>
    <w:rsid w:val="00261940"/>
    <w:rsid w:val="0026239C"/>
    <w:rsid w:val="00264BCB"/>
    <w:rsid w:val="00264FFF"/>
    <w:rsid w:val="00265A45"/>
    <w:rsid w:val="00270219"/>
    <w:rsid w:val="002704EE"/>
    <w:rsid w:val="00270A94"/>
    <w:rsid w:val="00273315"/>
    <w:rsid w:val="00273B38"/>
    <w:rsid w:val="00275557"/>
    <w:rsid w:val="0027616B"/>
    <w:rsid w:val="00276447"/>
    <w:rsid w:val="00281C7E"/>
    <w:rsid w:val="00281CC5"/>
    <w:rsid w:val="00284B71"/>
    <w:rsid w:val="00286674"/>
    <w:rsid w:val="0029216F"/>
    <w:rsid w:val="002929D4"/>
    <w:rsid w:val="00292A0B"/>
    <w:rsid w:val="0029381F"/>
    <w:rsid w:val="00295B06"/>
    <w:rsid w:val="002A11C3"/>
    <w:rsid w:val="002A189A"/>
    <w:rsid w:val="002A3BEC"/>
    <w:rsid w:val="002A457B"/>
    <w:rsid w:val="002A56B3"/>
    <w:rsid w:val="002A5AD2"/>
    <w:rsid w:val="002A6AF4"/>
    <w:rsid w:val="002A6D72"/>
    <w:rsid w:val="002B677A"/>
    <w:rsid w:val="002B71AE"/>
    <w:rsid w:val="002C0209"/>
    <w:rsid w:val="002C0874"/>
    <w:rsid w:val="002C0FF2"/>
    <w:rsid w:val="002C17B5"/>
    <w:rsid w:val="002C20C0"/>
    <w:rsid w:val="002C307F"/>
    <w:rsid w:val="002C5B22"/>
    <w:rsid w:val="002C7CE5"/>
    <w:rsid w:val="002D0EA4"/>
    <w:rsid w:val="002D28F9"/>
    <w:rsid w:val="002D2BA8"/>
    <w:rsid w:val="002D5EF9"/>
    <w:rsid w:val="002D694D"/>
    <w:rsid w:val="002D6A5E"/>
    <w:rsid w:val="002D77C8"/>
    <w:rsid w:val="002D7D98"/>
    <w:rsid w:val="002E087A"/>
    <w:rsid w:val="002E36EE"/>
    <w:rsid w:val="002E3B0F"/>
    <w:rsid w:val="002E3BEA"/>
    <w:rsid w:val="002E4CF4"/>
    <w:rsid w:val="002E50EE"/>
    <w:rsid w:val="002E6635"/>
    <w:rsid w:val="002E6994"/>
    <w:rsid w:val="002E6BB5"/>
    <w:rsid w:val="002F1B80"/>
    <w:rsid w:val="002F20D7"/>
    <w:rsid w:val="002F2E6C"/>
    <w:rsid w:val="002F36DB"/>
    <w:rsid w:val="002F55AB"/>
    <w:rsid w:val="002F5A70"/>
    <w:rsid w:val="002F64F3"/>
    <w:rsid w:val="002F6708"/>
    <w:rsid w:val="002F6CF4"/>
    <w:rsid w:val="002F7242"/>
    <w:rsid w:val="002F7B39"/>
    <w:rsid w:val="00300D34"/>
    <w:rsid w:val="00301656"/>
    <w:rsid w:val="0030213B"/>
    <w:rsid w:val="00303AAF"/>
    <w:rsid w:val="00305A84"/>
    <w:rsid w:val="003062E9"/>
    <w:rsid w:val="00307057"/>
    <w:rsid w:val="0031008D"/>
    <w:rsid w:val="00310BC5"/>
    <w:rsid w:val="003112B8"/>
    <w:rsid w:val="003137F1"/>
    <w:rsid w:val="003162AD"/>
    <w:rsid w:val="003167BB"/>
    <w:rsid w:val="003168C1"/>
    <w:rsid w:val="00320C9E"/>
    <w:rsid w:val="0032491F"/>
    <w:rsid w:val="0032582C"/>
    <w:rsid w:val="00325B54"/>
    <w:rsid w:val="00325CCF"/>
    <w:rsid w:val="00325DE0"/>
    <w:rsid w:val="00325F0C"/>
    <w:rsid w:val="003273C9"/>
    <w:rsid w:val="00327D19"/>
    <w:rsid w:val="00330BEC"/>
    <w:rsid w:val="00330D9F"/>
    <w:rsid w:val="003331E1"/>
    <w:rsid w:val="0033340A"/>
    <w:rsid w:val="00333E4B"/>
    <w:rsid w:val="0033490E"/>
    <w:rsid w:val="00335424"/>
    <w:rsid w:val="0033636F"/>
    <w:rsid w:val="00336C0B"/>
    <w:rsid w:val="00337F12"/>
    <w:rsid w:val="0034408D"/>
    <w:rsid w:val="00344801"/>
    <w:rsid w:val="003450C6"/>
    <w:rsid w:val="0034591F"/>
    <w:rsid w:val="0034658A"/>
    <w:rsid w:val="00346C03"/>
    <w:rsid w:val="003471A4"/>
    <w:rsid w:val="0034723E"/>
    <w:rsid w:val="00347BB7"/>
    <w:rsid w:val="00347C4D"/>
    <w:rsid w:val="003513AE"/>
    <w:rsid w:val="00351B23"/>
    <w:rsid w:val="00354E90"/>
    <w:rsid w:val="00355B2E"/>
    <w:rsid w:val="003578ED"/>
    <w:rsid w:val="003611B5"/>
    <w:rsid w:val="003615A4"/>
    <w:rsid w:val="00361B7A"/>
    <w:rsid w:val="003621FE"/>
    <w:rsid w:val="00362FBF"/>
    <w:rsid w:val="00363285"/>
    <w:rsid w:val="00365A04"/>
    <w:rsid w:val="003669AD"/>
    <w:rsid w:val="00366AE7"/>
    <w:rsid w:val="00370320"/>
    <w:rsid w:val="003708BC"/>
    <w:rsid w:val="00371D8B"/>
    <w:rsid w:val="00372598"/>
    <w:rsid w:val="0037293D"/>
    <w:rsid w:val="00372F82"/>
    <w:rsid w:val="00374B6B"/>
    <w:rsid w:val="00375B54"/>
    <w:rsid w:val="00375C59"/>
    <w:rsid w:val="00376040"/>
    <w:rsid w:val="0037775F"/>
    <w:rsid w:val="003777EC"/>
    <w:rsid w:val="00380014"/>
    <w:rsid w:val="003810FB"/>
    <w:rsid w:val="0038178F"/>
    <w:rsid w:val="003846EC"/>
    <w:rsid w:val="003849D4"/>
    <w:rsid w:val="00384B73"/>
    <w:rsid w:val="003868BE"/>
    <w:rsid w:val="0038696D"/>
    <w:rsid w:val="00386F0D"/>
    <w:rsid w:val="003920D8"/>
    <w:rsid w:val="003920E0"/>
    <w:rsid w:val="003932D1"/>
    <w:rsid w:val="00393ABB"/>
    <w:rsid w:val="003940CB"/>
    <w:rsid w:val="00396135"/>
    <w:rsid w:val="003963E0"/>
    <w:rsid w:val="0039732C"/>
    <w:rsid w:val="003A05FE"/>
    <w:rsid w:val="003A2D75"/>
    <w:rsid w:val="003A380C"/>
    <w:rsid w:val="003A3CB2"/>
    <w:rsid w:val="003A411B"/>
    <w:rsid w:val="003A41A9"/>
    <w:rsid w:val="003A7383"/>
    <w:rsid w:val="003A740E"/>
    <w:rsid w:val="003B25FE"/>
    <w:rsid w:val="003B3827"/>
    <w:rsid w:val="003B4C94"/>
    <w:rsid w:val="003B4FE2"/>
    <w:rsid w:val="003B58EE"/>
    <w:rsid w:val="003B7611"/>
    <w:rsid w:val="003B7632"/>
    <w:rsid w:val="003B7713"/>
    <w:rsid w:val="003C0872"/>
    <w:rsid w:val="003C237A"/>
    <w:rsid w:val="003C2EF2"/>
    <w:rsid w:val="003C3076"/>
    <w:rsid w:val="003C3587"/>
    <w:rsid w:val="003C4674"/>
    <w:rsid w:val="003C64E7"/>
    <w:rsid w:val="003C6711"/>
    <w:rsid w:val="003C6DA6"/>
    <w:rsid w:val="003C6FF5"/>
    <w:rsid w:val="003D0DDF"/>
    <w:rsid w:val="003D20E4"/>
    <w:rsid w:val="003D28BA"/>
    <w:rsid w:val="003D38C4"/>
    <w:rsid w:val="003D3A3A"/>
    <w:rsid w:val="003D50BB"/>
    <w:rsid w:val="003D6A83"/>
    <w:rsid w:val="003D704D"/>
    <w:rsid w:val="003E3FA2"/>
    <w:rsid w:val="003E52E5"/>
    <w:rsid w:val="003E5888"/>
    <w:rsid w:val="003E628D"/>
    <w:rsid w:val="003E65D0"/>
    <w:rsid w:val="003E6DE2"/>
    <w:rsid w:val="003E7325"/>
    <w:rsid w:val="003E7667"/>
    <w:rsid w:val="003E7741"/>
    <w:rsid w:val="003F0D78"/>
    <w:rsid w:val="003F1A62"/>
    <w:rsid w:val="003F1C0C"/>
    <w:rsid w:val="003F4ABF"/>
    <w:rsid w:val="003F4EF9"/>
    <w:rsid w:val="003F5E25"/>
    <w:rsid w:val="003F6699"/>
    <w:rsid w:val="003F71EC"/>
    <w:rsid w:val="003F76CE"/>
    <w:rsid w:val="00401D9D"/>
    <w:rsid w:val="0040249F"/>
    <w:rsid w:val="00402DC0"/>
    <w:rsid w:val="0040670B"/>
    <w:rsid w:val="00406713"/>
    <w:rsid w:val="00406E79"/>
    <w:rsid w:val="0040756E"/>
    <w:rsid w:val="00410106"/>
    <w:rsid w:val="00413308"/>
    <w:rsid w:val="00413882"/>
    <w:rsid w:val="00415DF3"/>
    <w:rsid w:val="00416887"/>
    <w:rsid w:val="00416EDA"/>
    <w:rsid w:val="00417B8F"/>
    <w:rsid w:val="0042046D"/>
    <w:rsid w:val="0042098D"/>
    <w:rsid w:val="004215B7"/>
    <w:rsid w:val="004216F2"/>
    <w:rsid w:val="004233C2"/>
    <w:rsid w:val="004246D0"/>
    <w:rsid w:val="00424F40"/>
    <w:rsid w:val="00424FC4"/>
    <w:rsid w:val="00425D3E"/>
    <w:rsid w:val="00426EB6"/>
    <w:rsid w:val="00430574"/>
    <w:rsid w:val="004305D5"/>
    <w:rsid w:val="0043120D"/>
    <w:rsid w:val="004312B4"/>
    <w:rsid w:val="00433C91"/>
    <w:rsid w:val="00434267"/>
    <w:rsid w:val="0043426D"/>
    <w:rsid w:val="00435799"/>
    <w:rsid w:val="004358D2"/>
    <w:rsid w:val="004369D9"/>
    <w:rsid w:val="004371E7"/>
    <w:rsid w:val="00437234"/>
    <w:rsid w:val="00437AFB"/>
    <w:rsid w:val="00442A88"/>
    <w:rsid w:val="00444D17"/>
    <w:rsid w:val="00445527"/>
    <w:rsid w:val="004469B7"/>
    <w:rsid w:val="004469E6"/>
    <w:rsid w:val="00446C8A"/>
    <w:rsid w:val="00447EB0"/>
    <w:rsid w:val="004503D6"/>
    <w:rsid w:val="00450535"/>
    <w:rsid w:val="0045104F"/>
    <w:rsid w:val="00451B09"/>
    <w:rsid w:val="00452067"/>
    <w:rsid w:val="004520C1"/>
    <w:rsid w:val="0045313E"/>
    <w:rsid w:val="004543F1"/>
    <w:rsid w:val="0045492A"/>
    <w:rsid w:val="00454B7A"/>
    <w:rsid w:val="00455B0B"/>
    <w:rsid w:val="0045648F"/>
    <w:rsid w:val="00457BD2"/>
    <w:rsid w:val="00460235"/>
    <w:rsid w:val="00462D54"/>
    <w:rsid w:val="0046379A"/>
    <w:rsid w:val="00464446"/>
    <w:rsid w:val="004650B4"/>
    <w:rsid w:val="00466475"/>
    <w:rsid w:val="00466BE9"/>
    <w:rsid w:val="00467A8D"/>
    <w:rsid w:val="0047051E"/>
    <w:rsid w:val="00471B08"/>
    <w:rsid w:val="0047491E"/>
    <w:rsid w:val="00475323"/>
    <w:rsid w:val="00477E3B"/>
    <w:rsid w:val="00480937"/>
    <w:rsid w:val="00480DB6"/>
    <w:rsid w:val="00482AD6"/>
    <w:rsid w:val="004853B2"/>
    <w:rsid w:val="00485E38"/>
    <w:rsid w:val="00486C95"/>
    <w:rsid w:val="004872D5"/>
    <w:rsid w:val="0048754D"/>
    <w:rsid w:val="00495DEB"/>
    <w:rsid w:val="0049608D"/>
    <w:rsid w:val="0049646F"/>
    <w:rsid w:val="004973E9"/>
    <w:rsid w:val="00497A52"/>
    <w:rsid w:val="00497EDC"/>
    <w:rsid w:val="004A0D71"/>
    <w:rsid w:val="004A133B"/>
    <w:rsid w:val="004A23CF"/>
    <w:rsid w:val="004A27A4"/>
    <w:rsid w:val="004A2861"/>
    <w:rsid w:val="004A2F40"/>
    <w:rsid w:val="004A3CF5"/>
    <w:rsid w:val="004A41A5"/>
    <w:rsid w:val="004A43A6"/>
    <w:rsid w:val="004A54D0"/>
    <w:rsid w:val="004A5A2E"/>
    <w:rsid w:val="004A5FD4"/>
    <w:rsid w:val="004A7943"/>
    <w:rsid w:val="004B0B95"/>
    <w:rsid w:val="004B1DE3"/>
    <w:rsid w:val="004B392F"/>
    <w:rsid w:val="004B3D50"/>
    <w:rsid w:val="004B4A7A"/>
    <w:rsid w:val="004B4B38"/>
    <w:rsid w:val="004B5493"/>
    <w:rsid w:val="004B62E9"/>
    <w:rsid w:val="004B71B1"/>
    <w:rsid w:val="004B75C4"/>
    <w:rsid w:val="004B7F46"/>
    <w:rsid w:val="004C31D7"/>
    <w:rsid w:val="004C3615"/>
    <w:rsid w:val="004C370D"/>
    <w:rsid w:val="004C40C7"/>
    <w:rsid w:val="004C42F3"/>
    <w:rsid w:val="004C7525"/>
    <w:rsid w:val="004C7A50"/>
    <w:rsid w:val="004D0A7F"/>
    <w:rsid w:val="004D1724"/>
    <w:rsid w:val="004D36D8"/>
    <w:rsid w:val="004D43C8"/>
    <w:rsid w:val="004D4A38"/>
    <w:rsid w:val="004D5247"/>
    <w:rsid w:val="004D5CB3"/>
    <w:rsid w:val="004D7C7C"/>
    <w:rsid w:val="004E0530"/>
    <w:rsid w:val="004E1E3C"/>
    <w:rsid w:val="004E2329"/>
    <w:rsid w:val="004E26C5"/>
    <w:rsid w:val="004E2D99"/>
    <w:rsid w:val="004E300F"/>
    <w:rsid w:val="004E405C"/>
    <w:rsid w:val="004E46A5"/>
    <w:rsid w:val="004E4952"/>
    <w:rsid w:val="004E5435"/>
    <w:rsid w:val="004E6646"/>
    <w:rsid w:val="004E6B67"/>
    <w:rsid w:val="004E7EC0"/>
    <w:rsid w:val="004F0DBE"/>
    <w:rsid w:val="004F36ED"/>
    <w:rsid w:val="004F3BC0"/>
    <w:rsid w:val="004F3D46"/>
    <w:rsid w:val="004F4DBE"/>
    <w:rsid w:val="004F5DBD"/>
    <w:rsid w:val="004F7819"/>
    <w:rsid w:val="004F78CF"/>
    <w:rsid w:val="005001A2"/>
    <w:rsid w:val="00500D32"/>
    <w:rsid w:val="00500FDC"/>
    <w:rsid w:val="005013C1"/>
    <w:rsid w:val="005046DA"/>
    <w:rsid w:val="00506286"/>
    <w:rsid w:val="00506A16"/>
    <w:rsid w:val="00506F65"/>
    <w:rsid w:val="00507783"/>
    <w:rsid w:val="005103ED"/>
    <w:rsid w:val="0051142E"/>
    <w:rsid w:val="0051149A"/>
    <w:rsid w:val="00512BAE"/>
    <w:rsid w:val="00512BE6"/>
    <w:rsid w:val="005134CE"/>
    <w:rsid w:val="0051485C"/>
    <w:rsid w:val="00520D3C"/>
    <w:rsid w:val="00524738"/>
    <w:rsid w:val="00525182"/>
    <w:rsid w:val="00525F7D"/>
    <w:rsid w:val="00525FC9"/>
    <w:rsid w:val="005264D2"/>
    <w:rsid w:val="00526CE9"/>
    <w:rsid w:val="00531452"/>
    <w:rsid w:val="00531FAB"/>
    <w:rsid w:val="00534C6E"/>
    <w:rsid w:val="00535190"/>
    <w:rsid w:val="005404F9"/>
    <w:rsid w:val="005448C1"/>
    <w:rsid w:val="00544A54"/>
    <w:rsid w:val="00545BEF"/>
    <w:rsid w:val="00546A4C"/>
    <w:rsid w:val="00547093"/>
    <w:rsid w:val="0054726B"/>
    <w:rsid w:val="00547A8B"/>
    <w:rsid w:val="00554D8F"/>
    <w:rsid w:val="005563D7"/>
    <w:rsid w:val="005566B0"/>
    <w:rsid w:val="00557AC1"/>
    <w:rsid w:val="00557FB0"/>
    <w:rsid w:val="0056111B"/>
    <w:rsid w:val="0056159D"/>
    <w:rsid w:val="00562E43"/>
    <w:rsid w:val="00563902"/>
    <w:rsid w:val="00563EF1"/>
    <w:rsid w:val="00567B55"/>
    <w:rsid w:val="00572738"/>
    <w:rsid w:val="005738F6"/>
    <w:rsid w:val="00574776"/>
    <w:rsid w:val="00574D33"/>
    <w:rsid w:val="00576240"/>
    <w:rsid w:val="00576803"/>
    <w:rsid w:val="005769DE"/>
    <w:rsid w:val="00577462"/>
    <w:rsid w:val="005807CF"/>
    <w:rsid w:val="005810C1"/>
    <w:rsid w:val="00581545"/>
    <w:rsid w:val="00582616"/>
    <w:rsid w:val="00582858"/>
    <w:rsid w:val="0058315A"/>
    <w:rsid w:val="00583963"/>
    <w:rsid w:val="00585BA7"/>
    <w:rsid w:val="00585E3A"/>
    <w:rsid w:val="00586135"/>
    <w:rsid w:val="00587015"/>
    <w:rsid w:val="00587E0A"/>
    <w:rsid w:val="00590AF5"/>
    <w:rsid w:val="00590E32"/>
    <w:rsid w:val="005913B5"/>
    <w:rsid w:val="005920B8"/>
    <w:rsid w:val="00592647"/>
    <w:rsid w:val="0059264E"/>
    <w:rsid w:val="00594167"/>
    <w:rsid w:val="0059535D"/>
    <w:rsid w:val="00597D98"/>
    <w:rsid w:val="005A1574"/>
    <w:rsid w:val="005A1B0D"/>
    <w:rsid w:val="005A37AE"/>
    <w:rsid w:val="005A51C2"/>
    <w:rsid w:val="005A706D"/>
    <w:rsid w:val="005B0341"/>
    <w:rsid w:val="005B13D5"/>
    <w:rsid w:val="005B2255"/>
    <w:rsid w:val="005B246E"/>
    <w:rsid w:val="005B3464"/>
    <w:rsid w:val="005B45DD"/>
    <w:rsid w:val="005B4FAE"/>
    <w:rsid w:val="005C10E1"/>
    <w:rsid w:val="005C13E0"/>
    <w:rsid w:val="005C346F"/>
    <w:rsid w:val="005C35C0"/>
    <w:rsid w:val="005C3EAE"/>
    <w:rsid w:val="005C49ED"/>
    <w:rsid w:val="005C4B2A"/>
    <w:rsid w:val="005C5A5C"/>
    <w:rsid w:val="005C6880"/>
    <w:rsid w:val="005C78E8"/>
    <w:rsid w:val="005C7A5B"/>
    <w:rsid w:val="005D19B9"/>
    <w:rsid w:val="005D3E54"/>
    <w:rsid w:val="005D6689"/>
    <w:rsid w:val="005D6A3E"/>
    <w:rsid w:val="005D725C"/>
    <w:rsid w:val="005D79F2"/>
    <w:rsid w:val="005E035F"/>
    <w:rsid w:val="005E0C58"/>
    <w:rsid w:val="005E1560"/>
    <w:rsid w:val="005E2CDA"/>
    <w:rsid w:val="005E4406"/>
    <w:rsid w:val="005E5285"/>
    <w:rsid w:val="005E5512"/>
    <w:rsid w:val="005E597B"/>
    <w:rsid w:val="005E5B80"/>
    <w:rsid w:val="005E7CF9"/>
    <w:rsid w:val="005E7E93"/>
    <w:rsid w:val="005F05BE"/>
    <w:rsid w:val="005F1CB9"/>
    <w:rsid w:val="005F4B86"/>
    <w:rsid w:val="005F4EB8"/>
    <w:rsid w:val="005F50E4"/>
    <w:rsid w:val="005F6A7A"/>
    <w:rsid w:val="005F7941"/>
    <w:rsid w:val="005F7BE4"/>
    <w:rsid w:val="00600556"/>
    <w:rsid w:val="006010F3"/>
    <w:rsid w:val="006028DD"/>
    <w:rsid w:val="006033D8"/>
    <w:rsid w:val="0060387A"/>
    <w:rsid w:val="006055A4"/>
    <w:rsid w:val="00611901"/>
    <w:rsid w:val="006124F1"/>
    <w:rsid w:val="00615795"/>
    <w:rsid w:val="00617CE8"/>
    <w:rsid w:val="00620859"/>
    <w:rsid w:val="00623335"/>
    <w:rsid w:val="00624E0F"/>
    <w:rsid w:val="00625A68"/>
    <w:rsid w:val="00626926"/>
    <w:rsid w:val="00627A04"/>
    <w:rsid w:val="00630CBF"/>
    <w:rsid w:val="00631755"/>
    <w:rsid w:val="00633E10"/>
    <w:rsid w:val="00640454"/>
    <w:rsid w:val="00646116"/>
    <w:rsid w:val="0064624A"/>
    <w:rsid w:val="00652BBE"/>
    <w:rsid w:val="00653432"/>
    <w:rsid w:val="00653AEA"/>
    <w:rsid w:val="006545BC"/>
    <w:rsid w:val="00661307"/>
    <w:rsid w:val="006618EE"/>
    <w:rsid w:val="00661EF3"/>
    <w:rsid w:val="0066242B"/>
    <w:rsid w:val="006635A4"/>
    <w:rsid w:val="0066542E"/>
    <w:rsid w:val="00665784"/>
    <w:rsid w:val="00667709"/>
    <w:rsid w:val="00667D88"/>
    <w:rsid w:val="0067017C"/>
    <w:rsid w:val="0067168A"/>
    <w:rsid w:val="00671BD4"/>
    <w:rsid w:val="00672848"/>
    <w:rsid w:val="0067448F"/>
    <w:rsid w:val="006766FC"/>
    <w:rsid w:val="0067691D"/>
    <w:rsid w:val="00677220"/>
    <w:rsid w:val="00677B20"/>
    <w:rsid w:val="00680DD6"/>
    <w:rsid w:val="00683E96"/>
    <w:rsid w:val="006850F3"/>
    <w:rsid w:val="00685AA4"/>
    <w:rsid w:val="00687436"/>
    <w:rsid w:val="00691791"/>
    <w:rsid w:val="00691BEC"/>
    <w:rsid w:val="006920B7"/>
    <w:rsid w:val="00693A8C"/>
    <w:rsid w:val="00694F35"/>
    <w:rsid w:val="00695A6D"/>
    <w:rsid w:val="00695B6E"/>
    <w:rsid w:val="00696F22"/>
    <w:rsid w:val="006979D8"/>
    <w:rsid w:val="006979FA"/>
    <w:rsid w:val="006A0BC0"/>
    <w:rsid w:val="006A4E27"/>
    <w:rsid w:val="006A5ADA"/>
    <w:rsid w:val="006A6499"/>
    <w:rsid w:val="006A7218"/>
    <w:rsid w:val="006B015E"/>
    <w:rsid w:val="006B1199"/>
    <w:rsid w:val="006B4381"/>
    <w:rsid w:val="006B4A37"/>
    <w:rsid w:val="006B5A36"/>
    <w:rsid w:val="006B67B3"/>
    <w:rsid w:val="006B6E8F"/>
    <w:rsid w:val="006B7F1A"/>
    <w:rsid w:val="006C1954"/>
    <w:rsid w:val="006C1E0B"/>
    <w:rsid w:val="006C34AB"/>
    <w:rsid w:val="006C57AE"/>
    <w:rsid w:val="006C5CFB"/>
    <w:rsid w:val="006C5E98"/>
    <w:rsid w:val="006C67AA"/>
    <w:rsid w:val="006C7471"/>
    <w:rsid w:val="006D1228"/>
    <w:rsid w:val="006D1E19"/>
    <w:rsid w:val="006D274C"/>
    <w:rsid w:val="006D381A"/>
    <w:rsid w:val="006D3987"/>
    <w:rsid w:val="006D3D86"/>
    <w:rsid w:val="006D4366"/>
    <w:rsid w:val="006D4426"/>
    <w:rsid w:val="006D4943"/>
    <w:rsid w:val="006D4A48"/>
    <w:rsid w:val="006D4ABC"/>
    <w:rsid w:val="006D5227"/>
    <w:rsid w:val="006D6751"/>
    <w:rsid w:val="006D74A4"/>
    <w:rsid w:val="006E1D4D"/>
    <w:rsid w:val="006E7186"/>
    <w:rsid w:val="006E7D45"/>
    <w:rsid w:val="006F0517"/>
    <w:rsid w:val="006F1135"/>
    <w:rsid w:val="006F333B"/>
    <w:rsid w:val="006F3830"/>
    <w:rsid w:val="006F3EE0"/>
    <w:rsid w:val="006F6189"/>
    <w:rsid w:val="006F6223"/>
    <w:rsid w:val="007006DF"/>
    <w:rsid w:val="00700E01"/>
    <w:rsid w:val="007012FE"/>
    <w:rsid w:val="00704A18"/>
    <w:rsid w:val="00705F4C"/>
    <w:rsid w:val="007063C8"/>
    <w:rsid w:val="007070A2"/>
    <w:rsid w:val="00707312"/>
    <w:rsid w:val="007075F7"/>
    <w:rsid w:val="00710677"/>
    <w:rsid w:val="00711C50"/>
    <w:rsid w:val="00712396"/>
    <w:rsid w:val="00712555"/>
    <w:rsid w:val="00713B63"/>
    <w:rsid w:val="00715103"/>
    <w:rsid w:val="007157F2"/>
    <w:rsid w:val="00715C22"/>
    <w:rsid w:val="0071776E"/>
    <w:rsid w:val="0072431C"/>
    <w:rsid w:val="007261CE"/>
    <w:rsid w:val="00726838"/>
    <w:rsid w:val="007277FD"/>
    <w:rsid w:val="00727EEB"/>
    <w:rsid w:val="00730C4D"/>
    <w:rsid w:val="0073107B"/>
    <w:rsid w:val="00731E41"/>
    <w:rsid w:val="00734197"/>
    <w:rsid w:val="00734341"/>
    <w:rsid w:val="007343D9"/>
    <w:rsid w:val="0073479B"/>
    <w:rsid w:val="0073486A"/>
    <w:rsid w:val="00735C64"/>
    <w:rsid w:val="0073662F"/>
    <w:rsid w:val="00736B98"/>
    <w:rsid w:val="00737245"/>
    <w:rsid w:val="0073745A"/>
    <w:rsid w:val="00740CF1"/>
    <w:rsid w:val="00740F6A"/>
    <w:rsid w:val="0074101A"/>
    <w:rsid w:val="007411C8"/>
    <w:rsid w:val="007418FA"/>
    <w:rsid w:val="00741B7B"/>
    <w:rsid w:val="00743F94"/>
    <w:rsid w:val="00744D68"/>
    <w:rsid w:val="00744E26"/>
    <w:rsid w:val="00745DF2"/>
    <w:rsid w:val="00746023"/>
    <w:rsid w:val="00750A24"/>
    <w:rsid w:val="00752868"/>
    <w:rsid w:val="00752CF7"/>
    <w:rsid w:val="0075318B"/>
    <w:rsid w:val="00755830"/>
    <w:rsid w:val="007576A0"/>
    <w:rsid w:val="00760B4D"/>
    <w:rsid w:val="00760BB8"/>
    <w:rsid w:val="00762D2D"/>
    <w:rsid w:val="007645B7"/>
    <w:rsid w:val="00764B6D"/>
    <w:rsid w:val="00765435"/>
    <w:rsid w:val="00765ACE"/>
    <w:rsid w:val="00765CD8"/>
    <w:rsid w:val="00765D96"/>
    <w:rsid w:val="007674AD"/>
    <w:rsid w:val="007679C1"/>
    <w:rsid w:val="007700A4"/>
    <w:rsid w:val="00771AF9"/>
    <w:rsid w:val="00771F8B"/>
    <w:rsid w:val="007722C1"/>
    <w:rsid w:val="00772439"/>
    <w:rsid w:val="00774868"/>
    <w:rsid w:val="007760CC"/>
    <w:rsid w:val="00776346"/>
    <w:rsid w:val="007765F4"/>
    <w:rsid w:val="007776B9"/>
    <w:rsid w:val="00781040"/>
    <w:rsid w:val="007825E8"/>
    <w:rsid w:val="00782E77"/>
    <w:rsid w:val="00784F2A"/>
    <w:rsid w:val="00785F3A"/>
    <w:rsid w:val="00786D4C"/>
    <w:rsid w:val="007877B8"/>
    <w:rsid w:val="00787E5D"/>
    <w:rsid w:val="00790066"/>
    <w:rsid w:val="00790555"/>
    <w:rsid w:val="0079104A"/>
    <w:rsid w:val="00791AD8"/>
    <w:rsid w:val="00792BF7"/>
    <w:rsid w:val="00794BFB"/>
    <w:rsid w:val="00795100"/>
    <w:rsid w:val="007A11DD"/>
    <w:rsid w:val="007A1651"/>
    <w:rsid w:val="007A3AC0"/>
    <w:rsid w:val="007A3CDC"/>
    <w:rsid w:val="007A4E18"/>
    <w:rsid w:val="007A4F8D"/>
    <w:rsid w:val="007A6765"/>
    <w:rsid w:val="007A74AB"/>
    <w:rsid w:val="007A7AF7"/>
    <w:rsid w:val="007B047F"/>
    <w:rsid w:val="007B40D1"/>
    <w:rsid w:val="007B40F4"/>
    <w:rsid w:val="007B4365"/>
    <w:rsid w:val="007B438C"/>
    <w:rsid w:val="007B46D3"/>
    <w:rsid w:val="007B4CA8"/>
    <w:rsid w:val="007B5306"/>
    <w:rsid w:val="007B5F17"/>
    <w:rsid w:val="007C1AF9"/>
    <w:rsid w:val="007C2708"/>
    <w:rsid w:val="007C2D93"/>
    <w:rsid w:val="007C38E6"/>
    <w:rsid w:val="007C4260"/>
    <w:rsid w:val="007C4D96"/>
    <w:rsid w:val="007C508C"/>
    <w:rsid w:val="007C564F"/>
    <w:rsid w:val="007C5CBE"/>
    <w:rsid w:val="007C6702"/>
    <w:rsid w:val="007C788C"/>
    <w:rsid w:val="007D1068"/>
    <w:rsid w:val="007D1E8E"/>
    <w:rsid w:val="007D3B96"/>
    <w:rsid w:val="007D7BAD"/>
    <w:rsid w:val="007E0058"/>
    <w:rsid w:val="007E3685"/>
    <w:rsid w:val="007E3E35"/>
    <w:rsid w:val="007E421E"/>
    <w:rsid w:val="007E5617"/>
    <w:rsid w:val="007E57B3"/>
    <w:rsid w:val="007E65DD"/>
    <w:rsid w:val="007E6964"/>
    <w:rsid w:val="007E6B87"/>
    <w:rsid w:val="007E6BE6"/>
    <w:rsid w:val="007E6E4A"/>
    <w:rsid w:val="007E7FE8"/>
    <w:rsid w:val="007F2F07"/>
    <w:rsid w:val="007F654B"/>
    <w:rsid w:val="007F6612"/>
    <w:rsid w:val="007F6D4D"/>
    <w:rsid w:val="007F7955"/>
    <w:rsid w:val="007F7CD9"/>
    <w:rsid w:val="00800562"/>
    <w:rsid w:val="00800D85"/>
    <w:rsid w:val="00802D8F"/>
    <w:rsid w:val="008033AD"/>
    <w:rsid w:val="008033D0"/>
    <w:rsid w:val="00803A9A"/>
    <w:rsid w:val="00803D26"/>
    <w:rsid w:val="00804F5D"/>
    <w:rsid w:val="0080609F"/>
    <w:rsid w:val="00807161"/>
    <w:rsid w:val="00810D86"/>
    <w:rsid w:val="0081253A"/>
    <w:rsid w:val="008129E6"/>
    <w:rsid w:val="00814138"/>
    <w:rsid w:val="0081431A"/>
    <w:rsid w:val="00814323"/>
    <w:rsid w:val="0081453B"/>
    <w:rsid w:val="00815261"/>
    <w:rsid w:val="00817599"/>
    <w:rsid w:val="00821FAD"/>
    <w:rsid w:val="008224B9"/>
    <w:rsid w:val="008233E1"/>
    <w:rsid w:val="00823F46"/>
    <w:rsid w:val="00824C86"/>
    <w:rsid w:val="00824FCA"/>
    <w:rsid w:val="00825497"/>
    <w:rsid w:val="00825799"/>
    <w:rsid w:val="00825DB8"/>
    <w:rsid w:val="008263C0"/>
    <w:rsid w:val="00826986"/>
    <w:rsid w:val="00826C5C"/>
    <w:rsid w:val="00826FD9"/>
    <w:rsid w:val="0082723C"/>
    <w:rsid w:val="00831BF5"/>
    <w:rsid w:val="00831CFC"/>
    <w:rsid w:val="0083223F"/>
    <w:rsid w:val="00832CB6"/>
    <w:rsid w:val="00833A11"/>
    <w:rsid w:val="00835050"/>
    <w:rsid w:val="00835223"/>
    <w:rsid w:val="00837421"/>
    <w:rsid w:val="00837D5B"/>
    <w:rsid w:val="008426C0"/>
    <w:rsid w:val="0084403D"/>
    <w:rsid w:val="008446C1"/>
    <w:rsid w:val="008453E9"/>
    <w:rsid w:val="008457F1"/>
    <w:rsid w:val="00845D16"/>
    <w:rsid w:val="008464D9"/>
    <w:rsid w:val="008467C5"/>
    <w:rsid w:val="00846800"/>
    <w:rsid w:val="008470BA"/>
    <w:rsid w:val="00847157"/>
    <w:rsid w:val="00847630"/>
    <w:rsid w:val="00847755"/>
    <w:rsid w:val="008501E6"/>
    <w:rsid w:val="00850D09"/>
    <w:rsid w:val="0085300F"/>
    <w:rsid w:val="0085390D"/>
    <w:rsid w:val="00853B2B"/>
    <w:rsid w:val="0085591D"/>
    <w:rsid w:val="00855EB6"/>
    <w:rsid w:val="008571CE"/>
    <w:rsid w:val="008575EE"/>
    <w:rsid w:val="00857A41"/>
    <w:rsid w:val="00857ABA"/>
    <w:rsid w:val="00857E4A"/>
    <w:rsid w:val="00861BD3"/>
    <w:rsid w:val="008623B8"/>
    <w:rsid w:val="00862463"/>
    <w:rsid w:val="00862F9D"/>
    <w:rsid w:val="00863200"/>
    <w:rsid w:val="00864092"/>
    <w:rsid w:val="0086447F"/>
    <w:rsid w:val="008649FA"/>
    <w:rsid w:val="0086506C"/>
    <w:rsid w:val="00865C7B"/>
    <w:rsid w:val="00866518"/>
    <w:rsid w:val="008665D8"/>
    <w:rsid w:val="00867000"/>
    <w:rsid w:val="00867068"/>
    <w:rsid w:val="00870794"/>
    <w:rsid w:val="008714B2"/>
    <w:rsid w:val="0087211B"/>
    <w:rsid w:val="00872571"/>
    <w:rsid w:val="00873EA5"/>
    <w:rsid w:val="00874338"/>
    <w:rsid w:val="00874BFE"/>
    <w:rsid w:val="0087556E"/>
    <w:rsid w:val="0087775B"/>
    <w:rsid w:val="00880A39"/>
    <w:rsid w:val="00882705"/>
    <w:rsid w:val="0088282B"/>
    <w:rsid w:val="00882B86"/>
    <w:rsid w:val="00882C5C"/>
    <w:rsid w:val="0088324B"/>
    <w:rsid w:val="0088608E"/>
    <w:rsid w:val="00886718"/>
    <w:rsid w:val="008875FA"/>
    <w:rsid w:val="0088765E"/>
    <w:rsid w:val="00887B63"/>
    <w:rsid w:val="00887E67"/>
    <w:rsid w:val="0089208D"/>
    <w:rsid w:val="00892BD2"/>
    <w:rsid w:val="00893328"/>
    <w:rsid w:val="008933BE"/>
    <w:rsid w:val="00893A45"/>
    <w:rsid w:val="008945B1"/>
    <w:rsid w:val="00895A88"/>
    <w:rsid w:val="008962C7"/>
    <w:rsid w:val="008974B3"/>
    <w:rsid w:val="008974D1"/>
    <w:rsid w:val="00897856"/>
    <w:rsid w:val="00897EEC"/>
    <w:rsid w:val="008A1DCF"/>
    <w:rsid w:val="008A2E7D"/>
    <w:rsid w:val="008A3225"/>
    <w:rsid w:val="008A39D4"/>
    <w:rsid w:val="008A6C26"/>
    <w:rsid w:val="008B1CB7"/>
    <w:rsid w:val="008B42CE"/>
    <w:rsid w:val="008B462C"/>
    <w:rsid w:val="008B4DBE"/>
    <w:rsid w:val="008B4FEF"/>
    <w:rsid w:val="008B599B"/>
    <w:rsid w:val="008B63AA"/>
    <w:rsid w:val="008B63BA"/>
    <w:rsid w:val="008B7D33"/>
    <w:rsid w:val="008C0AFF"/>
    <w:rsid w:val="008C22A2"/>
    <w:rsid w:val="008C2A12"/>
    <w:rsid w:val="008D0140"/>
    <w:rsid w:val="008D2E56"/>
    <w:rsid w:val="008D362F"/>
    <w:rsid w:val="008D53A5"/>
    <w:rsid w:val="008D7AC9"/>
    <w:rsid w:val="008D7E04"/>
    <w:rsid w:val="008E002A"/>
    <w:rsid w:val="008E034D"/>
    <w:rsid w:val="008E1254"/>
    <w:rsid w:val="008E16F1"/>
    <w:rsid w:val="008E2011"/>
    <w:rsid w:val="008E2361"/>
    <w:rsid w:val="008E2956"/>
    <w:rsid w:val="008E4816"/>
    <w:rsid w:val="008E6024"/>
    <w:rsid w:val="008E6C64"/>
    <w:rsid w:val="008E6F02"/>
    <w:rsid w:val="008F1B91"/>
    <w:rsid w:val="008F2CD3"/>
    <w:rsid w:val="008F34C8"/>
    <w:rsid w:val="008F42E6"/>
    <w:rsid w:val="008F503F"/>
    <w:rsid w:val="008F5870"/>
    <w:rsid w:val="008F6393"/>
    <w:rsid w:val="00901C12"/>
    <w:rsid w:val="00903980"/>
    <w:rsid w:val="00904057"/>
    <w:rsid w:val="00905C58"/>
    <w:rsid w:val="00905FD4"/>
    <w:rsid w:val="00907382"/>
    <w:rsid w:val="00907ABB"/>
    <w:rsid w:val="00907F11"/>
    <w:rsid w:val="009110E0"/>
    <w:rsid w:val="0091154F"/>
    <w:rsid w:val="00911F73"/>
    <w:rsid w:val="00912DC9"/>
    <w:rsid w:val="00913F64"/>
    <w:rsid w:val="00914AB4"/>
    <w:rsid w:val="00916452"/>
    <w:rsid w:val="00916D35"/>
    <w:rsid w:val="00920C19"/>
    <w:rsid w:val="0092160E"/>
    <w:rsid w:val="00921AA2"/>
    <w:rsid w:val="00923434"/>
    <w:rsid w:val="009236F9"/>
    <w:rsid w:val="009239F5"/>
    <w:rsid w:val="00923A98"/>
    <w:rsid w:val="009251BB"/>
    <w:rsid w:val="009259E2"/>
    <w:rsid w:val="00927B32"/>
    <w:rsid w:val="0093036E"/>
    <w:rsid w:val="00931DCA"/>
    <w:rsid w:val="00935C51"/>
    <w:rsid w:val="0093678F"/>
    <w:rsid w:val="009378FC"/>
    <w:rsid w:val="00937CB1"/>
    <w:rsid w:val="00937F02"/>
    <w:rsid w:val="00940929"/>
    <w:rsid w:val="00940BAB"/>
    <w:rsid w:val="00942BB1"/>
    <w:rsid w:val="009436ED"/>
    <w:rsid w:val="00944237"/>
    <w:rsid w:val="0094533C"/>
    <w:rsid w:val="00945BF2"/>
    <w:rsid w:val="00947FA8"/>
    <w:rsid w:val="00951BC4"/>
    <w:rsid w:val="00952097"/>
    <w:rsid w:val="0095250E"/>
    <w:rsid w:val="00952A9C"/>
    <w:rsid w:val="00952DBC"/>
    <w:rsid w:val="0095320B"/>
    <w:rsid w:val="0095342D"/>
    <w:rsid w:val="00961CEA"/>
    <w:rsid w:val="0096251E"/>
    <w:rsid w:val="0096510E"/>
    <w:rsid w:val="0096577B"/>
    <w:rsid w:val="0097021D"/>
    <w:rsid w:val="00972061"/>
    <w:rsid w:val="0097336D"/>
    <w:rsid w:val="00973636"/>
    <w:rsid w:val="00974AB9"/>
    <w:rsid w:val="009770C4"/>
    <w:rsid w:val="00977807"/>
    <w:rsid w:val="009810B8"/>
    <w:rsid w:val="009811B9"/>
    <w:rsid w:val="0098192A"/>
    <w:rsid w:val="00981F73"/>
    <w:rsid w:val="0098203D"/>
    <w:rsid w:val="009821DA"/>
    <w:rsid w:val="0098376D"/>
    <w:rsid w:val="0098415E"/>
    <w:rsid w:val="0098481B"/>
    <w:rsid w:val="00984C22"/>
    <w:rsid w:val="00987BA1"/>
    <w:rsid w:val="00987EB4"/>
    <w:rsid w:val="009914B8"/>
    <w:rsid w:val="0099168E"/>
    <w:rsid w:val="00991A92"/>
    <w:rsid w:val="00993318"/>
    <w:rsid w:val="00993900"/>
    <w:rsid w:val="0099556F"/>
    <w:rsid w:val="00996F42"/>
    <w:rsid w:val="00997B59"/>
    <w:rsid w:val="00997F8C"/>
    <w:rsid w:val="009A01FA"/>
    <w:rsid w:val="009A12CC"/>
    <w:rsid w:val="009A2ADD"/>
    <w:rsid w:val="009A2AFA"/>
    <w:rsid w:val="009A2F63"/>
    <w:rsid w:val="009A3528"/>
    <w:rsid w:val="009A375A"/>
    <w:rsid w:val="009A3771"/>
    <w:rsid w:val="009A37D2"/>
    <w:rsid w:val="009A4528"/>
    <w:rsid w:val="009B0D36"/>
    <w:rsid w:val="009B17A4"/>
    <w:rsid w:val="009B2010"/>
    <w:rsid w:val="009B2319"/>
    <w:rsid w:val="009B2396"/>
    <w:rsid w:val="009B2911"/>
    <w:rsid w:val="009B2A96"/>
    <w:rsid w:val="009B3394"/>
    <w:rsid w:val="009B70AE"/>
    <w:rsid w:val="009B75C8"/>
    <w:rsid w:val="009C1DCC"/>
    <w:rsid w:val="009C3CA6"/>
    <w:rsid w:val="009C640F"/>
    <w:rsid w:val="009C6558"/>
    <w:rsid w:val="009C760A"/>
    <w:rsid w:val="009D0AD3"/>
    <w:rsid w:val="009D1984"/>
    <w:rsid w:val="009D1EE8"/>
    <w:rsid w:val="009D2872"/>
    <w:rsid w:val="009D297D"/>
    <w:rsid w:val="009D387F"/>
    <w:rsid w:val="009D60B0"/>
    <w:rsid w:val="009D6FA7"/>
    <w:rsid w:val="009D70CE"/>
    <w:rsid w:val="009D7716"/>
    <w:rsid w:val="009E07D2"/>
    <w:rsid w:val="009E125C"/>
    <w:rsid w:val="009E3A64"/>
    <w:rsid w:val="009E4A8D"/>
    <w:rsid w:val="009E5E84"/>
    <w:rsid w:val="009E6E11"/>
    <w:rsid w:val="009E722F"/>
    <w:rsid w:val="009E7DA4"/>
    <w:rsid w:val="009F126F"/>
    <w:rsid w:val="009F2A14"/>
    <w:rsid w:val="009F3AED"/>
    <w:rsid w:val="009F4560"/>
    <w:rsid w:val="009F4AAF"/>
    <w:rsid w:val="009F4F40"/>
    <w:rsid w:val="009F691D"/>
    <w:rsid w:val="009F71BF"/>
    <w:rsid w:val="00A01D73"/>
    <w:rsid w:val="00A028B6"/>
    <w:rsid w:val="00A03475"/>
    <w:rsid w:val="00A059F6"/>
    <w:rsid w:val="00A06A45"/>
    <w:rsid w:val="00A0782E"/>
    <w:rsid w:val="00A1115C"/>
    <w:rsid w:val="00A11FAE"/>
    <w:rsid w:val="00A13B45"/>
    <w:rsid w:val="00A13DA6"/>
    <w:rsid w:val="00A14690"/>
    <w:rsid w:val="00A14778"/>
    <w:rsid w:val="00A14FF4"/>
    <w:rsid w:val="00A15988"/>
    <w:rsid w:val="00A15993"/>
    <w:rsid w:val="00A159F9"/>
    <w:rsid w:val="00A17134"/>
    <w:rsid w:val="00A17B84"/>
    <w:rsid w:val="00A20694"/>
    <w:rsid w:val="00A274CD"/>
    <w:rsid w:val="00A279F8"/>
    <w:rsid w:val="00A322CC"/>
    <w:rsid w:val="00A330A4"/>
    <w:rsid w:val="00A34087"/>
    <w:rsid w:val="00A34B11"/>
    <w:rsid w:val="00A34B15"/>
    <w:rsid w:val="00A34F03"/>
    <w:rsid w:val="00A355C7"/>
    <w:rsid w:val="00A41204"/>
    <w:rsid w:val="00A44687"/>
    <w:rsid w:val="00A467B5"/>
    <w:rsid w:val="00A46F7C"/>
    <w:rsid w:val="00A47133"/>
    <w:rsid w:val="00A512B3"/>
    <w:rsid w:val="00A52DB1"/>
    <w:rsid w:val="00A53601"/>
    <w:rsid w:val="00A53C8E"/>
    <w:rsid w:val="00A5404F"/>
    <w:rsid w:val="00A55CCB"/>
    <w:rsid w:val="00A56877"/>
    <w:rsid w:val="00A56DA7"/>
    <w:rsid w:val="00A60D65"/>
    <w:rsid w:val="00A61245"/>
    <w:rsid w:val="00A61396"/>
    <w:rsid w:val="00A629F6"/>
    <w:rsid w:val="00A63A7D"/>
    <w:rsid w:val="00A63EB7"/>
    <w:rsid w:val="00A648D3"/>
    <w:rsid w:val="00A6502F"/>
    <w:rsid w:val="00A658E8"/>
    <w:rsid w:val="00A66898"/>
    <w:rsid w:val="00A67F52"/>
    <w:rsid w:val="00A70A0B"/>
    <w:rsid w:val="00A71A6F"/>
    <w:rsid w:val="00A727D4"/>
    <w:rsid w:val="00A73216"/>
    <w:rsid w:val="00A815AC"/>
    <w:rsid w:val="00A82553"/>
    <w:rsid w:val="00A82D0B"/>
    <w:rsid w:val="00A83BFB"/>
    <w:rsid w:val="00A84B12"/>
    <w:rsid w:val="00A84BED"/>
    <w:rsid w:val="00A85957"/>
    <w:rsid w:val="00A86257"/>
    <w:rsid w:val="00A8678E"/>
    <w:rsid w:val="00A91610"/>
    <w:rsid w:val="00A93095"/>
    <w:rsid w:val="00A94619"/>
    <w:rsid w:val="00A957CB"/>
    <w:rsid w:val="00A95DAD"/>
    <w:rsid w:val="00A95FD5"/>
    <w:rsid w:val="00A96C91"/>
    <w:rsid w:val="00AA05F0"/>
    <w:rsid w:val="00AA07C4"/>
    <w:rsid w:val="00AA0B9A"/>
    <w:rsid w:val="00AA1D16"/>
    <w:rsid w:val="00AA4036"/>
    <w:rsid w:val="00AA53CD"/>
    <w:rsid w:val="00AA6478"/>
    <w:rsid w:val="00AA69F0"/>
    <w:rsid w:val="00AA74AB"/>
    <w:rsid w:val="00AA7D0D"/>
    <w:rsid w:val="00AB0CDF"/>
    <w:rsid w:val="00AB14BA"/>
    <w:rsid w:val="00AB1CB3"/>
    <w:rsid w:val="00AB1EB7"/>
    <w:rsid w:val="00AB29BF"/>
    <w:rsid w:val="00AB3C66"/>
    <w:rsid w:val="00AB3F73"/>
    <w:rsid w:val="00AB42D8"/>
    <w:rsid w:val="00AB5810"/>
    <w:rsid w:val="00AB5D8B"/>
    <w:rsid w:val="00AB6595"/>
    <w:rsid w:val="00AB6606"/>
    <w:rsid w:val="00AC09EF"/>
    <w:rsid w:val="00AC144F"/>
    <w:rsid w:val="00AC2ECD"/>
    <w:rsid w:val="00AC4A09"/>
    <w:rsid w:val="00AC5B7A"/>
    <w:rsid w:val="00AC70A3"/>
    <w:rsid w:val="00AD3266"/>
    <w:rsid w:val="00AD431A"/>
    <w:rsid w:val="00AD798C"/>
    <w:rsid w:val="00AE0194"/>
    <w:rsid w:val="00AE2DC8"/>
    <w:rsid w:val="00AE3810"/>
    <w:rsid w:val="00AE3E17"/>
    <w:rsid w:val="00AE59F3"/>
    <w:rsid w:val="00AE5D82"/>
    <w:rsid w:val="00AE7A92"/>
    <w:rsid w:val="00AF087C"/>
    <w:rsid w:val="00AF0E09"/>
    <w:rsid w:val="00AF1ED1"/>
    <w:rsid w:val="00AF237E"/>
    <w:rsid w:val="00AF3772"/>
    <w:rsid w:val="00AF3CB0"/>
    <w:rsid w:val="00AF4C3E"/>
    <w:rsid w:val="00AF4DB9"/>
    <w:rsid w:val="00AF4F06"/>
    <w:rsid w:val="00AF5AA9"/>
    <w:rsid w:val="00AF7C69"/>
    <w:rsid w:val="00B013E1"/>
    <w:rsid w:val="00B039C9"/>
    <w:rsid w:val="00B04470"/>
    <w:rsid w:val="00B057CC"/>
    <w:rsid w:val="00B058CB"/>
    <w:rsid w:val="00B05D00"/>
    <w:rsid w:val="00B05D4A"/>
    <w:rsid w:val="00B05FDB"/>
    <w:rsid w:val="00B077A9"/>
    <w:rsid w:val="00B11102"/>
    <w:rsid w:val="00B115D6"/>
    <w:rsid w:val="00B1194A"/>
    <w:rsid w:val="00B12F8E"/>
    <w:rsid w:val="00B13D2C"/>
    <w:rsid w:val="00B14603"/>
    <w:rsid w:val="00B15498"/>
    <w:rsid w:val="00B16B90"/>
    <w:rsid w:val="00B17525"/>
    <w:rsid w:val="00B178F8"/>
    <w:rsid w:val="00B23830"/>
    <w:rsid w:val="00B23FCD"/>
    <w:rsid w:val="00B248F8"/>
    <w:rsid w:val="00B253B3"/>
    <w:rsid w:val="00B26FD9"/>
    <w:rsid w:val="00B31ACC"/>
    <w:rsid w:val="00B32700"/>
    <w:rsid w:val="00B32D31"/>
    <w:rsid w:val="00B333FE"/>
    <w:rsid w:val="00B36FD9"/>
    <w:rsid w:val="00B37898"/>
    <w:rsid w:val="00B37C17"/>
    <w:rsid w:val="00B407E9"/>
    <w:rsid w:val="00B4081D"/>
    <w:rsid w:val="00B40A89"/>
    <w:rsid w:val="00B415C0"/>
    <w:rsid w:val="00B4240F"/>
    <w:rsid w:val="00B439BC"/>
    <w:rsid w:val="00B44A72"/>
    <w:rsid w:val="00B45F97"/>
    <w:rsid w:val="00B4619D"/>
    <w:rsid w:val="00B46837"/>
    <w:rsid w:val="00B46929"/>
    <w:rsid w:val="00B4712D"/>
    <w:rsid w:val="00B504D0"/>
    <w:rsid w:val="00B51A16"/>
    <w:rsid w:val="00B51EF5"/>
    <w:rsid w:val="00B525D2"/>
    <w:rsid w:val="00B56A6B"/>
    <w:rsid w:val="00B57098"/>
    <w:rsid w:val="00B5745B"/>
    <w:rsid w:val="00B57AF8"/>
    <w:rsid w:val="00B57CDB"/>
    <w:rsid w:val="00B60523"/>
    <w:rsid w:val="00B60E5C"/>
    <w:rsid w:val="00B61708"/>
    <w:rsid w:val="00B61F2A"/>
    <w:rsid w:val="00B62060"/>
    <w:rsid w:val="00B6428D"/>
    <w:rsid w:val="00B6552A"/>
    <w:rsid w:val="00B65BCC"/>
    <w:rsid w:val="00B66BD5"/>
    <w:rsid w:val="00B6790D"/>
    <w:rsid w:val="00B703FA"/>
    <w:rsid w:val="00B70F94"/>
    <w:rsid w:val="00B72699"/>
    <w:rsid w:val="00B7328F"/>
    <w:rsid w:val="00B74306"/>
    <w:rsid w:val="00B750E6"/>
    <w:rsid w:val="00B75458"/>
    <w:rsid w:val="00B75EA8"/>
    <w:rsid w:val="00B763AF"/>
    <w:rsid w:val="00B7737D"/>
    <w:rsid w:val="00B7756B"/>
    <w:rsid w:val="00B77934"/>
    <w:rsid w:val="00B77E21"/>
    <w:rsid w:val="00B81169"/>
    <w:rsid w:val="00B8238C"/>
    <w:rsid w:val="00B82889"/>
    <w:rsid w:val="00B83507"/>
    <w:rsid w:val="00B86EF2"/>
    <w:rsid w:val="00B87A11"/>
    <w:rsid w:val="00B91F1A"/>
    <w:rsid w:val="00B9262B"/>
    <w:rsid w:val="00B92A8C"/>
    <w:rsid w:val="00B930F3"/>
    <w:rsid w:val="00B93D87"/>
    <w:rsid w:val="00B95FF1"/>
    <w:rsid w:val="00B965FB"/>
    <w:rsid w:val="00BA1489"/>
    <w:rsid w:val="00BA2FA0"/>
    <w:rsid w:val="00BA5F10"/>
    <w:rsid w:val="00BA7FB1"/>
    <w:rsid w:val="00BB0C83"/>
    <w:rsid w:val="00BB1358"/>
    <w:rsid w:val="00BB27F8"/>
    <w:rsid w:val="00BB2B35"/>
    <w:rsid w:val="00BB3921"/>
    <w:rsid w:val="00BB395F"/>
    <w:rsid w:val="00BB4790"/>
    <w:rsid w:val="00BB51C6"/>
    <w:rsid w:val="00BB59B4"/>
    <w:rsid w:val="00BB6E60"/>
    <w:rsid w:val="00BC1157"/>
    <w:rsid w:val="00BC1644"/>
    <w:rsid w:val="00BC3A1B"/>
    <w:rsid w:val="00BC3B93"/>
    <w:rsid w:val="00BC4C38"/>
    <w:rsid w:val="00BC6747"/>
    <w:rsid w:val="00BC69EE"/>
    <w:rsid w:val="00BC6BDF"/>
    <w:rsid w:val="00BC7979"/>
    <w:rsid w:val="00BD00F3"/>
    <w:rsid w:val="00BD0B97"/>
    <w:rsid w:val="00BD2468"/>
    <w:rsid w:val="00BD2597"/>
    <w:rsid w:val="00BD2CD8"/>
    <w:rsid w:val="00BD35BA"/>
    <w:rsid w:val="00BD390B"/>
    <w:rsid w:val="00BD50E7"/>
    <w:rsid w:val="00BD6FE3"/>
    <w:rsid w:val="00BD7094"/>
    <w:rsid w:val="00BE0D05"/>
    <w:rsid w:val="00BE17EE"/>
    <w:rsid w:val="00BE5AEE"/>
    <w:rsid w:val="00BE688A"/>
    <w:rsid w:val="00BE7905"/>
    <w:rsid w:val="00BF148B"/>
    <w:rsid w:val="00BF156F"/>
    <w:rsid w:val="00BF15BF"/>
    <w:rsid w:val="00BF2FE4"/>
    <w:rsid w:val="00BF465D"/>
    <w:rsid w:val="00BF494A"/>
    <w:rsid w:val="00BF538A"/>
    <w:rsid w:val="00BF5DCD"/>
    <w:rsid w:val="00BF6350"/>
    <w:rsid w:val="00BF7944"/>
    <w:rsid w:val="00C00912"/>
    <w:rsid w:val="00C016B3"/>
    <w:rsid w:val="00C01829"/>
    <w:rsid w:val="00C02164"/>
    <w:rsid w:val="00C027BD"/>
    <w:rsid w:val="00C029B5"/>
    <w:rsid w:val="00C03810"/>
    <w:rsid w:val="00C050CB"/>
    <w:rsid w:val="00C052DD"/>
    <w:rsid w:val="00C0666A"/>
    <w:rsid w:val="00C072E2"/>
    <w:rsid w:val="00C118EB"/>
    <w:rsid w:val="00C12076"/>
    <w:rsid w:val="00C1245F"/>
    <w:rsid w:val="00C132DC"/>
    <w:rsid w:val="00C14F4B"/>
    <w:rsid w:val="00C14F92"/>
    <w:rsid w:val="00C1640B"/>
    <w:rsid w:val="00C16F30"/>
    <w:rsid w:val="00C20186"/>
    <w:rsid w:val="00C20202"/>
    <w:rsid w:val="00C2026D"/>
    <w:rsid w:val="00C24158"/>
    <w:rsid w:val="00C26B9C"/>
    <w:rsid w:val="00C2770C"/>
    <w:rsid w:val="00C30917"/>
    <w:rsid w:val="00C347F7"/>
    <w:rsid w:val="00C35402"/>
    <w:rsid w:val="00C362C6"/>
    <w:rsid w:val="00C36BA7"/>
    <w:rsid w:val="00C37957"/>
    <w:rsid w:val="00C37C54"/>
    <w:rsid w:val="00C43F61"/>
    <w:rsid w:val="00C44F89"/>
    <w:rsid w:val="00C4606B"/>
    <w:rsid w:val="00C463BD"/>
    <w:rsid w:val="00C47729"/>
    <w:rsid w:val="00C50354"/>
    <w:rsid w:val="00C52631"/>
    <w:rsid w:val="00C5379D"/>
    <w:rsid w:val="00C55423"/>
    <w:rsid w:val="00C57B69"/>
    <w:rsid w:val="00C57BF0"/>
    <w:rsid w:val="00C61A03"/>
    <w:rsid w:val="00C61B99"/>
    <w:rsid w:val="00C61CF8"/>
    <w:rsid w:val="00C630A4"/>
    <w:rsid w:val="00C63884"/>
    <w:rsid w:val="00C67F33"/>
    <w:rsid w:val="00C71371"/>
    <w:rsid w:val="00C725B3"/>
    <w:rsid w:val="00C74645"/>
    <w:rsid w:val="00C747A2"/>
    <w:rsid w:val="00C75C6C"/>
    <w:rsid w:val="00C75DFA"/>
    <w:rsid w:val="00C75F99"/>
    <w:rsid w:val="00C76319"/>
    <w:rsid w:val="00C823ED"/>
    <w:rsid w:val="00C82AA1"/>
    <w:rsid w:val="00C8685A"/>
    <w:rsid w:val="00C87486"/>
    <w:rsid w:val="00C879E1"/>
    <w:rsid w:val="00C87B3D"/>
    <w:rsid w:val="00C87E31"/>
    <w:rsid w:val="00C87FC1"/>
    <w:rsid w:val="00C910C3"/>
    <w:rsid w:val="00C92AA9"/>
    <w:rsid w:val="00C9402B"/>
    <w:rsid w:val="00C94085"/>
    <w:rsid w:val="00C94638"/>
    <w:rsid w:val="00C955F8"/>
    <w:rsid w:val="00C96D2B"/>
    <w:rsid w:val="00CA043C"/>
    <w:rsid w:val="00CA209C"/>
    <w:rsid w:val="00CA2A49"/>
    <w:rsid w:val="00CA2B4F"/>
    <w:rsid w:val="00CA45BB"/>
    <w:rsid w:val="00CA52E6"/>
    <w:rsid w:val="00CA54BC"/>
    <w:rsid w:val="00CA5531"/>
    <w:rsid w:val="00CA5F85"/>
    <w:rsid w:val="00CA6F10"/>
    <w:rsid w:val="00CA7569"/>
    <w:rsid w:val="00CB0A36"/>
    <w:rsid w:val="00CB11A4"/>
    <w:rsid w:val="00CB1467"/>
    <w:rsid w:val="00CB32FF"/>
    <w:rsid w:val="00CB4136"/>
    <w:rsid w:val="00CB48DF"/>
    <w:rsid w:val="00CB5055"/>
    <w:rsid w:val="00CB5F05"/>
    <w:rsid w:val="00CB7816"/>
    <w:rsid w:val="00CC13E6"/>
    <w:rsid w:val="00CC20C4"/>
    <w:rsid w:val="00CC21BB"/>
    <w:rsid w:val="00CC25C5"/>
    <w:rsid w:val="00CC3E46"/>
    <w:rsid w:val="00CC44A8"/>
    <w:rsid w:val="00CC4F0F"/>
    <w:rsid w:val="00CC5391"/>
    <w:rsid w:val="00CC7774"/>
    <w:rsid w:val="00CC7984"/>
    <w:rsid w:val="00CD0075"/>
    <w:rsid w:val="00CD152B"/>
    <w:rsid w:val="00CD2762"/>
    <w:rsid w:val="00CD2EB8"/>
    <w:rsid w:val="00CD3622"/>
    <w:rsid w:val="00CD3777"/>
    <w:rsid w:val="00CD38D1"/>
    <w:rsid w:val="00CD3AC4"/>
    <w:rsid w:val="00CD3C3C"/>
    <w:rsid w:val="00CD53E0"/>
    <w:rsid w:val="00CD5AD7"/>
    <w:rsid w:val="00CD67B0"/>
    <w:rsid w:val="00CE0AAD"/>
    <w:rsid w:val="00CE0F8D"/>
    <w:rsid w:val="00CE1353"/>
    <w:rsid w:val="00CE1393"/>
    <w:rsid w:val="00CE1BD6"/>
    <w:rsid w:val="00CE7353"/>
    <w:rsid w:val="00CF0461"/>
    <w:rsid w:val="00CF099F"/>
    <w:rsid w:val="00CF0C54"/>
    <w:rsid w:val="00CF1A0F"/>
    <w:rsid w:val="00CF1DAF"/>
    <w:rsid w:val="00CF234B"/>
    <w:rsid w:val="00CF3567"/>
    <w:rsid w:val="00CF38AC"/>
    <w:rsid w:val="00CF7338"/>
    <w:rsid w:val="00D01010"/>
    <w:rsid w:val="00D01569"/>
    <w:rsid w:val="00D02586"/>
    <w:rsid w:val="00D04A4C"/>
    <w:rsid w:val="00D04B32"/>
    <w:rsid w:val="00D05590"/>
    <w:rsid w:val="00D06D1D"/>
    <w:rsid w:val="00D06E8F"/>
    <w:rsid w:val="00D07538"/>
    <w:rsid w:val="00D10C2A"/>
    <w:rsid w:val="00D10C8C"/>
    <w:rsid w:val="00D111FA"/>
    <w:rsid w:val="00D1229B"/>
    <w:rsid w:val="00D1353B"/>
    <w:rsid w:val="00D16987"/>
    <w:rsid w:val="00D1791E"/>
    <w:rsid w:val="00D21D31"/>
    <w:rsid w:val="00D2258B"/>
    <w:rsid w:val="00D23718"/>
    <w:rsid w:val="00D240F5"/>
    <w:rsid w:val="00D24208"/>
    <w:rsid w:val="00D259F3"/>
    <w:rsid w:val="00D25C2D"/>
    <w:rsid w:val="00D319CB"/>
    <w:rsid w:val="00D31C59"/>
    <w:rsid w:val="00D3246F"/>
    <w:rsid w:val="00D337A0"/>
    <w:rsid w:val="00D33F92"/>
    <w:rsid w:val="00D34068"/>
    <w:rsid w:val="00D34AE0"/>
    <w:rsid w:val="00D36FF5"/>
    <w:rsid w:val="00D3732A"/>
    <w:rsid w:val="00D402A1"/>
    <w:rsid w:val="00D407C9"/>
    <w:rsid w:val="00D408F7"/>
    <w:rsid w:val="00D40D18"/>
    <w:rsid w:val="00D4192A"/>
    <w:rsid w:val="00D4329F"/>
    <w:rsid w:val="00D4409B"/>
    <w:rsid w:val="00D4506F"/>
    <w:rsid w:val="00D458F7"/>
    <w:rsid w:val="00D47423"/>
    <w:rsid w:val="00D50A42"/>
    <w:rsid w:val="00D52292"/>
    <w:rsid w:val="00D532B2"/>
    <w:rsid w:val="00D5498C"/>
    <w:rsid w:val="00D566C9"/>
    <w:rsid w:val="00D57AF7"/>
    <w:rsid w:val="00D57FF5"/>
    <w:rsid w:val="00D600B8"/>
    <w:rsid w:val="00D600E2"/>
    <w:rsid w:val="00D6109A"/>
    <w:rsid w:val="00D626E3"/>
    <w:rsid w:val="00D639B0"/>
    <w:rsid w:val="00D63F79"/>
    <w:rsid w:val="00D6567D"/>
    <w:rsid w:val="00D65E11"/>
    <w:rsid w:val="00D66FC1"/>
    <w:rsid w:val="00D672DF"/>
    <w:rsid w:val="00D67BB6"/>
    <w:rsid w:val="00D70FB7"/>
    <w:rsid w:val="00D71122"/>
    <w:rsid w:val="00D71D3A"/>
    <w:rsid w:val="00D722B6"/>
    <w:rsid w:val="00D726A2"/>
    <w:rsid w:val="00D7403B"/>
    <w:rsid w:val="00D759D3"/>
    <w:rsid w:val="00D76F39"/>
    <w:rsid w:val="00D76FD4"/>
    <w:rsid w:val="00D774EF"/>
    <w:rsid w:val="00D77870"/>
    <w:rsid w:val="00D802CB"/>
    <w:rsid w:val="00D81052"/>
    <w:rsid w:val="00D8149C"/>
    <w:rsid w:val="00D83CE6"/>
    <w:rsid w:val="00D84549"/>
    <w:rsid w:val="00D87418"/>
    <w:rsid w:val="00D87677"/>
    <w:rsid w:val="00D90376"/>
    <w:rsid w:val="00D90686"/>
    <w:rsid w:val="00D90BC2"/>
    <w:rsid w:val="00D92243"/>
    <w:rsid w:val="00D9278A"/>
    <w:rsid w:val="00D9376C"/>
    <w:rsid w:val="00D9406C"/>
    <w:rsid w:val="00D942A1"/>
    <w:rsid w:val="00D94BFE"/>
    <w:rsid w:val="00D95710"/>
    <w:rsid w:val="00D9734B"/>
    <w:rsid w:val="00DA1F1E"/>
    <w:rsid w:val="00DA2298"/>
    <w:rsid w:val="00DA23B6"/>
    <w:rsid w:val="00DA3A45"/>
    <w:rsid w:val="00DA59C0"/>
    <w:rsid w:val="00DA5E43"/>
    <w:rsid w:val="00DA6011"/>
    <w:rsid w:val="00DA6383"/>
    <w:rsid w:val="00DA717F"/>
    <w:rsid w:val="00DA758E"/>
    <w:rsid w:val="00DB19BA"/>
    <w:rsid w:val="00DB1BDF"/>
    <w:rsid w:val="00DB23CF"/>
    <w:rsid w:val="00DB3D5B"/>
    <w:rsid w:val="00DB4368"/>
    <w:rsid w:val="00DB5C9B"/>
    <w:rsid w:val="00DB6AB4"/>
    <w:rsid w:val="00DC0FEE"/>
    <w:rsid w:val="00DC13F1"/>
    <w:rsid w:val="00DC21BD"/>
    <w:rsid w:val="00DC3481"/>
    <w:rsid w:val="00DC3D20"/>
    <w:rsid w:val="00DC3D34"/>
    <w:rsid w:val="00DC42DC"/>
    <w:rsid w:val="00DC4345"/>
    <w:rsid w:val="00DD20E1"/>
    <w:rsid w:val="00DD294E"/>
    <w:rsid w:val="00DD4EFA"/>
    <w:rsid w:val="00DD520D"/>
    <w:rsid w:val="00DD645A"/>
    <w:rsid w:val="00DD77CA"/>
    <w:rsid w:val="00DE0487"/>
    <w:rsid w:val="00DE0C3F"/>
    <w:rsid w:val="00DE1DC9"/>
    <w:rsid w:val="00DE2F00"/>
    <w:rsid w:val="00DE45AD"/>
    <w:rsid w:val="00DE58E1"/>
    <w:rsid w:val="00DE5F32"/>
    <w:rsid w:val="00DE6870"/>
    <w:rsid w:val="00DE7C26"/>
    <w:rsid w:val="00DF0931"/>
    <w:rsid w:val="00DF0FEF"/>
    <w:rsid w:val="00DF16A6"/>
    <w:rsid w:val="00DF3021"/>
    <w:rsid w:val="00DF36D7"/>
    <w:rsid w:val="00DF5CBE"/>
    <w:rsid w:val="00DF6F80"/>
    <w:rsid w:val="00DF719D"/>
    <w:rsid w:val="00DF7CCA"/>
    <w:rsid w:val="00E0074F"/>
    <w:rsid w:val="00E0197E"/>
    <w:rsid w:val="00E01C64"/>
    <w:rsid w:val="00E02AE5"/>
    <w:rsid w:val="00E02BAC"/>
    <w:rsid w:val="00E03DEB"/>
    <w:rsid w:val="00E04056"/>
    <w:rsid w:val="00E04460"/>
    <w:rsid w:val="00E053B0"/>
    <w:rsid w:val="00E10878"/>
    <w:rsid w:val="00E1162A"/>
    <w:rsid w:val="00E11CEC"/>
    <w:rsid w:val="00E12C93"/>
    <w:rsid w:val="00E12DF9"/>
    <w:rsid w:val="00E138A4"/>
    <w:rsid w:val="00E13F2C"/>
    <w:rsid w:val="00E14990"/>
    <w:rsid w:val="00E15FAF"/>
    <w:rsid w:val="00E17E11"/>
    <w:rsid w:val="00E2122A"/>
    <w:rsid w:val="00E221DA"/>
    <w:rsid w:val="00E24A44"/>
    <w:rsid w:val="00E25149"/>
    <w:rsid w:val="00E25FF1"/>
    <w:rsid w:val="00E26609"/>
    <w:rsid w:val="00E2690E"/>
    <w:rsid w:val="00E3121C"/>
    <w:rsid w:val="00E32372"/>
    <w:rsid w:val="00E32BFF"/>
    <w:rsid w:val="00E351FC"/>
    <w:rsid w:val="00E35266"/>
    <w:rsid w:val="00E37545"/>
    <w:rsid w:val="00E37F51"/>
    <w:rsid w:val="00E4115B"/>
    <w:rsid w:val="00E42BBC"/>
    <w:rsid w:val="00E458CF"/>
    <w:rsid w:val="00E45C0C"/>
    <w:rsid w:val="00E4611B"/>
    <w:rsid w:val="00E505E2"/>
    <w:rsid w:val="00E5183C"/>
    <w:rsid w:val="00E529E2"/>
    <w:rsid w:val="00E535AF"/>
    <w:rsid w:val="00E5523A"/>
    <w:rsid w:val="00E56E07"/>
    <w:rsid w:val="00E57516"/>
    <w:rsid w:val="00E57752"/>
    <w:rsid w:val="00E5791B"/>
    <w:rsid w:val="00E57A5A"/>
    <w:rsid w:val="00E57C1D"/>
    <w:rsid w:val="00E6065C"/>
    <w:rsid w:val="00E61CA6"/>
    <w:rsid w:val="00E61CB7"/>
    <w:rsid w:val="00E61F6E"/>
    <w:rsid w:val="00E62285"/>
    <w:rsid w:val="00E623B9"/>
    <w:rsid w:val="00E628EA"/>
    <w:rsid w:val="00E62E4F"/>
    <w:rsid w:val="00E6304B"/>
    <w:rsid w:val="00E630B7"/>
    <w:rsid w:val="00E639F5"/>
    <w:rsid w:val="00E63E84"/>
    <w:rsid w:val="00E72F89"/>
    <w:rsid w:val="00E72FAA"/>
    <w:rsid w:val="00E74970"/>
    <w:rsid w:val="00E74E03"/>
    <w:rsid w:val="00E753A4"/>
    <w:rsid w:val="00E75808"/>
    <w:rsid w:val="00E75DE2"/>
    <w:rsid w:val="00E7685E"/>
    <w:rsid w:val="00E771E8"/>
    <w:rsid w:val="00E80310"/>
    <w:rsid w:val="00E806AF"/>
    <w:rsid w:val="00E80A23"/>
    <w:rsid w:val="00E81FFE"/>
    <w:rsid w:val="00E84D50"/>
    <w:rsid w:val="00E85506"/>
    <w:rsid w:val="00E87B31"/>
    <w:rsid w:val="00E91596"/>
    <w:rsid w:val="00E92D21"/>
    <w:rsid w:val="00E96221"/>
    <w:rsid w:val="00E97414"/>
    <w:rsid w:val="00E97C94"/>
    <w:rsid w:val="00EA0166"/>
    <w:rsid w:val="00EA1DAA"/>
    <w:rsid w:val="00EA6384"/>
    <w:rsid w:val="00EB04C9"/>
    <w:rsid w:val="00EB0D2E"/>
    <w:rsid w:val="00EB0D7A"/>
    <w:rsid w:val="00EB0DDF"/>
    <w:rsid w:val="00EB2845"/>
    <w:rsid w:val="00EB2B19"/>
    <w:rsid w:val="00EB3CAE"/>
    <w:rsid w:val="00EB4241"/>
    <w:rsid w:val="00EB4FFC"/>
    <w:rsid w:val="00EB5C8A"/>
    <w:rsid w:val="00EB6654"/>
    <w:rsid w:val="00EC006F"/>
    <w:rsid w:val="00EC06CB"/>
    <w:rsid w:val="00EC2875"/>
    <w:rsid w:val="00EC35AE"/>
    <w:rsid w:val="00EC4BC5"/>
    <w:rsid w:val="00EC7C19"/>
    <w:rsid w:val="00ED05A2"/>
    <w:rsid w:val="00ED265F"/>
    <w:rsid w:val="00ED27A5"/>
    <w:rsid w:val="00ED2F69"/>
    <w:rsid w:val="00ED3FDE"/>
    <w:rsid w:val="00ED68A1"/>
    <w:rsid w:val="00ED6A7E"/>
    <w:rsid w:val="00EE07C4"/>
    <w:rsid w:val="00EE1418"/>
    <w:rsid w:val="00EE1CC9"/>
    <w:rsid w:val="00EE1E25"/>
    <w:rsid w:val="00EE5294"/>
    <w:rsid w:val="00EE5F27"/>
    <w:rsid w:val="00EF058F"/>
    <w:rsid w:val="00EF1E3A"/>
    <w:rsid w:val="00EF3D4F"/>
    <w:rsid w:val="00EF3F7E"/>
    <w:rsid w:val="00EF5B26"/>
    <w:rsid w:val="00EF6E17"/>
    <w:rsid w:val="00EF7A58"/>
    <w:rsid w:val="00F00774"/>
    <w:rsid w:val="00F02578"/>
    <w:rsid w:val="00F02640"/>
    <w:rsid w:val="00F03DD3"/>
    <w:rsid w:val="00F03DEA"/>
    <w:rsid w:val="00F04335"/>
    <w:rsid w:val="00F05555"/>
    <w:rsid w:val="00F06154"/>
    <w:rsid w:val="00F06D9C"/>
    <w:rsid w:val="00F078BB"/>
    <w:rsid w:val="00F10415"/>
    <w:rsid w:val="00F11467"/>
    <w:rsid w:val="00F12858"/>
    <w:rsid w:val="00F13DCA"/>
    <w:rsid w:val="00F1469A"/>
    <w:rsid w:val="00F146B5"/>
    <w:rsid w:val="00F149B6"/>
    <w:rsid w:val="00F16C40"/>
    <w:rsid w:val="00F206B1"/>
    <w:rsid w:val="00F20E01"/>
    <w:rsid w:val="00F219C2"/>
    <w:rsid w:val="00F239DA"/>
    <w:rsid w:val="00F23C50"/>
    <w:rsid w:val="00F26227"/>
    <w:rsid w:val="00F26367"/>
    <w:rsid w:val="00F265B8"/>
    <w:rsid w:val="00F269EB"/>
    <w:rsid w:val="00F30062"/>
    <w:rsid w:val="00F307CA"/>
    <w:rsid w:val="00F30C8A"/>
    <w:rsid w:val="00F30E38"/>
    <w:rsid w:val="00F32B95"/>
    <w:rsid w:val="00F33434"/>
    <w:rsid w:val="00F35A93"/>
    <w:rsid w:val="00F35D3A"/>
    <w:rsid w:val="00F41096"/>
    <w:rsid w:val="00F41E0E"/>
    <w:rsid w:val="00F427A5"/>
    <w:rsid w:val="00F42F1C"/>
    <w:rsid w:val="00F43BAE"/>
    <w:rsid w:val="00F443AF"/>
    <w:rsid w:val="00F44705"/>
    <w:rsid w:val="00F45F00"/>
    <w:rsid w:val="00F501F4"/>
    <w:rsid w:val="00F50872"/>
    <w:rsid w:val="00F50E10"/>
    <w:rsid w:val="00F51790"/>
    <w:rsid w:val="00F529D7"/>
    <w:rsid w:val="00F52E39"/>
    <w:rsid w:val="00F536CA"/>
    <w:rsid w:val="00F558D7"/>
    <w:rsid w:val="00F55C8B"/>
    <w:rsid w:val="00F55E9A"/>
    <w:rsid w:val="00F61A49"/>
    <w:rsid w:val="00F61B02"/>
    <w:rsid w:val="00F635F4"/>
    <w:rsid w:val="00F64D00"/>
    <w:rsid w:val="00F64DF3"/>
    <w:rsid w:val="00F665FF"/>
    <w:rsid w:val="00F672D9"/>
    <w:rsid w:val="00F67C18"/>
    <w:rsid w:val="00F67C50"/>
    <w:rsid w:val="00F72027"/>
    <w:rsid w:val="00F7232A"/>
    <w:rsid w:val="00F724F6"/>
    <w:rsid w:val="00F73B78"/>
    <w:rsid w:val="00F8218E"/>
    <w:rsid w:val="00F83E97"/>
    <w:rsid w:val="00F84918"/>
    <w:rsid w:val="00F852D8"/>
    <w:rsid w:val="00F86AB5"/>
    <w:rsid w:val="00F86C8C"/>
    <w:rsid w:val="00F8726D"/>
    <w:rsid w:val="00F90D23"/>
    <w:rsid w:val="00F915B4"/>
    <w:rsid w:val="00F915C4"/>
    <w:rsid w:val="00F91679"/>
    <w:rsid w:val="00F9179A"/>
    <w:rsid w:val="00F91C60"/>
    <w:rsid w:val="00F921C5"/>
    <w:rsid w:val="00F922FE"/>
    <w:rsid w:val="00F9267D"/>
    <w:rsid w:val="00F92AF0"/>
    <w:rsid w:val="00F9332F"/>
    <w:rsid w:val="00F94741"/>
    <w:rsid w:val="00F9518F"/>
    <w:rsid w:val="00F97DB6"/>
    <w:rsid w:val="00FA001D"/>
    <w:rsid w:val="00FA0F7F"/>
    <w:rsid w:val="00FA2116"/>
    <w:rsid w:val="00FA23C3"/>
    <w:rsid w:val="00FA2793"/>
    <w:rsid w:val="00FA2A46"/>
    <w:rsid w:val="00FA33D8"/>
    <w:rsid w:val="00FA39D7"/>
    <w:rsid w:val="00FA4044"/>
    <w:rsid w:val="00FA427C"/>
    <w:rsid w:val="00FA48C3"/>
    <w:rsid w:val="00FA5E35"/>
    <w:rsid w:val="00FA6E96"/>
    <w:rsid w:val="00FA799E"/>
    <w:rsid w:val="00FA7FBA"/>
    <w:rsid w:val="00FB27EA"/>
    <w:rsid w:val="00FB35A3"/>
    <w:rsid w:val="00FB3F50"/>
    <w:rsid w:val="00FB5A44"/>
    <w:rsid w:val="00FB6F91"/>
    <w:rsid w:val="00FB72EE"/>
    <w:rsid w:val="00FC0FB4"/>
    <w:rsid w:val="00FC2397"/>
    <w:rsid w:val="00FC3682"/>
    <w:rsid w:val="00FC4C13"/>
    <w:rsid w:val="00FC53D2"/>
    <w:rsid w:val="00FC58B4"/>
    <w:rsid w:val="00FC6A22"/>
    <w:rsid w:val="00FC73C8"/>
    <w:rsid w:val="00FC7455"/>
    <w:rsid w:val="00FC7A04"/>
    <w:rsid w:val="00FD1204"/>
    <w:rsid w:val="00FD17C8"/>
    <w:rsid w:val="00FD1A05"/>
    <w:rsid w:val="00FD3CB8"/>
    <w:rsid w:val="00FD4878"/>
    <w:rsid w:val="00FE030B"/>
    <w:rsid w:val="00FE099C"/>
    <w:rsid w:val="00FE268E"/>
    <w:rsid w:val="00FE274D"/>
    <w:rsid w:val="00FE3458"/>
    <w:rsid w:val="00FE6846"/>
    <w:rsid w:val="00FE6AA0"/>
    <w:rsid w:val="00FE6E29"/>
    <w:rsid w:val="00FE7770"/>
    <w:rsid w:val="00FE78D2"/>
    <w:rsid w:val="00FE7CD3"/>
    <w:rsid w:val="00FF02BD"/>
    <w:rsid w:val="00FF0B12"/>
    <w:rsid w:val="00FF117F"/>
    <w:rsid w:val="00FF131C"/>
    <w:rsid w:val="00FF20F6"/>
    <w:rsid w:val="00FF25E5"/>
    <w:rsid w:val="00FF3391"/>
    <w:rsid w:val="00FF41AF"/>
    <w:rsid w:val="00FF50F4"/>
    <w:rsid w:val="00FF528B"/>
    <w:rsid w:val="00FF5D82"/>
    <w:rsid w:val="00FF6A61"/>
    <w:rsid w:val="00FF7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499B4"/>
  <w15:docId w15:val="{A6DD0F8D-6E4B-4BAC-9F53-D82955BF2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nl-NL" w:bidi="ar-SA"/>
      </w:rPr>
    </w:rPrDefault>
    <w:pPrDefault>
      <w:pPr>
        <w:spacing w:line="48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4BE6"/>
  </w:style>
  <w:style w:type="paragraph" w:styleId="berschrift1">
    <w:name w:val="heading 1"/>
    <w:basedOn w:val="Standard"/>
    <w:next w:val="Standard"/>
    <w:link w:val="berschrift1Zchn"/>
    <w:uiPriority w:val="9"/>
    <w:qFormat/>
    <w:rsid w:val="006B6E8F"/>
    <w:pPr>
      <w:keepNext/>
      <w:keepLines/>
      <w:ind w:firstLine="0"/>
      <w:jc w:val="center"/>
      <w:outlineLvl w:val="0"/>
    </w:pPr>
    <w:rPr>
      <w:rFonts w:eastAsiaTheme="majorEastAsia" w:cstheme="majorBidi"/>
      <w:b/>
      <w:color w:val="000000" w:themeColor="text1"/>
      <w:szCs w:val="32"/>
    </w:rPr>
  </w:style>
  <w:style w:type="paragraph" w:styleId="berschrift2">
    <w:name w:val="heading 2"/>
    <w:basedOn w:val="Standard"/>
    <w:next w:val="Standard"/>
    <w:link w:val="berschrift2Zchn"/>
    <w:uiPriority w:val="9"/>
    <w:unhideWhenUsed/>
    <w:qFormat/>
    <w:rsid w:val="006B6E8F"/>
    <w:pPr>
      <w:keepNext/>
      <w:keepLines/>
      <w:ind w:firstLine="0"/>
      <w:outlineLvl w:val="1"/>
    </w:pPr>
    <w:rPr>
      <w:rFonts w:eastAsiaTheme="majorEastAsia" w:cstheme="majorBidi"/>
      <w:b/>
      <w:color w:val="000000" w:themeColor="text1"/>
      <w:szCs w:val="26"/>
    </w:rPr>
  </w:style>
  <w:style w:type="paragraph" w:styleId="berschrift3">
    <w:name w:val="heading 3"/>
    <w:basedOn w:val="Standard"/>
    <w:next w:val="Standard"/>
    <w:uiPriority w:val="9"/>
    <w:unhideWhenUsed/>
    <w:qFormat/>
    <w:rsid w:val="00F90D23"/>
    <w:pPr>
      <w:keepNext/>
      <w:keepLines/>
      <w:spacing w:before="280" w:after="80"/>
      <w:outlineLvl w:val="2"/>
    </w:pPr>
    <w:rPr>
      <w:b/>
      <w:i/>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sid w:val="00B66BD5"/>
    <w:pPr>
      <w:keepNext/>
      <w:keepLines/>
      <w:spacing w:before="480" w:after="120"/>
      <w:ind w:firstLine="0"/>
      <w:jc w:val="center"/>
    </w:pPr>
    <w:rPr>
      <w:b/>
      <w:szCs w:val="72"/>
    </w:rPr>
  </w:style>
  <w:style w:type="character" w:customStyle="1" w:styleId="berschrift1Zchn">
    <w:name w:val="Überschrift 1 Zchn"/>
    <w:basedOn w:val="Absatz-Standardschriftart"/>
    <w:link w:val="berschrift1"/>
    <w:uiPriority w:val="9"/>
    <w:rsid w:val="006B6E8F"/>
    <w:rPr>
      <w:rFonts w:eastAsiaTheme="majorEastAsia" w:cstheme="majorBidi"/>
      <w:b/>
      <w:color w:val="000000" w:themeColor="text1"/>
      <w:szCs w:val="32"/>
    </w:rPr>
  </w:style>
  <w:style w:type="character" w:customStyle="1" w:styleId="berschrift2Zchn">
    <w:name w:val="Überschrift 2 Zchn"/>
    <w:basedOn w:val="Absatz-Standardschriftart"/>
    <w:link w:val="berschrift2"/>
    <w:uiPriority w:val="9"/>
    <w:rsid w:val="006B6E8F"/>
    <w:rPr>
      <w:rFonts w:eastAsiaTheme="majorEastAsia" w:cstheme="majorBidi"/>
      <w:b/>
      <w:color w:val="000000" w:themeColor="text1"/>
      <w:szCs w:val="26"/>
    </w:rPr>
  </w:style>
  <w:style w:type="paragraph" w:styleId="Listenabsatz">
    <w:name w:val="List Paragraph"/>
    <w:basedOn w:val="Standard"/>
    <w:uiPriority w:val="34"/>
    <w:qFormat/>
    <w:rsid w:val="00292721"/>
    <w:pPr>
      <w:ind w:left="720"/>
      <w:contextualSpacing/>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1"/>
    <w:uiPriority w:val="99"/>
    <w:unhideWhenUsed/>
    <w:pPr>
      <w:spacing w:line="240" w:lineRule="auto"/>
    </w:pPr>
    <w:rPr>
      <w:sz w:val="20"/>
      <w:szCs w:val="20"/>
    </w:rPr>
  </w:style>
  <w:style w:type="character" w:customStyle="1" w:styleId="KommentartextZchn">
    <w:name w:val="Kommentartext Zchn"/>
    <w:basedOn w:val="Absatz-Standardschriftart"/>
    <w:uiPriority w:val="99"/>
    <w:semiHidden/>
    <w:rsid w:val="00070369"/>
    <w:rPr>
      <w:rFonts w:ascii="Times New Roman" w:hAnsi="Times New Roman"/>
      <w:sz w:val="20"/>
      <w:szCs w:val="20"/>
    </w:rPr>
  </w:style>
  <w:style w:type="paragraph" w:styleId="Kommentarthema">
    <w:name w:val="annotation subject"/>
    <w:basedOn w:val="Kommentartext"/>
    <w:next w:val="Kommentartext"/>
    <w:link w:val="KommentarthemaZchn1"/>
    <w:uiPriority w:val="99"/>
    <w:semiHidden/>
    <w:unhideWhenUsed/>
    <w:rPr>
      <w:b/>
      <w:bCs/>
    </w:rPr>
  </w:style>
  <w:style w:type="character" w:customStyle="1" w:styleId="KommentarthemaZchn">
    <w:name w:val="Kommentarthema Zchn"/>
    <w:basedOn w:val="KommentartextZchn"/>
    <w:uiPriority w:val="99"/>
    <w:semiHidden/>
    <w:rsid w:val="00070369"/>
    <w:rPr>
      <w:rFonts w:ascii="Times New Roman" w:hAnsi="Times New Roman"/>
      <w:b/>
      <w:bCs/>
      <w:sz w:val="20"/>
      <w:szCs w:val="20"/>
    </w:rPr>
  </w:style>
  <w:style w:type="paragraph" w:styleId="Sprechblasentext">
    <w:name w:val="Balloon Text"/>
    <w:basedOn w:val="Standard"/>
    <w:link w:val="SprechblasentextZchn"/>
    <w:uiPriority w:val="99"/>
    <w:semiHidden/>
    <w:unhideWhenUsed/>
    <w:rsid w:val="0007036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70369"/>
    <w:rPr>
      <w:rFonts w:ascii="Segoe UI" w:hAnsi="Segoe UI" w:cs="Segoe UI"/>
      <w:sz w:val="18"/>
      <w:szCs w:val="18"/>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character" w:customStyle="1" w:styleId="KommentarthemaZchn1">
    <w:name w:val="Kommentarthema Zchn1"/>
    <w:basedOn w:val="KommentartextZchn1"/>
    <w:link w:val="Kommentarthema"/>
    <w:uiPriority w:val="99"/>
    <w:semiHidden/>
    <w:rPr>
      <w:b/>
      <w:bCs/>
      <w:sz w:val="20"/>
      <w:szCs w:val="20"/>
    </w:rPr>
  </w:style>
  <w:style w:type="character" w:customStyle="1" w:styleId="KommentartextZchn1">
    <w:name w:val="Kommentartext Zchn1"/>
    <w:link w:val="Kommentartext"/>
    <w:uiPriority w:val="99"/>
    <w:rPr>
      <w:sz w:val="20"/>
      <w:szCs w:val="20"/>
    </w:rPr>
  </w:style>
  <w:style w:type="character" w:styleId="Hyperlink">
    <w:name w:val="Hyperlink"/>
    <w:basedOn w:val="Absatz-Standardschriftart"/>
    <w:uiPriority w:val="99"/>
    <w:unhideWhenUsed/>
    <w:rsid w:val="00C03810"/>
    <w:rPr>
      <w:color w:val="0563C1" w:themeColor="hyperlink"/>
      <w:u w:val="single"/>
    </w:rPr>
  </w:style>
  <w:style w:type="character" w:customStyle="1" w:styleId="UnresolvedMention1">
    <w:name w:val="Unresolved Mention1"/>
    <w:basedOn w:val="Absatz-Standardschriftart"/>
    <w:uiPriority w:val="99"/>
    <w:semiHidden/>
    <w:unhideWhenUsed/>
    <w:rsid w:val="00C03810"/>
    <w:rPr>
      <w:color w:val="605E5C"/>
      <w:shd w:val="clear" w:color="auto" w:fill="E1DFDD"/>
    </w:rPr>
  </w:style>
  <w:style w:type="paragraph" w:styleId="StandardWeb">
    <w:name w:val="Normal (Web)"/>
    <w:basedOn w:val="Standard"/>
    <w:uiPriority w:val="99"/>
    <w:unhideWhenUsed/>
    <w:rsid w:val="00475323"/>
    <w:pPr>
      <w:spacing w:before="100" w:beforeAutospacing="1" w:after="100" w:afterAutospacing="1" w:line="240" w:lineRule="auto"/>
      <w:ind w:firstLine="0"/>
    </w:pPr>
    <w:rPr>
      <w:lang w:val="nl-NL"/>
    </w:rPr>
  </w:style>
  <w:style w:type="paragraph" w:styleId="NurText">
    <w:name w:val="Plain Text"/>
    <w:basedOn w:val="Standard"/>
    <w:link w:val="NurTextZchn"/>
    <w:uiPriority w:val="99"/>
    <w:semiHidden/>
    <w:unhideWhenUsed/>
    <w:rsid w:val="008875FA"/>
    <w:pPr>
      <w:spacing w:line="240" w:lineRule="auto"/>
      <w:ind w:firstLine="0"/>
    </w:pPr>
    <w:rPr>
      <w:rFonts w:ascii="Calibri" w:eastAsiaTheme="minorHAnsi" w:hAnsi="Calibri" w:cstheme="minorBidi"/>
      <w:sz w:val="22"/>
      <w:szCs w:val="21"/>
      <w:lang w:val="nl-NL" w:eastAsia="en-US"/>
    </w:rPr>
  </w:style>
  <w:style w:type="character" w:customStyle="1" w:styleId="NurTextZchn">
    <w:name w:val="Nur Text Zchn"/>
    <w:basedOn w:val="Absatz-Standardschriftart"/>
    <w:link w:val="NurText"/>
    <w:uiPriority w:val="99"/>
    <w:semiHidden/>
    <w:rsid w:val="008875FA"/>
    <w:rPr>
      <w:rFonts w:ascii="Calibri" w:eastAsiaTheme="minorHAnsi" w:hAnsi="Calibri" w:cstheme="minorBidi"/>
      <w:sz w:val="22"/>
      <w:szCs w:val="21"/>
      <w:lang w:val="nl-NL" w:eastAsia="en-US"/>
    </w:rPr>
  </w:style>
  <w:style w:type="paragraph" w:customStyle="1" w:styleId="EndNoteBibliographyTitle">
    <w:name w:val="EndNote Bibliography Title"/>
    <w:basedOn w:val="Standard"/>
    <w:link w:val="EndNoteBibliographyTitleZchn"/>
    <w:rsid w:val="00B66BD5"/>
    <w:pPr>
      <w:jc w:val="center"/>
    </w:pPr>
    <w:rPr>
      <w:noProof/>
      <w:lang w:val="nl-NL"/>
    </w:rPr>
  </w:style>
  <w:style w:type="character" w:customStyle="1" w:styleId="EndNoteBibliographyTitleZchn">
    <w:name w:val="EndNote Bibliography Title Zchn"/>
    <w:basedOn w:val="Absatz-Standardschriftart"/>
    <w:link w:val="EndNoteBibliographyTitle"/>
    <w:rsid w:val="00B66BD5"/>
    <w:rPr>
      <w:noProof/>
      <w:lang w:val="nl-NL"/>
    </w:rPr>
  </w:style>
  <w:style w:type="paragraph" w:customStyle="1" w:styleId="EndNoteBibliography">
    <w:name w:val="EndNote Bibliography"/>
    <w:basedOn w:val="Standard"/>
    <w:link w:val="EndNoteBibliographyZchn"/>
    <w:rsid w:val="00B66BD5"/>
    <w:pPr>
      <w:spacing w:line="240" w:lineRule="auto"/>
    </w:pPr>
    <w:rPr>
      <w:noProof/>
      <w:lang w:val="nl-NL"/>
    </w:rPr>
  </w:style>
  <w:style w:type="character" w:customStyle="1" w:styleId="EndNoteBibliographyZchn">
    <w:name w:val="EndNote Bibliography Zchn"/>
    <w:basedOn w:val="Absatz-Standardschriftart"/>
    <w:link w:val="EndNoteBibliography"/>
    <w:rsid w:val="00B66BD5"/>
    <w:rPr>
      <w:noProof/>
      <w:lang w:val="nl-NL"/>
    </w:rPr>
  </w:style>
  <w:style w:type="paragraph" w:styleId="Kopfzeile">
    <w:name w:val="header"/>
    <w:basedOn w:val="Standard"/>
    <w:link w:val="KopfzeileZchn"/>
    <w:uiPriority w:val="99"/>
    <w:unhideWhenUsed/>
    <w:rsid w:val="000502AC"/>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502AC"/>
  </w:style>
  <w:style w:type="paragraph" w:styleId="Fuzeile">
    <w:name w:val="footer"/>
    <w:basedOn w:val="Standard"/>
    <w:link w:val="FuzeileZchn"/>
    <w:uiPriority w:val="99"/>
    <w:unhideWhenUsed/>
    <w:rsid w:val="000502A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502AC"/>
  </w:style>
  <w:style w:type="paragraph" w:styleId="Literaturverzeichnis">
    <w:name w:val="Bibliography"/>
    <w:basedOn w:val="Standard"/>
    <w:next w:val="Standard"/>
    <w:uiPriority w:val="37"/>
    <w:semiHidden/>
    <w:unhideWhenUsed/>
    <w:rsid w:val="00480937"/>
  </w:style>
  <w:style w:type="character" w:styleId="NichtaufgelsteErwhnung">
    <w:name w:val="Unresolved Mention"/>
    <w:basedOn w:val="Absatz-Standardschriftart"/>
    <w:uiPriority w:val="99"/>
    <w:semiHidden/>
    <w:unhideWhenUsed/>
    <w:rsid w:val="00002158"/>
    <w:rPr>
      <w:color w:val="605E5C"/>
      <w:shd w:val="clear" w:color="auto" w:fill="E1DFDD"/>
    </w:rPr>
  </w:style>
  <w:style w:type="paragraph" w:styleId="berarbeitung">
    <w:name w:val="Revision"/>
    <w:hidden/>
    <w:uiPriority w:val="99"/>
    <w:semiHidden/>
    <w:rsid w:val="006B6E8F"/>
    <w:pPr>
      <w:spacing w:line="240" w:lineRule="auto"/>
      <w:ind w:firstLine="0"/>
    </w:pPr>
  </w:style>
  <w:style w:type="table" w:styleId="Tabellenraster">
    <w:name w:val="Table Grid"/>
    <w:basedOn w:val="NormaleTabelle"/>
    <w:uiPriority w:val="39"/>
    <w:rsid w:val="00C132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rd"/>
    <w:rsid w:val="00F219C2"/>
    <w:pPr>
      <w:spacing w:before="100" w:beforeAutospacing="1" w:after="100" w:afterAutospacing="1" w:line="240" w:lineRule="auto"/>
      <w:ind w:firstLine="0"/>
    </w:pPr>
    <w:rPr>
      <w:lang w:val="de-DE" w:eastAsia="de-DE"/>
    </w:rPr>
  </w:style>
  <w:style w:type="character" w:customStyle="1" w:styleId="cf01">
    <w:name w:val="cf01"/>
    <w:basedOn w:val="Absatz-Standardschriftart"/>
    <w:rsid w:val="00F219C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68324">
      <w:bodyDiv w:val="1"/>
      <w:marLeft w:val="0"/>
      <w:marRight w:val="0"/>
      <w:marTop w:val="0"/>
      <w:marBottom w:val="0"/>
      <w:divBdr>
        <w:top w:val="none" w:sz="0" w:space="0" w:color="auto"/>
        <w:left w:val="none" w:sz="0" w:space="0" w:color="auto"/>
        <w:bottom w:val="none" w:sz="0" w:space="0" w:color="auto"/>
        <w:right w:val="none" w:sz="0" w:space="0" w:color="auto"/>
      </w:divBdr>
    </w:div>
    <w:div w:id="633945312">
      <w:bodyDiv w:val="1"/>
      <w:marLeft w:val="0"/>
      <w:marRight w:val="0"/>
      <w:marTop w:val="0"/>
      <w:marBottom w:val="0"/>
      <w:divBdr>
        <w:top w:val="none" w:sz="0" w:space="0" w:color="auto"/>
        <w:left w:val="none" w:sz="0" w:space="0" w:color="auto"/>
        <w:bottom w:val="none" w:sz="0" w:space="0" w:color="auto"/>
        <w:right w:val="none" w:sz="0" w:space="0" w:color="auto"/>
      </w:divBdr>
      <w:divsChild>
        <w:div w:id="1686515142">
          <w:marLeft w:val="0"/>
          <w:marRight w:val="0"/>
          <w:marTop w:val="0"/>
          <w:marBottom w:val="0"/>
          <w:divBdr>
            <w:top w:val="none" w:sz="0" w:space="0" w:color="auto"/>
            <w:left w:val="none" w:sz="0" w:space="0" w:color="auto"/>
            <w:bottom w:val="none" w:sz="0" w:space="0" w:color="auto"/>
            <w:right w:val="none" w:sz="0" w:space="0" w:color="auto"/>
          </w:divBdr>
        </w:div>
      </w:divsChild>
    </w:div>
    <w:div w:id="814639319">
      <w:bodyDiv w:val="1"/>
      <w:marLeft w:val="0"/>
      <w:marRight w:val="0"/>
      <w:marTop w:val="0"/>
      <w:marBottom w:val="0"/>
      <w:divBdr>
        <w:top w:val="none" w:sz="0" w:space="0" w:color="auto"/>
        <w:left w:val="none" w:sz="0" w:space="0" w:color="auto"/>
        <w:bottom w:val="none" w:sz="0" w:space="0" w:color="auto"/>
        <w:right w:val="none" w:sz="0" w:space="0" w:color="auto"/>
      </w:divBdr>
    </w:div>
    <w:div w:id="966547062">
      <w:bodyDiv w:val="1"/>
      <w:marLeft w:val="0"/>
      <w:marRight w:val="0"/>
      <w:marTop w:val="0"/>
      <w:marBottom w:val="0"/>
      <w:divBdr>
        <w:top w:val="none" w:sz="0" w:space="0" w:color="auto"/>
        <w:left w:val="none" w:sz="0" w:space="0" w:color="auto"/>
        <w:bottom w:val="none" w:sz="0" w:space="0" w:color="auto"/>
        <w:right w:val="none" w:sz="0" w:space="0" w:color="auto"/>
      </w:divBdr>
      <w:divsChild>
        <w:div w:id="265433390">
          <w:marLeft w:val="0"/>
          <w:marRight w:val="0"/>
          <w:marTop w:val="0"/>
          <w:marBottom w:val="0"/>
          <w:divBdr>
            <w:top w:val="none" w:sz="0" w:space="0" w:color="auto"/>
            <w:left w:val="none" w:sz="0" w:space="0" w:color="auto"/>
            <w:bottom w:val="none" w:sz="0" w:space="0" w:color="auto"/>
            <w:right w:val="none" w:sz="0" w:space="0" w:color="auto"/>
          </w:divBdr>
        </w:div>
      </w:divsChild>
    </w:div>
    <w:div w:id="991910775">
      <w:bodyDiv w:val="1"/>
      <w:marLeft w:val="0"/>
      <w:marRight w:val="0"/>
      <w:marTop w:val="0"/>
      <w:marBottom w:val="0"/>
      <w:divBdr>
        <w:top w:val="none" w:sz="0" w:space="0" w:color="auto"/>
        <w:left w:val="none" w:sz="0" w:space="0" w:color="auto"/>
        <w:bottom w:val="none" w:sz="0" w:space="0" w:color="auto"/>
        <w:right w:val="none" w:sz="0" w:space="0" w:color="auto"/>
      </w:divBdr>
    </w:div>
    <w:div w:id="1293902470">
      <w:bodyDiv w:val="1"/>
      <w:marLeft w:val="0"/>
      <w:marRight w:val="0"/>
      <w:marTop w:val="0"/>
      <w:marBottom w:val="0"/>
      <w:divBdr>
        <w:top w:val="none" w:sz="0" w:space="0" w:color="auto"/>
        <w:left w:val="none" w:sz="0" w:space="0" w:color="auto"/>
        <w:bottom w:val="none" w:sz="0" w:space="0" w:color="auto"/>
        <w:right w:val="none" w:sz="0" w:space="0" w:color="auto"/>
      </w:divBdr>
      <w:divsChild>
        <w:div w:id="1748183448">
          <w:marLeft w:val="0"/>
          <w:marRight w:val="0"/>
          <w:marTop w:val="0"/>
          <w:marBottom w:val="0"/>
          <w:divBdr>
            <w:top w:val="none" w:sz="0" w:space="0" w:color="auto"/>
            <w:left w:val="none" w:sz="0" w:space="0" w:color="auto"/>
            <w:bottom w:val="none" w:sz="0" w:space="0" w:color="auto"/>
            <w:right w:val="none" w:sz="0" w:space="0" w:color="auto"/>
          </w:divBdr>
          <w:divsChild>
            <w:div w:id="47414427">
              <w:marLeft w:val="0"/>
              <w:marRight w:val="0"/>
              <w:marTop w:val="0"/>
              <w:marBottom w:val="0"/>
              <w:divBdr>
                <w:top w:val="none" w:sz="0" w:space="0" w:color="auto"/>
                <w:left w:val="none" w:sz="0" w:space="0" w:color="auto"/>
                <w:bottom w:val="none" w:sz="0" w:space="0" w:color="auto"/>
                <w:right w:val="none" w:sz="0" w:space="0" w:color="auto"/>
              </w:divBdr>
              <w:divsChild>
                <w:div w:id="213563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58511">
          <w:marLeft w:val="0"/>
          <w:marRight w:val="0"/>
          <w:marTop w:val="0"/>
          <w:marBottom w:val="0"/>
          <w:divBdr>
            <w:top w:val="none" w:sz="0" w:space="0" w:color="auto"/>
            <w:left w:val="none" w:sz="0" w:space="0" w:color="auto"/>
            <w:bottom w:val="none" w:sz="0" w:space="0" w:color="auto"/>
            <w:right w:val="none" w:sz="0" w:space="0" w:color="auto"/>
          </w:divBdr>
          <w:divsChild>
            <w:div w:id="568465458">
              <w:marLeft w:val="0"/>
              <w:marRight w:val="0"/>
              <w:marTop w:val="0"/>
              <w:marBottom w:val="0"/>
              <w:divBdr>
                <w:top w:val="none" w:sz="0" w:space="0" w:color="auto"/>
                <w:left w:val="none" w:sz="0" w:space="0" w:color="auto"/>
                <w:bottom w:val="none" w:sz="0" w:space="0" w:color="auto"/>
                <w:right w:val="none" w:sz="0" w:space="0" w:color="auto"/>
              </w:divBdr>
              <w:divsChild>
                <w:div w:id="1276255819">
                  <w:marLeft w:val="0"/>
                  <w:marRight w:val="0"/>
                  <w:marTop w:val="0"/>
                  <w:marBottom w:val="0"/>
                  <w:divBdr>
                    <w:top w:val="single" w:sz="18" w:space="4" w:color="006FCA"/>
                    <w:left w:val="single" w:sz="18" w:space="4" w:color="006FCA"/>
                    <w:bottom w:val="single" w:sz="18" w:space="4" w:color="006FCA"/>
                    <w:right w:val="single" w:sz="18" w:space="4" w:color="006FCA"/>
                  </w:divBdr>
                  <w:divsChild>
                    <w:div w:id="1966814677">
                      <w:marLeft w:val="0"/>
                      <w:marRight w:val="0"/>
                      <w:marTop w:val="0"/>
                      <w:marBottom w:val="0"/>
                      <w:divBdr>
                        <w:top w:val="none" w:sz="0" w:space="0" w:color="auto"/>
                        <w:left w:val="none" w:sz="0" w:space="0" w:color="auto"/>
                        <w:bottom w:val="none" w:sz="0" w:space="0" w:color="auto"/>
                        <w:right w:val="none" w:sz="0" w:space="0" w:color="auto"/>
                      </w:divBdr>
                      <w:divsChild>
                        <w:div w:id="13273182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70975862">
      <w:bodyDiv w:val="1"/>
      <w:marLeft w:val="0"/>
      <w:marRight w:val="0"/>
      <w:marTop w:val="0"/>
      <w:marBottom w:val="0"/>
      <w:divBdr>
        <w:top w:val="none" w:sz="0" w:space="0" w:color="auto"/>
        <w:left w:val="none" w:sz="0" w:space="0" w:color="auto"/>
        <w:bottom w:val="none" w:sz="0" w:space="0" w:color="auto"/>
        <w:right w:val="none" w:sz="0" w:space="0" w:color="auto"/>
      </w:divBdr>
    </w:div>
    <w:div w:id="1574896339">
      <w:bodyDiv w:val="1"/>
      <w:marLeft w:val="0"/>
      <w:marRight w:val="0"/>
      <w:marTop w:val="0"/>
      <w:marBottom w:val="0"/>
      <w:divBdr>
        <w:top w:val="none" w:sz="0" w:space="0" w:color="auto"/>
        <w:left w:val="none" w:sz="0" w:space="0" w:color="auto"/>
        <w:bottom w:val="none" w:sz="0" w:space="0" w:color="auto"/>
        <w:right w:val="none" w:sz="0" w:space="0" w:color="auto"/>
      </w:divBdr>
    </w:div>
    <w:div w:id="1653293600">
      <w:bodyDiv w:val="1"/>
      <w:marLeft w:val="0"/>
      <w:marRight w:val="0"/>
      <w:marTop w:val="0"/>
      <w:marBottom w:val="0"/>
      <w:divBdr>
        <w:top w:val="none" w:sz="0" w:space="0" w:color="auto"/>
        <w:left w:val="none" w:sz="0" w:space="0" w:color="auto"/>
        <w:bottom w:val="none" w:sz="0" w:space="0" w:color="auto"/>
        <w:right w:val="none" w:sz="0" w:space="0" w:color="auto"/>
      </w:divBdr>
    </w:div>
    <w:div w:id="1653635623">
      <w:bodyDiv w:val="1"/>
      <w:marLeft w:val="0"/>
      <w:marRight w:val="0"/>
      <w:marTop w:val="0"/>
      <w:marBottom w:val="0"/>
      <w:divBdr>
        <w:top w:val="none" w:sz="0" w:space="0" w:color="auto"/>
        <w:left w:val="none" w:sz="0" w:space="0" w:color="auto"/>
        <w:bottom w:val="none" w:sz="0" w:space="0" w:color="auto"/>
        <w:right w:val="none" w:sz="0" w:space="0" w:color="auto"/>
      </w:divBdr>
    </w:div>
    <w:div w:id="1988239076">
      <w:bodyDiv w:val="1"/>
      <w:marLeft w:val="0"/>
      <w:marRight w:val="0"/>
      <w:marTop w:val="0"/>
      <w:marBottom w:val="0"/>
      <w:divBdr>
        <w:top w:val="none" w:sz="0" w:space="0" w:color="auto"/>
        <w:left w:val="none" w:sz="0" w:space="0" w:color="auto"/>
        <w:bottom w:val="none" w:sz="0" w:space="0" w:color="auto"/>
        <w:right w:val="none" w:sz="0" w:space="0" w:color="auto"/>
      </w:divBdr>
      <w:divsChild>
        <w:div w:id="1752119560">
          <w:marLeft w:val="0"/>
          <w:marRight w:val="0"/>
          <w:marTop w:val="0"/>
          <w:marBottom w:val="0"/>
          <w:divBdr>
            <w:top w:val="none" w:sz="0" w:space="0" w:color="auto"/>
            <w:left w:val="none" w:sz="0" w:space="0" w:color="auto"/>
            <w:bottom w:val="none" w:sz="0" w:space="0" w:color="auto"/>
            <w:right w:val="none" w:sz="0" w:space="0" w:color="auto"/>
          </w:divBdr>
          <w:divsChild>
            <w:div w:id="1991209851">
              <w:marLeft w:val="0"/>
              <w:marRight w:val="0"/>
              <w:marTop w:val="0"/>
              <w:marBottom w:val="0"/>
              <w:divBdr>
                <w:top w:val="none" w:sz="0" w:space="0" w:color="auto"/>
                <w:left w:val="none" w:sz="0" w:space="0" w:color="auto"/>
                <w:bottom w:val="none" w:sz="0" w:space="0" w:color="auto"/>
                <w:right w:val="none" w:sz="0" w:space="0" w:color="auto"/>
              </w:divBdr>
              <w:divsChild>
                <w:div w:id="254633570">
                  <w:marLeft w:val="0"/>
                  <w:marRight w:val="0"/>
                  <w:marTop w:val="0"/>
                  <w:marBottom w:val="0"/>
                  <w:divBdr>
                    <w:top w:val="none" w:sz="0" w:space="0" w:color="auto"/>
                    <w:left w:val="none" w:sz="0" w:space="0" w:color="auto"/>
                    <w:bottom w:val="none" w:sz="0" w:space="0" w:color="auto"/>
                    <w:right w:val="none" w:sz="0" w:space="0" w:color="auto"/>
                  </w:divBdr>
                  <w:divsChild>
                    <w:div w:id="3796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1417D99B8190C4BA8A696D86276CD82" ma:contentTypeVersion="0" ma:contentTypeDescription="Ein neues Dokument erstellen." ma:contentTypeScope="" ma:versionID="d540bd15bbe5952eff36ee1e04d78d34">
  <xsd:schema xmlns:xsd="http://www.w3.org/2001/XMLSchema" xmlns:xs="http://www.w3.org/2001/XMLSchema" xmlns:p="http://schemas.microsoft.com/office/2006/metadata/properties" targetNamespace="http://schemas.microsoft.com/office/2006/metadata/properties" ma:root="true" ma:fieldsID="d5387010d13fc429150257a701ef861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r="http://schemas.openxmlformats.org/officeDocument/2006/relationships" xmlns:go="http://customooxmlschemas.google.com/">
  <go:docsCustomData xmlns:go="http://customooxmlschemas.google.com/" roundtripDataSignature="AMtx7mivS+S8cmNTKxM5+SKG/aqTu759+Q==">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</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39F003-3316-4F50-ACD1-9B42D085FE50}">
  <ds:schemaRefs>
    <ds:schemaRef ds:uri="http://schemas.microsoft.com/sharepoint/v3/contenttype/forms"/>
  </ds:schemaRefs>
</ds:datastoreItem>
</file>

<file path=customXml/itemProps2.xml><?xml version="1.0" encoding="utf-8"?>
<ds:datastoreItem xmlns:ds="http://schemas.openxmlformats.org/officeDocument/2006/customXml" ds:itemID="{C71E6BED-1956-4AFB-83DC-F3F7847B3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41F234D-EEEC-458A-A219-53EC6089F3D3}">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5.xml><?xml version="1.0" encoding="utf-8"?>
<ds:datastoreItem xmlns:ds="http://schemas.openxmlformats.org/officeDocument/2006/customXml" ds:itemID="{3E4F657B-5955-4D38-A99F-D6302717C2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2473</Words>
  <Characters>15584</Characters>
  <Application>Microsoft Office Word</Application>
  <DocSecurity>0</DocSecurity>
  <Lines>129</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K</dc:creator>
  <cp:lastModifiedBy>Laura Maria König</cp:lastModifiedBy>
  <cp:revision>4</cp:revision>
  <cp:lastPrinted>2024-05-10T11:33:00Z</cp:lastPrinted>
  <dcterms:created xsi:type="dcterms:W3CDTF">2025-04-08T05:15:00Z</dcterms:created>
  <dcterms:modified xsi:type="dcterms:W3CDTF">2025-09-05T06:04:00Z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0x01010071417D99B8190C4BA8A696D86276CD82</vt:lpwstr>
  </property>
</Properties>
</file>