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line="480" w:lineRule="auto"/>
        <w:rPr>
          <w:rFonts w:ascii="Times New Roman" w:hAnsi="Times New Roman"/>
          <w:sz w:val="24"/>
          <w:szCs w:val="24"/>
        </w:rPr>
      </w:pPr>
      <w:r>
        <w:rPr>
          <w:rFonts w:ascii="Times New Roman" w:hAnsi="Times New Roman"/>
          <w:b/>
          <w:bCs/>
          <w:sz w:val="24"/>
          <w:szCs w:val="24"/>
        </w:rPr>
        <w:t>SI Table 1</w:t>
      </w:r>
      <w:r>
        <w:rPr>
          <w:rFonts w:ascii="Times New Roman" w:hAnsi="Times New Roman"/>
          <w:b/>
          <w:bCs/>
          <w:sz w:val="24"/>
          <w:szCs w:val="24"/>
          <w:lang w:val="en-GB"/>
        </w:rPr>
        <w:t>.</w:t>
      </w:r>
      <w:r>
        <w:rPr>
          <w:rFonts w:ascii="Times New Roman" w:hAnsi="Times New Roman"/>
          <w:sz w:val="24"/>
          <w:szCs w:val="24"/>
        </w:rPr>
        <w:t xml:space="preserve"> Comparative hominoid femora samples included in this analysis. All original published and available fossil specimens were examined. Abbreviations: </w:t>
      </w:r>
      <w:r>
        <w:rPr>
          <w:rFonts w:ascii="Times New Roman" w:hAnsi="Times New Roman"/>
          <w:i/>
          <w:sz w:val="24"/>
          <w:szCs w:val="24"/>
        </w:rPr>
        <w:t>GPIT</w:t>
      </w:r>
      <w:r>
        <w:rPr>
          <w:rFonts w:ascii="Times New Roman" w:hAnsi="Times New Roman"/>
          <w:sz w:val="24"/>
          <w:szCs w:val="24"/>
        </w:rPr>
        <w:t xml:space="preserve">  Paleontological Collection University of Tübingen; </w:t>
      </w:r>
      <w:r>
        <w:rPr>
          <w:rFonts w:ascii="Times New Roman" w:hAnsi="Times New Roman"/>
          <w:i/>
          <w:sz w:val="24"/>
          <w:szCs w:val="24"/>
        </w:rPr>
        <w:t>NMK</w:t>
      </w:r>
      <w:r>
        <w:rPr>
          <w:rFonts w:ascii="Times New Roman" w:hAnsi="Times New Roman"/>
          <w:sz w:val="24"/>
          <w:szCs w:val="24"/>
        </w:rPr>
        <w:t xml:space="preserve">  National Museum of Kenya; </w:t>
      </w:r>
      <w:r>
        <w:rPr>
          <w:rFonts w:ascii="Times New Roman" w:hAnsi="Times New Roman"/>
          <w:i/>
          <w:sz w:val="24"/>
          <w:szCs w:val="24"/>
        </w:rPr>
        <w:t>NMNHS</w:t>
      </w:r>
      <w:r>
        <w:rPr>
          <w:rFonts w:ascii="Times New Roman" w:hAnsi="Times New Roman"/>
          <w:sz w:val="24"/>
          <w:szCs w:val="24"/>
        </w:rPr>
        <w:t xml:space="preserve">  National Museum of Natural History, Sofia; </w:t>
      </w:r>
      <w:r>
        <w:rPr>
          <w:rFonts w:ascii="Times New Roman" w:hAnsi="Times New Roman"/>
          <w:i/>
          <w:sz w:val="24"/>
          <w:szCs w:val="24"/>
        </w:rPr>
        <w:t>RMCA</w:t>
      </w:r>
      <w:r>
        <w:rPr>
          <w:rFonts w:ascii="Times New Roman" w:hAnsi="Times New Roman"/>
          <w:sz w:val="24"/>
          <w:szCs w:val="24"/>
        </w:rPr>
        <w:t xml:space="preserve">  </w:t>
      </w:r>
      <w:r>
        <w:rPr>
          <w:rFonts w:ascii="Times New Roman" w:hAnsi="Times New Roman"/>
          <w:sz w:val="24"/>
          <w:szCs w:val="24"/>
          <w:shd w:val="clear" w:color="auto" w:fill="FFFFFF"/>
        </w:rPr>
        <w:t>Royal Museum for Central Africa</w:t>
      </w:r>
      <w:r>
        <w:rPr>
          <w:rFonts w:ascii="Times New Roman" w:hAnsi="Times New Roman"/>
          <w:sz w:val="24"/>
          <w:szCs w:val="24"/>
        </w:rPr>
        <w:t xml:space="preserve">; </w:t>
      </w:r>
      <w:r>
        <w:rPr>
          <w:rFonts w:ascii="Times New Roman" w:hAnsi="Times New Roman"/>
          <w:i/>
          <w:sz w:val="24"/>
          <w:szCs w:val="24"/>
        </w:rPr>
        <w:t>MNHN</w:t>
      </w:r>
      <w:r>
        <w:rPr>
          <w:rFonts w:ascii="Times New Roman" w:hAnsi="Times New Roman"/>
          <w:sz w:val="24"/>
          <w:szCs w:val="24"/>
        </w:rPr>
        <w:t xml:space="preserve">  Museum National d’Histoire naturelle, Paris; </w:t>
      </w:r>
      <w:r>
        <w:rPr>
          <w:rFonts w:ascii="Times New Roman" w:hAnsi="Times New Roman"/>
          <w:i/>
          <w:sz w:val="24"/>
          <w:szCs w:val="24"/>
        </w:rPr>
        <w:t>NME</w:t>
      </w:r>
      <w:r>
        <w:rPr>
          <w:rFonts w:ascii="Times New Roman" w:hAnsi="Times New Roman"/>
          <w:sz w:val="24"/>
          <w:szCs w:val="24"/>
        </w:rPr>
        <w:t xml:space="preserve">  National Museum of Ethiopia; </w:t>
      </w:r>
      <w:r>
        <w:rPr>
          <w:rFonts w:ascii="Times New Roman" w:hAnsi="Times New Roman"/>
          <w:i/>
          <w:sz w:val="24"/>
          <w:szCs w:val="24"/>
        </w:rPr>
        <w:t>BMNH</w:t>
      </w:r>
      <w:r>
        <w:rPr>
          <w:rFonts w:ascii="Times New Roman" w:hAnsi="Times New Roman"/>
          <w:sz w:val="24"/>
          <w:szCs w:val="24"/>
        </w:rPr>
        <w:t xml:space="preserve">  The Natural History Museum (London); </w:t>
      </w:r>
      <w:r>
        <w:rPr>
          <w:rFonts w:ascii="Times New Roman" w:hAnsi="Times New Roman"/>
          <w:i/>
          <w:sz w:val="24"/>
          <w:szCs w:val="24"/>
        </w:rPr>
        <w:t>SZTFH</w:t>
      </w:r>
      <w:r>
        <w:rPr>
          <w:rFonts w:ascii="Times New Roman" w:hAnsi="Times New Roman"/>
          <w:sz w:val="24"/>
          <w:szCs w:val="24"/>
        </w:rPr>
        <w:t xml:space="preserve">  Supervisory Authority for Regulated Activities (Hungary): </w:t>
      </w:r>
      <w:r>
        <w:rPr>
          <w:rFonts w:ascii="Times New Roman" w:hAnsi="Times New Roman"/>
          <w:i/>
          <w:sz w:val="24"/>
          <w:szCs w:val="24"/>
        </w:rPr>
        <w:t>ICP</w:t>
      </w:r>
      <w:r>
        <w:rPr>
          <w:rFonts w:ascii="Times New Roman" w:hAnsi="Times New Roman"/>
          <w:sz w:val="24"/>
          <w:szCs w:val="24"/>
        </w:rPr>
        <w:t xml:space="preserve">  Miquel Crusafont Catalan Institute of Paleontology; </w:t>
      </w:r>
      <w:r>
        <w:rPr>
          <w:rFonts w:ascii="Times New Roman" w:hAnsi="Times New Roman"/>
          <w:i/>
          <w:sz w:val="24"/>
          <w:szCs w:val="24"/>
        </w:rPr>
        <w:t>UTA</w:t>
      </w:r>
      <w:r>
        <w:rPr>
          <w:rFonts w:ascii="Times New Roman" w:hAnsi="Times New Roman"/>
          <w:sz w:val="24"/>
          <w:szCs w:val="24"/>
        </w:rPr>
        <w:t xml:space="preserve">  University of Toronto Anthropology. We indicate if we worked with casts, originals or both</w:t>
      </w:r>
    </w:p>
    <w:tbl>
      <w:tblPr>
        <w:tblW w:w="0" w:type="auto"/>
        <w:tblInd w:w="-34" w:type="dxa"/>
        <w:tblLook w:val="04A0" w:firstRow="1" w:lastRow="0" w:firstColumn="1" w:lastColumn="0" w:noHBand="0" w:noVBand="1"/>
      </w:tblPr>
      <w:tblGrid>
        <w:gridCol w:w="2836"/>
        <w:gridCol w:w="709"/>
        <w:gridCol w:w="2126"/>
        <w:gridCol w:w="1985"/>
        <w:gridCol w:w="1920"/>
      </w:tblGrid>
      <w:tr>
        <w:tc>
          <w:tcPr>
            <w:tcW w:w="283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Taxon &amp; coll. No.</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 n</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Repository</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Cast, photograph or original </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Age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iCs/>
                <w:sz w:val="24"/>
                <w:szCs w:val="24"/>
                <w:lang w:eastAsia="zh-CN"/>
              </w:rPr>
            </w:pPr>
            <w:r>
              <w:rPr>
                <w:rFonts w:ascii="Times New Roman" w:eastAsia="Times New Roman" w:hAnsi="Times New Roman"/>
                <w:iCs/>
                <w:sz w:val="24"/>
                <w:szCs w:val="24"/>
                <w:lang w:eastAsia="zh-CN"/>
              </w:rPr>
              <w:t>Cf.</w:t>
            </w:r>
            <w:r>
              <w:rPr>
                <w:rFonts w:ascii="Times New Roman" w:eastAsia="Times New Roman" w:hAnsi="Times New Roman"/>
                <w:i/>
                <w:iCs/>
                <w:sz w:val="24"/>
                <w:szCs w:val="24"/>
                <w:lang w:eastAsia="zh-CN"/>
              </w:rPr>
              <w:t xml:space="preserve"> Graecopithecus</w:t>
            </w:r>
            <w:r>
              <w:rPr>
                <w:rFonts w:ascii="Times New Roman" w:eastAsia="Times New Roman" w:hAnsi="Times New Roman"/>
                <w:sz w:val="24"/>
                <w:szCs w:val="24"/>
                <w:lang w:eastAsia="zh-CN"/>
              </w:rPr>
              <w:t xml:space="preserve"> (FM3549AZM6)</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NMNHS</w:t>
            </w:r>
          </w:p>
          <w:p>
            <w:pPr>
              <w:spacing w:after="0" w:line="360" w:lineRule="auto"/>
              <w:rPr>
                <w:rFonts w:ascii="Times New Roman" w:eastAsia="Times New Roman" w:hAnsi="Times New Roman"/>
                <w:sz w:val="24"/>
                <w:szCs w:val="24"/>
                <w:lang w:eastAsia="zh-CN"/>
              </w:rPr>
            </w:pP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Late Turolian</w:t>
            </w:r>
          </w:p>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(7.2 Ma)</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iCs/>
                <w:sz w:val="24"/>
                <w:szCs w:val="24"/>
                <w:lang w:eastAsia="zh-CN"/>
              </w:rPr>
            </w:pPr>
            <w:r>
              <w:rPr>
                <w:rFonts w:ascii="Times New Roman" w:eastAsia="Times New Roman" w:hAnsi="Times New Roman"/>
                <w:i/>
                <w:sz w:val="24"/>
                <w:szCs w:val="24"/>
                <w:lang w:eastAsia="zh-CN"/>
              </w:rPr>
              <w:t xml:space="preserve">Paidopithex rhenanus </w:t>
            </w:r>
            <w:r>
              <w:rPr>
                <w:rFonts w:ascii="Times New Roman" w:eastAsia="Times New Roman" w:hAnsi="Times New Roman"/>
                <w:sz w:val="24"/>
                <w:szCs w:val="24"/>
                <w:lang w:eastAsia="zh-CN"/>
              </w:rPr>
              <w:t>(Din45)</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NMNHS</w:t>
            </w:r>
          </w:p>
          <w:p>
            <w:pPr>
              <w:spacing w:after="0" w:line="360" w:lineRule="auto"/>
              <w:rPr>
                <w:rFonts w:ascii="Times New Roman" w:eastAsia="Times New Roman" w:hAnsi="Times New Roman"/>
                <w:sz w:val="24"/>
                <w:szCs w:val="24"/>
                <w:lang w:eastAsia="zh-CN"/>
              </w:rPr>
            </w:pP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Late Miocene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iCs/>
                <w:sz w:val="24"/>
                <w:szCs w:val="24"/>
                <w:lang w:eastAsia="zh-CN"/>
              </w:rPr>
            </w:pPr>
            <w:r>
              <w:rPr>
                <w:rFonts w:ascii="Times New Roman" w:eastAsia="Times New Roman" w:hAnsi="Times New Roman"/>
                <w:i/>
                <w:iCs/>
                <w:sz w:val="24"/>
                <w:szCs w:val="24"/>
                <w:lang w:eastAsia="zh-CN"/>
              </w:rPr>
              <w:t>Ekembo</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NMK</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Early Miocene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i/>
                <w:iCs/>
                <w:sz w:val="24"/>
                <w:szCs w:val="24"/>
                <w:lang w:eastAsia="zh-CN"/>
              </w:rPr>
              <w:t>Morotopithecus bishopi</w:t>
            </w:r>
            <w:r>
              <w:rPr>
                <w:rFonts w:ascii="Times New Roman" w:eastAsia="Times New Roman" w:hAnsi="Times New Roman"/>
                <w:sz w:val="24"/>
                <w:szCs w:val="24"/>
                <w:lang w:eastAsia="zh-CN"/>
              </w:rPr>
              <w:t xml:space="preserve"> (MUZM 80)</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Uganda Museum</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cast/photograph</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Early Miocene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iCs/>
                <w:sz w:val="24"/>
                <w:szCs w:val="24"/>
                <w:lang w:eastAsia="zh-CN"/>
              </w:rPr>
            </w:pPr>
            <w:r>
              <w:rPr>
                <w:rFonts w:ascii="Times New Roman" w:eastAsia="Times New Roman" w:hAnsi="Times New Roman"/>
                <w:i/>
                <w:iCs/>
                <w:sz w:val="24"/>
                <w:szCs w:val="24"/>
                <w:lang w:eastAsia="zh-CN"/>
              </w:rPr>
              <w:t>Nacholapithecus kerioi</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NMK</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Middle Miocene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i/>
                <w:sz w:val="24"/>
                <w:szCs w:val="24"/>
                <w:lang w:eastAsia="zh-CN"/>
              </w:rPr>
              <w:t>Equatorius</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NMK/BMNH</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Middle Miocene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 xml:space="preserve">Dryopithecus fontani </w:t>
            </w:r>
            <w:r>
              <w:rPr>
                <w:rFonts w:ascii="Times New Roman" w:eastAsia="Times New Roman" w:hAnsi="Times New Roman"/>
                <w:sz w:val="24"/>
                <w:szCs w:val="24"/>
                <w:lang w:eastAsia="zh-CN"/>
              </w:rPr>
              <w:t>(IPS41724)</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NMNHS/ICP</w:t>
            </w:r>
          </w:p>
          <w:p>
            <w:pPr>
              <w:spacing w:after="0" w:line="360" w:lineRule="auto"/>
              <w:rPr>
                <w:rFonts w:ascii="Times New Roman" w:eastAsia="Times New Roman" w:hAnsi="Times New Roman"/>
                <w:sz w:val="24"/>
                <w:szCs w:val="24"/>
                <w:lang w:eastAsia="zh-CN"/>
              </w:rPr>
            </w:pP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shd w:val="clear" w:color="auto" w:fill="FFFFFF"/>
                <w:lang w:eastAsia="zh-CN"/>
              </w:rPr>
            </w:pPr>
            <w:r>
              <w:rPr>
                <w:rFonts w:ascii="Times New Roman" w:eastAsia="Times New Roman" w:hAnsi="Times New Roman"/>
                <w:sz w:val="24"/>
                <w:szCs w:val="24"/>
                <w:shd w:val="clear" w:color="auto" w:fill="FFFFFF"/>
                <w:lang w:eastAsia="zh-CN"/>
              </w:rPr>
              <w:t>Middle Miocene</w:t>
            </w:r>
          </w:p>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shd w:val="clear" w:color="auto" w:fill="FFFFFF"/>
                <w:lang w:eastAsia="zh-CN"/>
              </w:rPr>
              <w:t xml:space="preserve"> (11.9 Ma) </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lastRenderedPageBreak/>
              <w:t xml:space="preserve">Danuvius guggenmosi </w:t>
            </w:r>
            <w:r>
              <w:rPr>
                <w:rFonts w:ascii="Times New Roman" w:eastAsia="Times New Roman" w:hAnsi="Times New Roman"/>
                <w:sz w:val="24"/>
                <w:szCs w:val="24"/>
                <w:lang w:eastAsia="zh-CN"/>
              </w:rPr>
              <w:t>(GPIT/MA/10003)</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 GPIT</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Beginning of the Late Miocene (11.62 Ma)</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i/>
                <w:sz w:val="24"/>
                <w:szCs w:val="24"/>
                <w:lang w:eastAsia="zh-CN"/>
              </w:rPr>
              <w:t xml:space="preserve">Rudapithecus </w:t>
            </w:r>
            <w:r>
              <w:rPr>
                <w:rFonts w:ascii="Times New Roman" w:eastAsia="Times New Roman" w:hAnsi="Times New Roman"/>
                <w:sz w:val="24"/>
                <w:szCs w:val="24"/>
                <w:lang w:eastAsia="zh-CN"/>
              </w:rPr>
              <w:t>(male and female)</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2</w:t>
            </w:r>
          </w:p>
        </w:tc>
        <w:tc>
          <w:tcPr>
            <w:tcW w:w="2126" w:type="dxa"/>
            <w:tcBorders>
              <w:top w:val="single" w:sz="8" w:space="0" w:color="auto"/>
              <w:bottom w:val="single" w:sz="8" w:space="0" w:color="auto"/>
            </w:tcBorders>
          </w:tcPr>
          <w:p>
            <w:pPr>
              <w:spacing w:after="0" w:line="360" w:lineRule="auto"/>
              <w:contextualSpacing/>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SZTFH</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casts/original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Late Miocene</w:t>
            </w:r>
          </w:p>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(10-9.7 Ma)</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Hispanopithecus laeitanus</w:t>
            </w:r>
          </w:p>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 xml:space="preserve"> </w:t>
            </w:r>
            <w:r>
              <w:rPr>
                <w:rFonts w:ascii="Times New Roman" w:eastAsia="Times New Roman" w:hAnsi="Times New Roman"/>
                <w:sz w:val="24"/>
                <w:szCs w:val="24"/>
                <w:lang w:eastAsia="zh-CN"/>
              </w:rPr>
              <w:t xml:space="preserve">(IPS18800 left and right) </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2</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NMNHS/ICP</w:t>
            </w:r>
          </w:p>
          <w:p>
            <w:pPr>
              <w:spacing w:after="0" w:line="360" w:lineRule="auto"/>
              <w:rPr>
                <w:rFonts w:ascii="Times New Roman" w:eastAsia="Times New Roman" w:hAnsi="Times New Roman"/>
                <w:sz w:val="24"/>
                <w:szCs w:val="24"/>
                <w:lang w:eastAsia="zh-CN"/>
              </w:rPr>
            </w:pP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Late Miocene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Lufengpithecus lufengensis</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In Xu Q., Lu Q. (2007)</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photograph</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Late Miocene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 xml:space="preserve">Sahelanthropus tchadensis </w:t>
            </w:r>
          </w:p>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(TM 266-01-063)</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NMNHS</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Late Miocene</w:t>
            </w:r>
          </w:p>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(7 Ma)</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i/>
                <w:sz w:val="24"/>
                <w:szCs w:val="24"/>
                <w:lang w:eastAsia="zh-CN"/>
              </w:rPr>
              <w:t xml:space="preserve">Orrorin tugenensis </w:t>
            </w:r>
            <w:r>
              <w:rPr>
                <w:rFonts w:ascii="Times New Roman" w:eastAsia="Times New Roman" w:hAnsi="Times New Roman"/>
                <w:sz w:val="24"/>
                <w:szCs w:val="24"/>
                <w:lang w:eastAsia="zh-CN"/>
              </w:rPr>
              <w:t>(BAR1002'00)</w:t>
            </w:r>
          </w:p>
          <w:p>
            <w:pPr>
              <w:spacing w:after="0" w:line="360" w:lineRule="auto"/>
              <w:rPr>
                <w:rFonts w:ascii="Times New Roman" w:eastAsia="Times New Roman" w:hAnsi="Times New Roman"/>
                <w:i/>
                <w:sz w:val="24"/>
                <w:szCs w:val="24"/>
                <w:lang w:eastAsia="zh-CN"/>
              </w:rPr>
            </w:pPr>
            <w:r>
              <w:rPr>
                <w:rFonts w:ascii="Times New Roman" w:eastAsia="Times New Roman" w:hAnsi="Times New Roman"/>
                <w:sz w:val="24"/>
                <w:szCs w:val="24"/>
                <w:lang w:eastAsia="zh-CN"/>
              </w:rPr>
              <w:t>(BAR1003'00)</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2</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NMNHS</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Late Miocene (6 Ma)</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Australopithecus afarensis</w:t>
            </w:r>
          </w:p>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 xml:space="preserve"> </w:t>
            </w:r>
            <w:r>
              <w:rPr>
                <w:rFonts w:ascii="Times New Roman" w:eastAsia="Times New Roman" w:hAnsi="Times New Roman"/>
                <w:sz w:val="24"/>
                <w:szCs w:val="24"/>
                <w:lang w:eastAsia="zh-CN"/>
              </w:rPr>
              <w:t>(A.L.288-1)</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NMNHS/NME</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Pliocene</w:t>
            </w:r>
          </w:p>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 3.2 Ma)</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 xml:space="preserve">Australopithecus </w:t>
            </w:r>
            <w:r>
              <w:rPr>
                <w:rFonts w:ascii="Times New Roman" w:eastAsia="Times New Roman" w:hAnsi="Times New Roman"/>
                <w:sz w:val="24"/>
                <w:szCs w:val="24"/>
                <w:lang w:eastAsia="zh-CN"/>
              </w:rPr>
              <w:t>afarensis (A.L. 333-3)</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UTA</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Australopithecus</w:t>
            </w:r>
          </w:p>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africanus</w:t>
            </w:r>
          </w:p>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(StW 573)</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UTA</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photograph</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Early Pleistocene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iCs/>
                <w:sz w:val="24"/>
                <w:szCs w:val="24"/>
                <w:lang w:eastAsia="zh-CN"/>
              </w:rPr>
            </w:pPr>
            <w:r>
              <w:rPr>
                <w:rFonts w:ascii="Times New Roman" w:eastAsia="Times New Roman" w:hAnsi="Times New Roman"/>
                <w:i/>
                <w:iCs/>
                <w:sz w:val="24"/>
                <w:szCs w:val="24"/>
                <w:lang w:eastAsia="zh-CN"/>
              </w:rPr>
              <w:t>Paranthropus robustus</w:t>
            </w:r>
          </w:p>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lastRenderedPageBreak/>
              <w:t>(SK 82, and KNM-ER 736)</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lastRenderedPageBreak/>
              <w:t>2</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UTA</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casts</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Early Pleistocene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lastRenderedPageBreak/>
              <w:t>Homo habilis</w:t>
            </w:r>
          </w:p>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(KNM-ER 1472)</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UTA</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cast</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Early Pleistocene</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b/>
                <w:bCs/>
                <w:sz w:val="24"/>
                <w:szCs w:val="24"/>
                <w:lang w:eastAsia="zh-CN"/>
              </w:rPr>
              <w:t>Extant hominoids</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Homo sapiens</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6</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NMNHS</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late Antiquity</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Hylobatidae</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4</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MNHN</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Recent</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Pan paniscus</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15</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RMCA</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Recent</w:t>
            </w:r>
          </w:p>
        </w:tc>
      </w:tr>
      <w:tr>
        <w:tc>
          <w:tcPr>
            <w:tcW w:w="2836" w:type="dxa"/>
            <w:tcBorders>
              <w:top w:val="single" w:sz="8" w:space="0" w:color="auto"/>
              <w:bottom w:val="single" w:sz="8" w:space="0" w:color="auto"/>
            </w:tcBorders>
          </w:tcPr>
          <w:p>
            <w:pPr>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Pan troglodytes</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17</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NMNHS; RMCA; MNHN</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Recent</w:t>
            </w:r>
          </w:p>
        </w:tc>
      </w:tr>
      <w:tr>
        <w:tc>
          <w:tcPr>
            <w:tcW w:w="2836" w:type="dxa"/>
            <w:tcBorders>
              <w:top w:val="single" w:sz="8" w:space="0" w:color="auto"/>
              <w:bottom w:val="single" w:sz="8" w:space="0" w:color="auto"/>
            </w:tcBorders>
          </w:tcPr>
          <w:p>
            <w:pPr>
              <w:tabs>
                <w:tab w:val="right" w:pos="2006"/>
              </w:tabs>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 xml:space="preserve">Gorilla </w:t>
            </w:r>
            <w:r>
              <w:rPr>
                <w:rFonts w:ascii="Times New Roman" w:eastAsia="Times New Roman" w:hAnsi="Times New Roman"/>
                <w:sz w:val="24"/>
                <w:szCs w:val="24"/>
                <w:lang w:eastAsia="zh-CN"/>
              </w:rPr>
              <w:t>sp</w:t>
            </w:r>
            <w:r>
              <w:rPr>
                <w:rFonts w:ascii="Times New Roman" w:eastAsia="Times New Roman" w:hAnsi="Times New Roman"/>
                <w:i/>
                <w:sz w:val="24"/>
                <w:szCs w:val="24"/>
                <w:lang w:eastAsia="zh-CN"/>
              </w:rPr>
              <w:t>.</w:t>
            </w:r>
            <w:r>
              <w:rPr>
                <w:rFonts w:ascii="Times New Roman" w:eastAsia="Times New Roman" w:hAnsi="Times New Roman"/>
                <w:i/>
                <w:sz w:val="24"/>
                <w:szCs w:val="24"/>
                <w:lang w:eastAsia="zh-CN"/>
              </w:rPr>
              <w:tab/>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10</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RMCA; MNHN</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Recent</w:t>
            </w:r>
          </w:p>
        </w:tc>
      </w:tr>
      <w:tr>
        <w:tc>
          <w:tcPr>
            <w:tcW w:w="2836" w:type="dxa"/>
            <w:tcBorders>
              <w:top w:val="single" w:sz="8" w:space="0" w:color="auto"/>
              <w:bottom w:val="single" w:sz="8" w:space="0" w:color="auto"/>
            </w:tcBorders>
          </w:tcPr>
          <w:p>
            <w:pPr>
              <w:tabs>
                <w:tab w:val="right" w:pos="2006"/>
              </w:tabs>
              <w:spacing w:after="0" w:line="360" w:lineRule="auto"/>
              <w:rPr>
                <w:rFonts w:ascii="Times New Roman" w:eastAsia="Times New Roman" w:hAnsi="Times New Roman"/>
                <w:i/>
                <w:sz w:val="24"/>
                <w:szCs w:val="24"/>
                <w:lang w:eastAsia="zh-CN"/>
              </w:rPr>
            </w:pPr>
            <w:r>
              <w:rPr>
                <w:rFonts w:ascii="Times New Roman" w:eastAsia="Times New Roman" w:hAnsi="Times New Roman"/>
                <w:i/>
                <w:sz w:val="24"/>
                <w:szCs w:val="24"/>
                <w:lang w:eastAsia="zh-CN"/>
              </w:rPr>
              <w:t xml:space="preserve">Pongo </w:t>
            </w:r>
            <w:r>
              <w:rPr>
                <w:rFonts w:ascii="Times New Roman" w:eastAsia="Times New Roman" w:hAnsi="Times New Roman"/>
                <w:sz w:val="24"/>
                <w:szCs w:val="24"/>
                <w:lang w:eastAsia="zh-CN"/>
              </w:rPr>
              <w:t>sp</w:t>
            </w:r>
            <w:r>
              <w:rPr>
                <w:rFonts w:ascii="Times New Roman" w:eastAsia="Times New Roman" w:hAnsi="Times New Roman"/>
                <w:i/>
                <w:sz w:val="24"/>
                <w:szCs w:val="24"/>
                <w:lang w:eastAsia="zh-CN"/>
              </w:rPr>
              <w:t>.</w:t>
            </w:r>
          </w:p>
        </w:tc>
        <w:tc>
          <w:tcPr>
            <w:tcW w:w="709"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6</w:t>
            </w:r>
          </w:p>
        </w:tc>
        <w:tc>
          <w:tcPr>
            <w:tcW w:w="2126"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MNHN</w:t>
            </w:r>
          </w:p>
        </w:tc>
        <w:tc>
          <w:tcPr>
            <w:tcW w:w="1985"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original</w:t>
            </w:r>
          </w:p>
        </w:tc>
        <w:tc>
          <w:tcPr>
            <w:tcW w:w="1920" w:type="dxa"/>
            <w:tcBorders>
              <w:top w:val="single" w:sz="8" w:space="0" w:color="auto"/>
              <w:bottom w:val="single" w:sz="8" w:space="0" w:color="auto"/>
            </w:tcBorders>
          </w:tcPr>
          <w:p>
            <w:pPr>
              <w:spacing w:after="0" w:line="36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Recent</w:t>
            </w:r>
          </w:p>
        </w:tc>
      </w:tr>
    </w:tbl>
    <w:p>
      <w:pPr>
        <w:spacing w:after="0" w:line="480" w:lineRule="auto"/>
        <w:contextualSpacing/>
        <w:rPr>
          <w:rFonts w:ascii="Times New Roman" w:hAnsi="Times New Roman"/>
          <w:sz w:val="24"/>
          <w:szCs w:val="24"/>
          <w:lang w:val="bg-BG"/>
        </w:rPr>
      </w:pPr>
      <w:r>
        <w:rPr>
          <w:rFonts w:ascii="Times New Roman" w:hAnsi="Times New Roman"/>
          <w:b/>
          <w:bCs/>
          <w:sz w:val="24"/>
          <w:szCs w:val="24"/>
        </w:rPr>
        <w:br w:type="page"/>
      </w:r>
      <w:r>
        <w:rPr>
          <w:rFonts w:ascii="Times New Roman" w:hAnsi="Times New Roman"/>
          <w:b/>
          <w:bCs/>
          <w:sz w:val="24"/>
          <w:szCs w:val="24"/>
        </w:rPr>
        <w:lastRenderedPageBreak/>
        <w:t>SI Table 2.</w:t>
      </w:r>
      <w:r>
        <w:rPr>
          <w:rFonts w:ascii="Times New Roman" w:hAnsi="Times New Roman"/>
          <w:sz w:val="24"/>
          <w:szCs w:val="24"/>
        </w:rPr>
        <w:t xml:space="preserve"> All comparative femoral measurements taken on fossil and recent primates for the purposes of this study (</w:t>
      </w:r>
      <w:r>
        <w:rPr>
          <w:rFonts w:ascii="Times New Roman" w:hAnsi="Times New Roman"/>
          <w:i/>
          <w:sz w:val="24"/>
          <w:szCs w:val="24"/>
        </w:rPr>
        <w:t>NMNHS</w:t>
      </w:r>
      <w:r>
        <w:rPr>
          <w:rFonts w:ascii="Times New Roman" w:hAnsi="Times New Roman"/>
          <w:sz w:val="24"/>
          <w:szCs w:val="24"/>
        </w:rPr>
        <w:t xml:space="preserve">  National Museum of Natural History, Sofia; </w:t>
      </w:r>
      <w:r>
        <w:rPr>
          <w:rFonts w:ascii="Times New Roman" w:hAnsi="Times New Roman"/>
          <w:i/>
          <w:sz w:val="24"/>
          <w:szCs w:val="24"/>
        </w:rPr>
        <w:t>RMCA</w:t>
      </w:r>
      <w:r>
        <w:rPr>
          <w:rFonts w:ascii="Times New Roman" w:hAnsi="Times New Roman"/>
          <w:sz w:val="24"/>
          <w:szCs w:val="24"/>
        </w:rPr>
        <w:t xml:space="preserve">  Royal Museum for Central Africa; </w:t>
      </w:r>
      <w:r>
        <w:rPr>
          <w:rFonts w:ascii="Times New Roman" w:hAnsi="Times New Roman"/>
          <w:i/>
          <w:sz w:val="24"/>
          <w:szCs w:val="24"/>
        </w:rPr>
        <w:t>MNHN</w:t>
      </w:r>
      <w:r>
        <w:rPr>
          <w:rFonts w:ascii="Times New Roman" w:hAnsi="Times New Roman"/>
          <w:sz w:val="24"/>
          <w:szCs w:val="24"/>
        </w:rPr>
        <w:t xml:space="preserve">  Museum National d’Histoire naturelle, Paris; for fossil hominoids see SI table 1; for the abbreviations of the measurements see </w:t>
      </w:r>
      <w:r>
        <w:rPr>
          <w:rFonts w:ascii="Times New Roman" w:hAnsi="Times New Roman"/>
          <w:bCs/>
          <w:sz w:val="24"/>
          <w:szCs w:val="24"/>
        </w:rPr>
        <w:t>Figure2</w:t>
      </w:r>
      <w:r>
        <w:rPr>
          <w:rFonts w:ascii="Times New Roman" w:hAnsi="Times New Roman"/>
          <w:sz w:val="24"/>
          <w:szCs w:val="24"/>
        </w:rPr>
        <w:t xml:space="preserve">). </w:t>
      </w:r>
      <w:r>
        <w:rPr>
          <w:rFonts w:ascii="Times New Roman" w:hAnsi="Times New Roman"/>
          <w:i/>
          <w:sz w:val="24"/>
          <w:szCs w:val="24"/>
        </w:rPr>
        <w:t>FHW</w:t>
      </w:r>
      <w:r>
        <w:rPr>
          <w:rFonts w:ascii="Times New Roman" w:hAnsi="Times New Roman"/>
          <w:sz w:val="24"/>
          <w:szCs w:val="24"/>
        </w:rPr>
        <w:t xml:space="preserve">  Femoral head width (anteroposterior dimension of head), </w:t>
      </w:r>
      <w:r>
        <w:rPr>
          <w:rFonts w:ascii="Times New Roman" w:hAnsi="Times New Roman"/>
          <w:i/>
          <w:sz w:val="24"/>
          <w:szCs w:val="24"/>
        </w:rPr>
        <w:t>FHL</w:t>
      </w:r>
      <w:r>
        <w:rPr>
          <w:rFonts w:ascii="Times New Roman" w:hAnsi="Times New Roman"/>
          <w:sz w:val="24"/>
          <w:szCs w:val="24"/>
        </w:rPr>
        <w:t xml:space="preserve">  Femoral head length (mediolateral dimension of head), </w:t>
      </w:r>
      <w:r>
        <w:rPr>
          <w:rFonts w:ascii="Times New Roman" w:hAnsi="Times New Roman"/>
          <w:i/>
          <w:sz w:val="24"/>
          <w:szCs w:val="24"/>
        </w:rPr>
        <w:t>FHH</w:t>
      </w:r>
      <w:r>
        <w:rPr>
          <w:rFonts w:ascii="Times New Roman" w:hAnsi="Times New Roman"/>
          <w:sz w:val="24"/>
          <w:szCs w:val="24"/>
        </w:rPr>
        <w:t xml:space="preserve">  Femoral head height (proximodistal dimension of head), </w:t>
      </w:r>
      <w:r>
        <w:rPr>
          <w:rFonts w:ascii="Times New Roman" w:hAnsi="Times New Roman"/>
          <w:i/>
          <w:sz w:val="24"/>
          <w:szCs w:val="24"/>
        </w:rPr>
        <w:t>FNOL</w:t>
      </w:r>
      <w:r>
        <w:rPr>
          <w:rFonts w:ascii="Times New Roman" w:hAnsi="Times New Roman"/>
          <w:sz w:val="24"/>
          <w:szCs w:val="24"/>
        </w:rPr>
        <w:t xml:space="preserve"> (= Femoral neck oblique length) represents the ascending, oblique medial part of the proximal neck margin of the femur (see Fig. 2.2.), (from the most lateral point of the medial oblique portion of the neck until the lateral rim of the head), </w:t>
      </w:r>
      <w:r>
        <w:rPr>
          <w:rFonts w:ascii="Times New Roman" w:hAnsi="Times New Roman"/>
          <w:i/>
          <w:sz w:val="24"/>
          <w:szCs w:val="24"/>
        </w:rPr>
        <w:t>FMLW</w:t>
      </w:r>
      <w:r>
        <w:rPr>
          <w:rFonts w:ascii="Times New Roman" w:hAnsi="Times New Roman"/>
          <w:sz w:val="24"/>
          <w:szCs w:val="24"/>
        </w:rPr>
        <w:t xml:space="preserve">  Femoral shaft mediolateral width (mediolateral dimension of the shaft just below trochanter minor), </w:t>
      </w:r>
      <w:r>
        <w:rPr>
          <w:rFonts w:ascii="Times New Roman" w:hAnsi="Times New Roman"/>
          <w:i/>
          <w:sz w:val="24"/>
          <w:szCs w:val="24"/>
        </w:rPr>
        <w:t>FAPW</w:t>
      </w:r>
      <w:r>
        <w:rPr>
          <w:rFonts w:ascii="Times New Roman" w:hAnsi="Times New Roman"/>
          <w:sz w:val="24"/>
          <w:szCs w:val="24"/>
        </w:rPr>
        <w:t xml:space="preserve"> Femoral shaft anteroposterior width (anteroposterior dimension of the shaft just below trochanter minor), </w:t>
      </w:r>
      <w:r>
        <w:rPr>
          <w:rFonts w:ascii="Times New Roman" w:hAnsi="Times New Roman"/>
          <w:i/>
          <w:sz w:val="24"/>
          <w:szCs w:val="24"/>
        </w:rPr>
        <w:t>FINTRD</w:t>
      </w:r>
      <w:r>
        <w:rPr>
          <w:rFonts w:ascii="Times New Roman" w:hAnsi="Times New Roman"/>
          <w:sz w:val="24"/>
          <w:szCs w:val="24"/>
        </w:rPr>
        <w:t xml:space="preserve">  Femur inter-trochanter distance (distal point of trochanter minor to most proximal point of trochanter major), </w:t>
      </w:r>
      <w:r>
        <w:rPr>
          <w:rFonts w:ascii="Times New Roman" w:hAnsi="Times New Roman"/>
          <w:i/>
          <w:sz w:val="24"/>
          <w:szCs w:val="24"/>
        </w:rPr>
        <w:t>FTMIH</w:t>
      </w:r>
      <w:r>
        <w:rPr>
          <w:rFonts w:ascii="Times New Roman" w:hAnsi="Times New Roman"/>
          <w:sz w:val="24"/>
          <w:szCs w:val="24"/>
        </w:rPr>
        <w:t xml:space="preserve">  Femur trochanter minor height (proximodistal dimension of trochanter minor), </w:t>
      </w:r>
      <w:r>
        <w:rPr>
          <w:rFonts w:ascii="Times New Roman" w:hAnsi="Times New Roman"/>
          <w:i/>
          <w:sz w:val="24"/>
          <w:szCs w:val="24"/>
        </w:rPr>
        <w:t>FTMAH</w:t>
      </w:r>
      <w:r>
        <w:rPr>
          <w:rFonts w:ascii="Times New Roman" w:hAnsi="Times New Roman"/>
          <w:sz w:val="24"/>
          <w:szCs w:val="24"/>
        </w:rPr>
        <w:t xml:space="preserve">  Femur trochanter major height (from the most lateral point of the horizontal portion of the neck to the most proximal edge of the trochanter major), </w:t>
      </w:r>
      <w:r>
        <w:rPr>
          <w:rFonts w:ascii="Times New Roman" w:hAnsi="Times New Roman"/>
          <w:i/>
          <w:sz w:val="24"/>
          <w:szCs w:val="24"/>
        </w:rPr>
        <w:t>FTMAHD</w:t>
      </w:r>
      <w:r>
        <w:rPr>
          <w:rFonts w:ascii="Times New Roman" w:hAnsi="Times New Roman"/>
          <w:sz w:val="24"/>
          <w:szCs w:val="24"/>
        </w:rPr>
        <w:t xml:space="preserve">  Femur trochanter major-head distance (from the base of the medial surface of the trochanter major to the most lateral rim of the head), </w:t>
      </w:r>
      <w:r>
        <w:rPr>
          <w:rFonts w:ascii="Times New Roman" w:hAnsi="Times New Roman"/>
          <w:i/>
          <w:sz w:val="24"/>
          <w:szCs w:val="24"/>
        </w:rPr>
        <w:t>FTMIDSH</w:t>
      </w:r>
      <w:r>
        <w:rPr>
          <w:rFonts w:ascii="Times New Roman" w:hAnsi="Times New Roman"/>
          <w:sz w:val="24"/>
          <w:szCs w:val="24"/>
        </w:rPr>
        <w:t xml:space="preserve">  Femur trochanter minor distal height (from the top of the head to the most distal point of the trochanter minor), and </w:t>
      </w:r>
      <w:r>
        <w:rPr>
          <w:rFonts w:ascii="Times New Roman" w:hAnsi="Times New Roman"/>
          <w:i/>
          <w:sz w:val="24"/>
          <w:szCs w:val="24"/>
        </w:rPr>
        <w:t>FTMIPRH</w:t>
      </w:r>
      <w:r>
        <w:rPr>
          <w:rFonts w:ascii="Times New Roman" w:hAnsi="Times New Roman"/>
          <w:sz w:val="24"/>
          <w:szCs w:val="24"/>
        </w:rPr>
        <w:t xml:space="preserve">  Femur trochanter minor proximal height (from the top of the head to the most proximal point of the trochanter minor). Other measurements taken but not considered in the multivariate analyses: </w:t>
      </w:r>
      <w:r>
        <w:rPr>
          <w:rFonts w:ascii="Times New Roman" w:hAnsi="Times New Roman"/>
          <w:i/>
          <w:sz w:val="24"/>
          <w:szCs w:val="24"/>
        </w:rPr>
        <w:t>PNL</w:t>
      </w:r>
      <w:r>
        <w:rPr>
          <w:rFonts w:ascii="Times New Roman" w:hAnsi="Times New Roman"/>
          <w:sz w:val="24"/>
          <w:szCs w:val="24"/>
        </w:rPr>
        <w:t xml:space="preserve">  posterior neck length (from the middle point of the posterolateral rim of the head to the middle of the intertrochanteric crest, at the line of the neck), </w:t>
      </w:r>
      <w:r>
        <w:rPr>
          <w:rFonts w:ascii="Times New Roman" w:hAnsi="Times New Roman"/>
          <w:i/>
          <w:sz w:val="24"/>
          <w:szCs w:val="24"/>
        </w:rPr>
        <w:t>APNW</w:t>
      </w:r>
      <w:r>
        <w:rPr>
          <w:rFonts w:ascii="Times New Roman" w:hAnsi="Times New Roman"/>
          <w:sz w:val="24"/>
          <w:szCs w:val="24"/>
        </w:rPr>
        <w:t xml:space="preserve">  antero-posterior neck width (anteroposterior dimension of the neck), </w:t>
      </w:r>
      <w:r>
        <w:rPr>
          <w:rFonts w:ascii="Times New Roman" w:hAnsi="Times New Roman"/>
          <w:i/>
          <w:sz w:val="24"/>
          <w:szCs w:val="24"/>
        </w:rPr>
        <w:t>VDN</w:t>
      </w:r>
      <w:r>
        <w:rPr>
          <w:rFonts w:ascii="Times New Roman" w:hAnsi="Times New Roman"/>
          <w:sz w:val="24"/>
          <w:szCs w:val="24"/>
        </w:rPr>
        <w:t xml:space="preserve">  vertical depth of the neck (superoinferior dimension of the neck, perpendicular to the direction of the neck) and </w:t>
      </w:r>
      <w:r>
        <w:rPr>
          <w:rFonts w:ascii="Times New Roman" w:hAnsi="Times New Roman"/>
          <w:i/>
          <w:sz w:val="24"/>
          <w:szCs w:val="24"/>
        </w:rPr>
        <w:t>MMLW</w:t>
      </w:r>
      <w:r>
        <w:rPr>
          <w:rFonts w:ascii="Times New Roman" w:hAnsi="Times New Roman"/>
          <w:sz w:val="24"/>
          <w:szCs w:val="24"/>
        </w:rPr>
        <w:t xml:space="preserve">  </w:t>
      </w:r>
      <w:r>
        <w:rPr>
          <w:rFonts w:ascii="Times New Roman" w:hAnsi="Times New Roman"/>
          <w:sz w:val="24"/>
          <w:szCs w:val="24"/>
        </w:rPr>
        <w:lastRenderedPageBreak/>
        <w:t>maximal mediolateral width of the proximal femur (from the most lateral point of trochanter major to the most medial point of the head) [see separate Excel file]</w:t>
      </w:r>
    </w:p>
    <w:p>
      <w:pPr>
        <w:spacing w:after="0" w:line="360" w:lineRule="auto"/>
        <w:rPr>
          <w:rFonts w:ascii="Times New Roman" w:hAnsi="Times New Roman"/>
          <w:sz w:val="24"/>
          <w:szCs w:val="24"/>
        </w:rPr>
      </w:pPr>
    </w:p>
    <w:p>
      <w:pPr>
        <w:spacing w:after="0" w:line="360" w:lineRule="auto"/>
        <w:rPr>
          <w:rFonts w:ascii="Times New Roman" w:hAnsi="Times New Roman"/>
          <w:sz w:val="24"/>
          <w:szCs w:val="24"/>
        </w:rPr>
      </w:pPr>
    </w:p>
    <w:p>
      <w:pPr>
        <w:spacing w:after="0" w:line="480" w:lineRule="auto"/>
        <w:contextualSpacing/>
        <w:rPr>
          <w:rFonts w:ascii="Times New Roman" w:hAnsi="Times New Roman"/>
          <w:sz w:val="24"/>
          <w:szCs w:val="24"/>
        </w:rPr>
      </w:pPr>
      <w:r>
        <w:rPr>
          <w:rFonts w:ascii="Times New Roman" w:hAnsi="Times New Roman"/>
          <w:b/>
          <w:bCs/>
          <w:sz w:val="24"/>
          <w:szCs w:val="24"/>
        </w:rPr>
        <w:t>SI Table 3.</w:t>
      </w:r>
      <w:r>
        <w:rPr>
          <w:rFonts w:ascii="Times New Roman" w:hAnsi="Times New Roman"/>
          <w:sz w:val="24"/>
          <w:szCs w:val="24"/>
        </w:rPr>
        <w:t xml:space="preserve"> Body mass estimates of FM3549AZM6 using regressions from </w:t>
      </w:r>
      <w:r>
        <w:rPr>
          <w:rFonts w:ascii="Times New Roman" w:eastAsia="Times New Roman" w:hAnsi="Times New Roman"/>
          <w:sz w:val="24"/>
          <w:szCs w:val="24"/>
        </w:rPr>
        <w:t>Ruff (2002)</w:t>
      </w:r>
      <w:r>
        <w:rPr>
          <w:rFonts w:ascii="Times New Roman" w:hAnsi="Times New Roman"/>
          <w:sz w:val="24"/>
          <w:szCs w:val="24"/>
        </w:rPr>
        <w:t xml:space="preserve"> based on their chimpanzee sample, given the affinities of FM3549AZM6 in our PCA. Following (McHenry et al.1978) we tested variables for their scaling relationship with our sample of </w:t>
      </w:r>
      <w:r>
        <w:rPr>
          <w:rFonts w:ascii="Times New Roman" w:hAnsi="Times New Roman"/>
          <w:i/>
          <w:iCs/>
          <w:sz w:val="24"/>
          <w:szCs w:val="24"/>
        </w:rPr>
        <w:t>Pan troglodytes</w:t>
      </w:r>
      <w:r>
        <w:rPr>
          <w:rFonts w:ascii="Times New Roman" w:hAnsi="Times New Roman"/>
          <w:sz w:val="24"/>
          <w:szCs w:val="24"/>
        </w:rPr>
        <w:t>, selecting those with the closest scaling (relative to the geometric mean.) Those variables are femoral head superoinferior and anteroposterior dimensions and the</w:t>
      </w:r>
      <w:r>
        <w:rPr>
          <w:rFonts w:ascii="Arial" w:hAnsi="Arial" w:cs="Arial"/>
          <w:sz w:val="14"/>
          <w:szCs w:val="14"/>
        </w:rPr>
        <w:t xml:space="preserve"> </w:t>
      </w:r>
      <w:r>
        <w:rPr>
          <w:rFonts w:ascii="Times New Roman" w:hAnsi="Times New Roman"/>
          <w:sz w:val="24"/>
          <w:szCs w:val="24"/>
        </w:rPr>
        <w:t xml:space="preserve">subtrochanteric mediolateral dimension. These also have the highest correlation coefficients and lowest standard errors of the estimate in (McHenry et al.1978). Abbreviations: </w:t>
      </w:r>
      <w:r>
        <w:rPr>
          <w:rFonts w:ascii="Times New Roman" w:hAnsi="Times New Roman"/>
          <w:i/>
          <w:sz w:val="24"/>
          <w:szCs w:val="24"/>
        </w:rPr>
        <w:t>SIH</w:t>
      </w:r>
      <w:r>
        <w:rPr>
          <w:rFonts w:ascii="Times New Roman" w:hAnsi="Times New Roman"/>
          <w:sz w:val="24"/>
          <w:szCs w:val="24"/>
        </w:rPr>
        <w:t xml:space="preserve">  superoinferior diameter of the femoral head; </w:t>
      </w:r>
      <w:r>
        <w:rPr>
          <w:rFonts w:ascii="Times New Roman" w:hAnsi="Times New Roman"/>
          <w:i/>
          <w:sz w:val="24"/>
          <w:szCs w:val="24"/>
        </w:rPr>
        <w:t>APH</w:t>
      </w:r>
      <w:r>
        <w:rPr>
          <w:rFonts w:ascii="Times New Roman" w:hAnsi="Times New Roman"/>
          <w:sz w:val="24"/>
          <w:szCs w:val="24"/>
        </w:rPr>
        <w:t xml:space="preserve">  anteroposterior diameter of the femoral head; </w:t>
      </w:r>
      <w:r>
        <w:rPr>
          <w:rFonts w:ascii="Times New Roman" w:hAnsi="Times New Roman"/>
          <w:i/>
          <w:sz w:val="24"/>
          <w:szCs w:val="24"/>
        </w:rPr>
        <w:t>STML</w:t>
      </w:r>
      <w:r>
        <w:rPr>
          <w:rFonts w:ascii="Times New Roman" w:hAnsi="Times New Roman"/>
          <w:sz w:val="24"/>
          <w:szCs w:val="24"/>
        </w:rPr>
        <w:t xml:space="preserve">  subtrochanteric mediolateral diameter; </w:t>
      </w:r>
      <w:r>
        <w:rPr>
          <w:rFonts w:ascii="Times New Roman" w:hAnsi="Times New Roman"/>
          <w:i/>
          <w:sz w:val="24"/>
          <w:szCs w:val="24"/>
        </w:rPr>
        <w:t>PI</w:t>
      </w:r>
      <w:r>
        <w:rPr>
          <w:rFonts w:ascii="Times New Roman" w:hAnsi="Times New Roman"/>
          <w:sz w:val="24"/>
          <w:szCs w:val="24"/>
        </w:rPr>
        <w:t xml:space="preserve">- lower prediction interval value; </w:t>
      </w:r>
      <w:r>
        <w:rPr>
          <w:rFonts w:ascii="Times New Roman" w:hAnsi="Times New Roman"/>
          <w:i/>
          <w:sz w:val="24"/>
          <w:szCs w:val="24"/>
        </w:rPr>
        <w:t>PI+</w:t>
      </w:r>
      <w:r>
        <w:rPr>
          <w:rFonts w:ascii="Times New Roman" w:hAnsi="Times New Roman"/>
          <w:sz w:val="24"/>
          <w:szCs w:val="24"/>
        </w:rPr>
        <w:t xml:space="preserve"> upper prediction interval value</w:t>
      </w:r>
    </w:p>
    <w:p>
      <w:pPr>
        <w:spacing w:after="0" w:line="480" w:lineRule="auto"/>
        <w:contextualSpacing/>
        <w:rPr>
          <w:rFonts w:ascii="Times New Roman" w:hAnsi="Times New Roman"/>
          <w:sz w:val="24"/>
          <w:szCs w:val="24"/>
        </w:rPr>
      </w:pPr>
    </w:p>
    <w:tbl>
      <w:tblPr>
        <w:tblW w:w="8673" w:type="dxa"/>
        <w:tblCellMar>
          <w:left w:w="0" w:type="dxa"/>
          <w:right w:w="0" w:type="dxa"/>
        </w:tblCellMar>
        <w:tblLook w:val="04A0" w:firstRow="1" w:lastRow="0" w:firstColumn="1" w:lastColumn="0" w:noHBand="0" w:noVBand="1"/>
      </w:tblPr>
      <w:tblGrid>
        <w:gridCol w:w="1284"/>
        <w:gridCol w:w="3494"/>
        <w:gridCol w:w="768"/>
        <w:gridCol w:w="877"/>
        <w:gridCol w:w="1106"/>
        <w:gridCol w:w="572"/>
        <w:gridCol w:w="572"/>
      </w:tblGrid>
      <w:tr>
        <w:trPr>
          <w:trHeight w:val="312"/>
        </w:trPr>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pPr>
              <w:spacing w:after="0" w:line="360" w:lineRule="auto"/>
              <w:jc w:val="center"/>
              <w:rPr>
                <w:rFonts w:ascii="Times New Roman" w:hAnsi="Times New Roman"/>
                <w:sz w:val="24"/>
                <w:szCs w:val="24"/>
              </w:rPr>
            </w:pPr>
            <w:r>
              <w:rPr>
                <w:rFonts w:ascii="Times New Roman" w:hAnsi="Times New Roman"/>
                <w:sz w:val="24"/>
                <w:szCs w:val="24"/>
              </w:rPr>
              <w:t>Variable</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pPr>
              <w:spacing w:after="0" w:line="360" w:lineRule="auto"/>
              <w:jc w:val="center"/>
              <w:rPr>
                <w:rFonts w:ascii="Times New Roman" w:hAnsi="Times New Roman"/>
                <w:sz w:val="24"/>
                <w:szCs w:val="24"/>
              </w:rPr>
            </w:pPr>
            <w:r>
              <w:rPr>
                <w:rFonts w:ascii="Times New Roman" w:hAnsi="Times New Roman"/>
                <w:sz w:val="24"/>
                <w:szCs w:val="24"/>
              </w:rPr>
              <w:t>Regression &amp; correction</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pPr>
              <w:spacing w:after="0" w:line="360" w:lineRule="auto"/>
              <w:jc w:val="center"/>
              <w:rPr>
                <w:rFonts w:ascii="Times New Roman" w:hAnsi="Times New Roman"/>
                <w:sz w:val="24"/>
                <w:szCs w:val="24"/>
              </w:rPr>
            </w:pPr>
            <w:r>
              <w:rPr>
                <w:rFonts w:ascii="Times New Roman" w:hAnsi="Times New Roman"/>
                <w:sz w:val="24"/>
                <w:szCs w:val="24"/>
              </w:rPr>
              <w:t>Value</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pPr>
              <w:spacing w:after="0" w:line="360" w:lineRule="auto"/>
              <w:jc w:val="center"/>
              <w:rPr>
                <w:rFonts w:ascii="Times New Roman" w:hAnsi="Times New Roman"/>
                <w:sz w:val="24"/>
                <w:szCs w:val="24"/>
              </w:rPr>
            </w:pPr>
            <w:r>
              <w:rPr>
                <w:rFonts w:ascii="Times New Roman" w:hAnsi="Times New Roman"/>
                <w:sz w:val="24"/>
                <w:szCs w:val="24"/>
              </w:rPr>
              <w:t>x</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pPr>
              <w:spacing w:after="0" w:line="360" w:lineRule="auto"/>
              <w:jc w:val="center"/>
              <w:rPr>
                <w:rFonts w:ascii="Times New Roman" w:hAnsi="Times New Roman"/>
                <w:sz w:val="24"/>
                <w:szCs w:val="24"/>
              </w:rPr>
            </w:pPr>
            <w:r>
              <w:rPr>
                <w:rFonts w:ascii="Times New Roman" w:hAnsi="Times New Roman"/>
                <w:sz w:val="24"/>
                <w:szCs w:val="24"/>
              </w:rPr>
              <w:t>Estimate</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pPr>
              <w:spacing w:after="0" w:line="360" w:lineRule="auto"/>
              <w:jc w:val="center"/>
              <w:rPr>
                <w:rFonts w:ascii="Times New Roman" w:hAnsi="Times New Roman"/>
                <w:sz w:val="24"/>
                <w:szCs w:val="24"/>
              </w:rPr>
            </w:pPr>
            <w:r>
              <w:rPr>
                <w:rFonts w:ascii="Times New Roman" w:hAnsi="Times New Roman"/>
                <w:sz w:val="24"/>
                <w:szCs w:val="24"/>
              </w:rPr>
              <w:t>PI-</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pPr>
              <w:spacing w:after="0" w:line="360" w:lineRule="auto"/>
              <w:jc w:val="center"/>
              <w:rPr>
                <w:rFonts w:ascii="Times New Roman" w:hAnsi="Times New Roman"/>
                <w:sz w:val="24"/>
                <w:szCs w:val="24"/>
              </w:rPr>
            </w:pPr>
            <w:r>
              <w:rPr>
                <w:rFonts w:ascii="Times New Roman" w:hAnsi="Times New Roman"/>
                <w:sz w:val="24"/>
                <w:szCs w:val="24"/>
              </w:rPr>
              <w:t>PI+</w:t>
            </w:r>
          </w:p>
        </w:tc>
      </w:tr>
      <w:tr>
        <w:trPr>
          <w:trHeight w:val="312"/>
        </w:trPr>
        <w:tc>
          <w:tcPr>
            <w:tcW w:w="0" w:type="auto"/>
            <w:tcBorders>
              <w:top w:val="single" w:sz="4" w:space="0" w:color="auto"/>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SIH (1)</w:t>
            </w:r>
          </w:p>
        </w:tc>
        <w:tc>
          <w:tcPr>
            <w:tcW w:w="0" w:type="auto"/>
            <w:tcBorders>
              <w:top w:val="single" w:sz="4" w:space="0" w:color="auto"/>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 xml:space="preserve"> y=2.44x-4.60; QLME=1.01</w:t>
            </w:r>
          </w:p>
        </w:tc>
        <w:tc>
          <w:tcPr>
            <w:tcW w:w="0" w:type="auto"/>
            <w:tcBorders>
              <w:top w:val="single" w:sz="4" w:space="0" w:color="auto"/>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23.6</w:t>
            </w:r>
          </w:p>
        </w:tc>
        <w:tc>
          <w:tcPr>
            <w:tcW w:w="0" w:type="auto"/>
            <w:tcBorders>
              <w:top w:val="single" w:sz="4" w:space="0" w:color="auto"/>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3.1134</w:t>
            </w:r>
          </w:p>
        </w:tc>
        <w:tc>
          <w:tcPr>
            <w:tcW w:w="0" w:type="auto"/>
            <w:tcBorders>
              <w:top w:val="single" w:sz="4" w:space="0" w:color="auto"/>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22.7</w:t>
            </w:r>
          </w:p>
        </w:tc>
        <w:tc>
          <w:tcPr>
            <w:tcW w:w="0" w:type="auto"/>
            <w:tcBorders>
              <w:top w:val="single" w:sz="4" w:space="0" w:color="auto"/>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19.5</w:t>
            </w:r>
          </w:p>
        </w:tc>
        <w:tc>
          <w:tcPr>
            <w:tcW w:w="0" w:type="auto"/>
            <w:tcBorders>
              <w:top w:val="single" w:sz="4" w:space="0" w:color="auto"/>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27.1</w:t>
            </w:r>
          </w:p>
        </w:tc>
      </w:tr>
      <w:tr>
        <w:trPr>
          <w:trHeight w:val="312"/>
        </w:trPr>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APH (1)</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y=2.53x-5.03; QLME=1.01</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23.7</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2.9787</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19.9</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17.1</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23.6</w:t>
            </w:r>
          </w:p>
        </w:tc>
      </w:tr>
      <w:tr>
        <w:trPr>
          <w:trHeight w:val="312"/>
        </w:trPr>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STML (1)</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y=1.8x-2.05; QLME=1.02</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19</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3.2500</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26.3</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22.1</w:t>
            </w:r>
          </w:p>
        </w:tc>
        <w:tc>
          <w:tcPr>
            <w:tcW w:w="0" w:type="auto"/>
            <w:tcBorders>
              <w:top w:val="nil"/>
              <w:left w:val="nil"/>
              <w:bottom w:val="nil"/>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sz w:val="24"/>
                <w:szCs w:val="24"/>
              </w:rPr>
            </w:pPr>
            <w:r>
              <w:rPr>
                <w:rFonts w:ascii="Times New Roman" w:hAnsi="Times New Roman"/>
                <w:sz w:val="24"/>
                <w:szCs w:val="24"/>
              </w:rPr>
              <w:t>32.9</w:t>
            </w:r>
          </w:p>
        </w:tc>
      </w:tr>
      <w:tr>
        <w:trPr>
          <w:trHeight w:val="312"/>
        </w:trPr>
        <w:tc>
          <w:tcPr>
            <w:tcW w:w="0" w:type="auto"/>
            <w:tcBorders>
              <w:top w:val="nil"/>
              <w:left w:val="nil"/>
              <w:bottom w:val="single" w:sz="4" w:space="0" w:color="auto"/>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b/>
                <w:bCs/>
                <w:sz w:val="24"/>
                <w:szCs w:val="24"/>
              </w:rPr>
            </w:pPr>
            <w:r>
              <w:rPr>
                <w:rFonts w:ascii="Times New Roman" w:hAnsi="Times New Roman"/>
                <w:b/>
                <w:bCs/>
                <w:sz w:val="24"/>
                <w:szCs w:val="24"/>
              </w:rPr>
              <w:t>Mean</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b/>
                <w:bCs/>
                <w:sz w:val="24"/>
                <w:szCs w:val="24"/>
              </w:rPr>
            </w:pPr>
            <w:r>
              <w:rPr>
                <w:rFonts w:ascii="Times New Roman" w:hAnsi="Times New Roman"/>
                <w:b/>
                <w:bCs/>
                <w:sz w:val="24"/>
                <w:szCs w:val="24"/>
              </w:rPr>
              <w:t> </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b/>
                <w:bCs/>
                <w:sz w:val="24"/>
                <w:szCs w:val="24"/>
              </w:rPr>
            </w:pPr>
            <w:r>
              <w:rPr>
                <w:rFonts w:ascii="Times New Roman" w:hAnsi="Times New Roman"/>
                <w:b/>
                <w:bCs/>
                <w:sz w:val="24"/>
                <w:szCs w:val="24"/>
              </w:rPr>
              <w:t> </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b/>
                <w:bCs/>
                <w:sz w:val="24"/>
                <w:szCs w:val="24"/>
              </w:rPr>
            </w:pPr>
            <w:r>
              <w:rPr>
                <w:rFonts w:ascii="Times New Roman" w:hAnsi="Times New Roman"/>
                <w:b/>
                <w:bCs/>
                <w:sz w:val="24"/>
                <w:szCs w:val="24"/>
              </w:rPr>
              <w:t> </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b/>
                <w:bCs/>
                <w:sz w:val="24"/>
                <w:szCs w:val="24"/>
              </w:rPr>
            </w:pPr>
            <w:r>
              <w:rPr>
                <w:rFonts w:ascii="Times New Roman" w:hAnsi="Times New Roman"/>
                <w:b/>
                <w:bCs/>
                <w:sz w:val="24"/>
                <w:szCs w:val="24"/>
              </w:rPr>
              <w:t>23.0</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b/>
                <w:bCs/>
                <w:sz w:val="24"/>
                <w:szCs w:val="24"/>
              </w:rPr>
            </w:pPr>
            <w:r>
              <w:rPr>
                <w:rFonts w:ascii="Times New Roman" w:hAnsi="Times New Roman"/>
                <w:b/>
                <w:bCs/>
                <w:sz w:val="24"/>
                <w:szCs w:val="24"/>
              </w:rPr>
              <w:t>19.6</w:t>
            </w:r>
          </w:p>
        </w:tc>
        <w:tc>
          <w:tcPr>
            <w:tcW w:w="0" w:type="auto"/>
            <w:tcBorders>
              <w:top w:val="nil"/>
              <w:left w:val="nil"/>
              <w:bottom w:val="single" w:sz="4" w:space="0" w:color="auto"/>
              <w:right w:val="nil"/>
            </w:tcBorders>
            <w:noWrap/>
            <w:tcMar>
              <w:top w:w="15" w:type="dxa"/>
              <w:left w:w="15" w:type="dxa"/>
              <w:bottom w:w="0" w:type="dxa"/>
              <w:right w:w="15" w:type="dxa"/>
            </w:tcMar>
            <w:vAlign w:val="bottom"/>
            <w:hideMark/>
          </w:tcPr>
          <w:p>
            <w:pPr>
              <w:spacing w:after="0" w:line="360" w:lineRule="auto"/>
              <w:jc w:val="center"/>
              <w:rPr>
                <w:rFonts w:ascii="Times New Roman" w:hAnsi="Times New Roman"/>
                <w:b/>
                <w:bCs/>
                <w:sz w:val="24"/>
                <w:szCs w:val="24"/>
              </w:rPr>
            </w:pPr>
            <w:r>
              <w:rPr>
                <w:rFonts w:ascii="Times New Roman" w:hAnsi="Times New Roman"/>
                <w:b/>
                <w:bCs/>
                <w:sz w:val="24"/>
                <w:szCs w:val="24"/>
              </w:rPr>
              <w:t>27.9</w:t>
            </w:r>
          </w:p>
        </w:tc>
      </w:tr>
    </w:tbl>
    <w:p>
      <w:pPr>
        <w:spacing w:after="0" w:line="360" w:lineRule="auto"/>
        <w:rPr>
          <w:rFonts w:ascii="Times New Roman" w:hAnsi="Times New Roman"/>
          <w:sz w:val="24"/>
          <w:szCs w:val="24"/>
        </w:rPr>
      </w:pPr>
      <w:r>
        <w:rPr>
          <w:rFonts w:ascii="Times New Roman" w:hAnsi="Times New Roman"/>
          <w:sz w:val="24"/>
          <w:szCs w:val="24"/>
        </w:rPr>
        <w:br w:type="page"/>
      </w:r>
    </w:p>
    <w:p>
      <w:pPr>
        <w:spacing w:after="0" w:line="480" w:lineRule="auto"/>
        <w:contextualSpacing/>
        <w:rPr>
          <w:rFonts w:ascii="Times New Roman" w:hAnsi="Times New Roman"/>
          <w:sz w:val="24"/>
          <w:szCs w:val="24"/>
        </w:rPr>
      </w:pPr>
      <w:bookmarkStart w:id="0" w:name="_Hlk166249722"/>
      <w:r>
        <w:rPr>
          <w:rFonts w:ascii="Times New Roman" w:hAnsi="Times New Roman"/>
          <w:b/>
          <w:bCs/>
          <w:sz w:val="24"/>
          <w:szCs w:val="24"/>
        </w:rPr>
        <w:lastRenderedPageBreak/>
        <w:t>SI Table 4.</w:t>
      </w:r>
      <w:bookmarkEnd w:id="0"/>
      <w:r>
        <w:rPr>
          <w:rFonts w:ascii="Times New Roman" w:hAnsi="Times New Roman"/>
          <w:sz w:val="24"/>
          <w:szCs w:val="24"/>
        </w:rPr>
        <w:t xml:space="preserve"> Shapiro–Wilks tests of normality and Levene’s tests for homogeneity of variances of the most influential variables as derived from the PCAs. All Shapiro–Wilks tests of normality supported the null hypotheses for normal distribution (p &gt; 0.05). All Levene’s tests supported the null hypotheses of equal variances (p &gt; 0.05) </w:t>
      </w:r>
    </w:p>
    <w:p>
      <w:pPr>
        <w:spacing w:after="0" w:line="480" w:lineRule="auto"/>
        <w:contextualSpacing/>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3150"/>
        <w:gridCol w:w="2610"/>
      </w:tblGrid>
      <w:tr>
        <w:tc>
          <w:tcPr>
            <w:tcW w:w="1548" w:type="dxa"/>
          </w:tcPr>
          <w:p>
            <w:pPr>
              <w:spacing w:line="360" w:lineRule="auto"/>
              <w:contextualSpacing/>
              <w:rPr>
                <w:rFonts w:ascii="Times New Roman" w:eastAsia="Times New Roman" w:hAnsi="Times New Roman"/>
                <w:b/>
                <w:bCs/>
                <w:sz w:val="24"/>
                <w:szCs w:val="24"/>
              </w:rPr>
            </w:pPr>
            <w:r>
              <w:rPr>
                <w:rFonts w:ascii="Times New Roman" w:eastAsia="Times New Roman" w:hAnsi="Times New Roman"/>
                <w:b/>
                <w:bCs/>
                <w:sz w:val="24"/>
                <w:szCs w:val="24"/>
              </w:rPr>
              <w:t>variable</w:t>
            </w:r>
          </w:p>
        </w:tc>
        <w:tc>
          <w:tcPr>
            <w:tcW w:w="3150" w:type="dxa"/>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Shapiro–Wilks test p-value</w:t>
            </w:r>
          </w:p>
        </w:tc>
        <w:tc>
          <w:tcPr>
            <w:tcW w:w="2610" w:type="dxa"/>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Levene’s test p-value</w:t>
            </w:r>
          </w:p>
        </w:tc>
      </w:tr>
      <w:tr>
        <w:tc>
          <w:tcPr>
            <w:tcW w:w="1548" w:type="dxa"/>
            <w:vAlign w:val="center"/>
          </w:tcPr>
          <w:p>
            <w:pPr>
              <w:spacing w:line="360" w:lineRule="auto"/>
              <w:contextualSpacing/>
              <w:rPr>
                <w:rFonts w:ascii="Times New Roman" w:eastAsia="Times New Roman" w:hAnsi="Times New Roman"/>
                <w:b/>
                <w:bCs/>
                <w:sz w:val="24"/>
                <w:szCs w:val="24"/>
              </w:rPr>
            </w:pPr>
            <w:r>
              <w:rPr>
                <w:rFonts w:ascii="Times New Roman" w:eastAsia="Times New Roman" w:hAnsi="Times New Roman"/>
                <w:sz w:val="24"/>
                <w:szCs w:val="24"/>
              </w:rPr>
              <w:t>FHL</w:t>
            </w:r>
          </w:p>
        </w:tc>
        <w:tc>
          <w:tcPr>
            <w:tcW w:w="31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0.371</w:t>
            </w:r>
          </w:p>
        </w:tc>
        <w:tc>
          <w:tcPr>
            <w:tcW w:w="261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0.983</w:t>
            </w:r>
          </w:p>
        </w:tc>
      </w:tr>
      <w:tr>
        <w:tc>
          <w:tcPr>
            <w:tcW w:w="1548" w:type="dxa"/>
            <w:vAlign w:val="center"/>
          </w:tcPr>
          <w:p>
            <w:pPr>
              <w:spacing w:line="360" w:lineRule="auto"/>
              <w:contextualSpacing/>
              <w:rPr>
                <w:rFonts w:ascii="Times New Roman" w:eastAsia="Times New Roman" w:hAnsi="Times New Roman"/>
                <w:b/>
                <w:bCs/>
                <w:sz w:val="24"/>
                <w:szCs w:val="24"/>
              </w:rPr>
            </w:pPr>
            <w:r>
              <w:rPr>
                <w:rFonts w:ascii="Times New Roman" w:eastAsia="Times New Roman" w:hAnsi="Times New Roman"/>
                <w:sz w:val="24"/>
                <w:szCs w:val="24"/>
              </w:rPr>
              <w:t>FHW</w:t>
            </w:r>
          </w:p>
        </w:tc>
        <w:tc>
          <w:tcPr>
            <w:tcW w:w="31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0.624</w:t>
            </w:r>
          </w:p>
        </w:tc>
        <w:tc>
          <w:tcPr>
            <w:tcW w:w="261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0.311</w:t>
            </w:r>
          </w:p>
        </w:tc>
      </w:tr>
      <w:tr>
        <w:tc>
          <w:tcPr>
            <w:tcW w:w="1548" w:type="dxa"/>
            <w:vAlign w:val="center"/>
          </w:tcPr>
          <w:p>
            <w:pPr>
              <w:spacing w:line="360" w:lineRule="auto"/>
              <w:contextualSpacing/>
              <w:rPr>
                <w:rFonts w:ascii="Times New Roman" w:eastAsia="Times New Roman" w:hAnsi="Times New Roman"/>
                <w:b/>
                <w:bCs/>
                <w:sz w:val="24"/>
                <w:szCs w:val="24"/>
              </w:rPr>
            </w:pPr>
            <w:r>
              <w:rPr>
                <w:rFonts w:ascii="Times New Roman" w:eastAsia="Times New Roman" w:hAnsi="Times New Roman"/>
                <w:sz w:val="24"/>
                <w:szCs w:val="24"/>
              </w:rPr>
              <w:t>FHH</w:t>
            </w:r>
          </w:p>
        </w:tc>
        <w:tc>
          <w:tcPr>
            <w:tcW w:w="31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0.905</w:t>
            </w:r>
          </w:p>
        </w:tc>
        <w:tc>
          <w:tcPr>
            <w:tcW w:w="261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0.078</w:t>
            </w:r>
          </w:p>
        </w:tc>
      </w:tr>
      <w:tr>
        <w:tc>
          <w:tcPr>
            <w:tcW w:w="1548" w:type="dxa"/>
            <w:vAlign w:val="center"/>
          </w:tcPr>
          <w:p>
            <w:pPr>
              <w:spacing w:line="360" w:lineRule="auto"/>
              <w:contextualSpacing/>
              <w:rPr>
                <w:rFonts w:ascii="Times New Roman" w:eastAsia="Times New Roman" w:hAnsi="Times New Roman"/>
                <w:b/>
                <w:bCs/>
                <w:sz w:val="24"/>
                <w:szCs w:val="24"/>
              </w:rPr>
            </w:pPr>
            <w:r>
              <w:rPr>
                <w:rFonts w:ascii="Times New Roman" w:eastAsia="Times New Roman" w:hAnsi="Times New Roman"/>
                <w:sz w:val="24"/>
                <w:szCs w:val="24"/>
              </w:rPr>
              <w:t>FNOL</w:t>
            </w:r>
          </w:p>
        </w:tc>
        <w:tc>
          <w:tcPr>
            <w:tcW w:w="31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0.368</w:t>
            </w:r>
          </w:p>
        </w:tc>
        <w:tc>
          <w:tcPr>
            <w:tcW w:w="261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0.765</w:t>
            </w:r>
          </w:p>
        </w:tc>
      </w:tr>
      <w:tr>
        <w:tc>
          <w:tcPr>
            <w:tcW w:w="1548" w:type="dxa"/>
            <w:vAlign w:val="center"/>
          </w:tcPr>
          <w:p>
            <w:pPr>
              <w:spacing w:line="360" w:lineRule="auto"/>
              <w:contextualSpacing/>
              <w:rPr>
                <w:rFonts w:ascii="Times New Roman" w:eastAsia="Times New Roman" w:hAnsi="Times New Roman"/>
                <w:b/>
                <w:bCs/>
                <w:sz w:val="24"/>
                <w:szCs w:val="24"/>
              </w:rPr>
            </w:pPr>
            <w:r>
              <w:rPr>
                <w:rFonts w:ascii="Times New Roman" w:eastAsia="Times New Roman" w:hAnsi="Times New Roman"/>
                <w:sz w:val="24"/>
                <w:szCs w:val="24"/>
              </w:rPr>
              <w:t>FINTRD</w:t>
            </w:r>
          </w:p>
        </w:tc>
        <w:tc>
          <w:tcPr>
            <w:tcW w:w="31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0.117</w:t>
            </w:r>
          </w:p>
        </w:tc>
        <w:tc>
          <w:tcPr>
            <w:tcW w:w="261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0.715</w:t>
            </w:r>
          </w:p>
        </w:tc>
      </w:tr>
      <w:tr>
        <w:tc>
          <w:tcPr>
            <w:tcW w:w="1548" w:type="dxa"/>
            <w:vAlign w:val="center"/>
          </w:tcPr>
          <w:p>
            <w:pPr>
              <w:spacing w:line="360" w:lineRule="auto"/>
              <w:contextualSpacing/>
              <w:rPr>
                <w:rFonts w:ascii="Times New Roman" w:eastAsia="Times New Roman" w:hAnsi="Times New Roman"/>
                <w:b/>
                <w:bCs/>
                <w:sz w:val="24"/>
                <w:szCs w:val="24"/>
              </w:rPr>
            </w:pPr>
            <w:r>
              <w:rPr>
                <w:rFonts w:ascii="Times New Roman" w:eastAsia="Times New Roman" w:hAnsi="Times New Roman"/>
                <w:sz w:val="24"/>
                <w:szCs w:val="24"/>
              </w:rPr>
              <w:t>FTMAHD</w:t>
            </w:r>
          </w:p>
        </w:tc>
        <w:tc>
          <w:tcPr>
            <w:tcW w:w="31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0.543</w:t>
            </w:r>
          </w:p>
        </w:tc>
        <w:tc>
          <w:tcPr>
            <w:tcW w:w="261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0.492</w:t>
            </w:r>
          </w:p>
        </w:tc>
      </w:tr>
      <w:tr>
        <w:tc>
          <w:tcPr>
            <w:tcW w:w="1548" w:type="dxa"/>
            <w:vAlign w:val="center"/>
          </w:tcPr>
          <w:p>
            <w:pPr>
              <w:spacing w:line="360" w:lineRule="auto"/>
              <w:contextualSpacing/>
              <w:rPr>
                <w:rFonts w:ascii="Times New Roman" w:eastAsia="Times New Roman" w:hAnsi="Times New Roman"/>
                <w:b/>
                <w:bCs/>
                <w:sz w:val="24"/>
                <w:szCs w:val="24"/>
              </w:rPr>
            </w:pPr>
            <w:r>
              <w:rPr>
                <w:rFonts w:ascii="Times New Roman" w:eastAsia="Times New Roman" w:hAnsi="Times New Roman"/>
                <w:sz w:val="24"/>
                <w:szCs w:val="24"/>
              </w:rPr>
              <w:t>FTMIDSH</w:t>
            </w:r>
          </w:p>
        </w:tc>
        <w:tc>
          <w:tcPr>
            <w:tcW w:w="31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0.284</w:t>
            </w:r>
          </w:p>
        </w:tc>
        <w:tc>
          <w:tcPr>
            <w:tcW w:w="261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0.460</w:t>
            </w:r>
          </w:p>
        </w:tc>
      </w:tr>
      <w:tr>
        <w:tc>
          <w:tcPr>
            <w:tcW w:w="1548" w:type="dxa"/>
            <w:vAlign w:val="center"/>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FTMIPRH</w:t>
            </w:r>
          </w:p>
        </w:tc>
        <w:tc>
          <w:tcPr>
            <w:tcW w:w="31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0.449</w:t>
            </w:r>
          </w:p>
        </w:tc>
        <w:tc>
          <w:tcPr>
            <w:tcW w:w="261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0.859</w:t>
            </w:r>
          </w:p>
        </w:tc>
      </w:tr>
    </w:tbl>
    <w:p>
      <w:pPr>
        <w:spacing w:after="0" w:line="480" w:lineRule="auto"/>
        <w:rPr>
          <w:rFonts w:ascii="Times New Roman" w:hAnsi="Times New Roman"/>
          <w:b/>
          <w:sz w:val="24"/>
          <w:szCs w:val="24"/>
          <w:lang w:val="bg-BG"/>
        </w:rPr>
      </w:pPr>
    </w:p>
    <w:p>
      <w:pPr>
        <w:spacing w:after="0" w:line="360" w:lineRule="auto"/>
        <w:rPr>
          <w:rFonts w:ascii="Times New Roman" w:hAnsi="Times New Roman"/>
          <w:bCs/>
          <w:sz w:val="24"/>
          <w:szCs w:val="24"/>
        </w:rPr>
      </w:pPr>
      <w:r>
        <w:rPr>
          <w:rFonts w:ascii="Times New Roman" w:hAnsi="Times New Roman"/>
          <w:b/>
          <w:sz w:val="24"/>
          <w:szCs w:val="24"/>
          <w:lang w:val="bg-BG"/>
        </w:rPr>
        <w:br w:type="page"/>
      </w:r>
      <w:r>
        <w:rPr>
          <w:rFonts w:ascii="Times New Roman" w:hAnsi="Times New Roman"/>
          <w:b/>
          <w:bCs/>
          <w:sz w:val="24"/>
          <w:szCs w:val="24"/>
        </w:rPr>
        <w:lastRenderedPageBreak/>
        <w:t>SI Table 5.</w:t>
      </w:r>
      <w:r>
        <w:rPr>
          <w:rFonts w:ascii="Times New Roman" w:hAnsi="Times New Roman"/>
          <w:bCs/>
          <w:sz w:val="24"/>
          <w:szCs w:val="24"/>
        </w:rPr>
        <w:t xml:space="preserve"> Principal components analysis eigenvalues and contributions of the 12 variables on the first three principal components (PCs) representing </w:t>
      </w:r>
      <w:r>
        <w:rPr>
          <w:rFonts w:ascii="Times New Roman" w:eastAsia="Times New Roman" w:hAnsi="Times New Roman"/>
          <w:bCs/>
          <w:sz w:val="24"/>
          <w:szCs w:val="24"/>
        </w:rPr>
        <w:t xml:space="preserve">78.81 </w:t>
      </w:r>
      <w:r>
        <w:rPr>
          <w:rFonts w:ascii="Times New Roman" w:hAnsi="Times New Roman"/>
          <w:bCs/>
          <w:sz w:val="24"/>
          <w:szCs w:val="24"/>
        </w:rPr>
        <w:t>% of total variance. The most influential variables on the first three axes are marked in bold</w:t>
      </w:r>
    </w:p>
    <w:p>
      <w:pPr>
        <w:spacing w:after="0" w:line="360" w:lineRule="auto"/>
        <w:rPr>
          <w:rFonts w:ascii="Times New Roman" w:hAnsi="Times New Roman"/>
          <w:bCs/>
          <w:sz w:val="24"/>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8"/>
        <w:gridCol w:w="1350"/>
        <w:gridCol w:w="1440"/>
        <w:gridCol w:w="1440"/>
      </w:tblGrid>
      <w:tr>
        <w:tc>
          <w:tcPr>
            <w:tcW w:w="5418" w:type="dxa"/>
          </w:tcPr>
          <w:p>
            <w:pPr>
              <w:spacing w:line="360" w:lineRule="auto"/>
              <w:contextualSpacing/>
              <w:rPr>
                <w:rFonts w:ascii="Times New Roman" w:eastAsia="Times New Roman" w:hAnsi="Times New Roman"/>
                <w:sz w:val="24"/>
                <w:szCs w:val="24"/>
              </w:rPr>
            </w:pPr>
          </w:p>
        </w:tc>
        <w:tc>
          <w:tcPr>
            <w:tcW w:w="13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PC 1</w:t>
            </w:r>
          </w:p>
        </w:tc>
        <w:tc>
          <w:tcPr>
            <w:tcW w:w="144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PC 2</w:t>
            </w:r>
          </w:p>
        </w:tc>
        <w:tc>
          <w:tcPr>
            <w:tcW w:w="144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PC 3</w:t>
            </w:r>
          </w:p>
        </w:tc>
      </w:tr>
      <w:tr>
        <w:tc>
          <w:tcPr>
            <w:tcW w:w="5418" w:type="dxa"/>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Eigenvalue</w:t>
            </w:r>
          </w:p>
        </w:tc>
        <w:tc>
          <w:tcPr>
            <w:tcW w:w="13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0.05167</w:t>
            </w:r>
          </w:p>
        </w:tc>
        <w:tc>
          <w:tcPr>
            <w:tcW w:w="144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0.03917</w:t>
            </w:r>
          </w:p>
        </w:tc>
        <w:tc>
          <w:tcPr>
            <w:tcW w:w="1440" w:type="dxa"/>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0.01705</w:t>
            </w:r>
          </w:p>
        </w:tc>
      </w:tr>
      <w:tr>
        <w:tc>
          <w:tcPr>
            <w:tcW w:w="5418" w:type="dxa"/>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Total variance %</w:t>
            </w:r>
          </w:p>
        </w:tc>
        <w:tc>
          <w:tcPr>
            <w:tcW w:w="13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37.74</w:t>
            </w:r>
          </w:p>
        </w:tc>
        <w:tc>
          <w:tcPr>
            <w:tcW w:w="144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28.61</w:t>
            </w:r>
          </w:p>
        </w:tc>
        <w:tc>
          <w:tcPr>
            <w:tcW w:w="144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12.45</w:t>
            </w:r>
          </w:p>
        </w:tc>
      </w:tr>
      <w:tr>
        <w:tc>
          <w:tcPr>
            <w:tcW w:w="5418" w:type="dxa"/>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Cumulative variance % </w:t>
            </w:r>
          </w:p>
        </w:tc>
        <w:tc>
          <w:tcPr>
            <w:tcW w:w="135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39.12</w:t>
            </w:r>
          </w:p>
        </w:tc>
        <w:tc>
          <w:tcPr>
            <w:tcW w:w="144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66.36</w:t>
            </w:r>
          </w:p>
        </w:tc>
        <w:tc>
          <w:tcPr>
            <w:tcW w:w="1440" w:type="dxa"/>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78.81</w:t>
            </w:r>
          </w:p>
        </w:tc>
      </w:tr>
      <w:tr>
        <w:tc>
          <w:tcPr>
            <w:tcW w:w="5418" w:type="dxa"/>
            <w:vAlign w:val="center"/>
          </w:tcPr>
          <w:p>
            <w:pPr>
              <w:spacing w:line="360" w:lineRule="auto"/>
              <w:contextualSpacing/>
              <w:rPr>
                <w:rFonts w:ascii="Times New Roman" w:eastAsia="Times New Roman" w:hAnsi="Times New Roman"/>
                <w:b/>
                <w:bCs/>
                <w:sz w:val="24"/>
                <w:szCs w:val="24"/>
              </w:rPr>
            </w:pPr>
            <w:r>
              <w:rPr>
                <w:rFonts w:ascii="Times New Roman" w:eastAsia="Times New Roman" w:hAnsi="Times New Roman"/>
                <w:b/>
                <w:bCs/>
                <w:sz w:val="24"/>
                <w:szCs w:val="24"/>
              </w:rPr>
              <w:t>Contributions of variables</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sz w:val="24"/>
                <w:szCs w:val="24"/>
              </w:rPr>
            </w:pPr>
          </w:p>
        </w:tc>
      </w:tr>
      <w:tr>
        <w:tc>
          <w:tcPr>
            <w:tcW w:w="5418" w:type="dxa"/>
            <w:vAlign w:val="center"/>
          </w:tcPr>
          <w:p>
            <w:pPr>
              <w:spacing w:line="360" w:lineRule="auto"/>
              <w:contextualSpacing/>
              <w:rPr>
                <w:rFonts w:ascii="Times New Roman" w:eastAsia="Times New Roman" w:hAnsi="Times New Roman"/>
                <w:sz w:val="24"/>
                <w:szCs w:val="24"/>
              </w:rPr>
            </w:pPr>
            <w:bookmarkStart w:id="1" w:name="_Hlk65429694"/>
            <w:r>
              <w:rPr>
                <w:rFonts w:ascii="Times New Roman" w:eastAsia="Times New Roman" w:hAnsi="Times New Roman"/>
                <w:sz w:val="24"/>
                <w:szCs w:val="24"/>
              </w:rPr>
              <w:t>Femoral head width (FHW)</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0.002514</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0.011500</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0.215962</w:t>
            </w:r>
          </w:p>
        </w:tc>
      </w:tr>
      <w:tr>
        <w:tc>
          <w:tcPr>
            <w:tcW w:w="5418" w:type="dxa"/>
            <w:vAlign w:val="center"/>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Femoral head length (FHL)</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0.000137</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0.016999</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0.243213</w:t>
            </w:r>
          </w:p>
        </w:tc>
      </w:tr>
      <w:tr>
        <w:tc>
          <w:tcPr>
            <w:tcW w:w="5418" w:type="dxa"/>
            <w:vAlign w:val="center"/>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Femoral head height (FHH)</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0.002500</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0.014862</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0.218941</w:t>
            </w:r>
          </w:p>
        </w:tc>
      </w:tr>
      <w:tr>
        <w:tc>
          <w:tcPr>
            <w:tcW w:w="5418" w:type="dxa"/>
            <w:vAlign w:val="center"/>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Femoral neck oblique length (FNOL)</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0.002313</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0.237974</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0.043930</w:t>
            </w:r>
          </w:p>
        </w:tc>
      </w:tr>
      <w:tr>
        <w:tc>
          <w:tcPr>
            <w:tcW w:w="5418" w:type="dxa"/>
            <w:vAlign w:val="center"/>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Femoral shaft mediolateral width (FMLW)</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0.009344</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0.003353</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0.024669</w:t>
            </w:r>
          </w:p>
        </w:tc>
      </w:tr>
      <w:tr>
        <w:tc>
          <w:tcPr>
            <w:tcW w:w="5418" w:type="dxa"/>
            <w:vAlign w:val="center"/>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Femoral shaft anteroposterior width (FAPW)</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0.010995</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0.049908</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0.017865</w:t>
            </w:r>
          </w:p>
        </w:tc>
      </w:tr>
      <w:tr>
        <w:tc>
          <w:tcPr>
            <w:tcW w:w="5418" w:type="dxa"/>
            <w:vAlign w:val="center"/>
          </w:tcPr>
          <w:p>
            <w:pPr>
              <w:spacing w:line="360" w:lineRule="auto"/>
              <w:contextualSpacing/>
              <w:rPr>
                <w:rFonts w:ascii="Times New Roman" w:eastAsia="Times New Roman" w:hAnsi="Times New Roman"/>
                <w:sz w:val="24"/>
                <w:szCs w:val="24"/>
                <w:lang w:val="fr-FR"/>
              </w:rPr>
            </w:pPr>
            <w:r>
              <w:rPr>
                <w:rFonts w:ascii="Times New Roman" w:eastAsia="Times New Roman" w:hAnsi="Times New Roman"/>
                <w:sz w:val="24"/>
                <w:szCs w:val="24"/>
                <w:lang w:val="fr-FR"/>
              </w:rPr>
              <w:t>Femur inter-trochanter distance (FINTRD)</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0.156644</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0.243628</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0.053563</w:t>
            </w:r>
          </w:p>
        </w:tc>
      </w:tr>
      <w:tr>
        <w:tc>
          <w:tcPr>
            <w:tcW w:w="5418" w:type="dxa"/>
            <w:vAlign w:val="center"/>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Femur trochanter minor height (FTMIH)</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0.021644</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0.074833</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0.081097</w:t>
            </w:r>
          </w:p>
        </w:tc>
      </w:tr>
      <w:tr>
        <w:tc>
          <w:tcPr>
            <w:tcW w:w="5418" w:type="dxa"/>
            <w:vAlign w:val="center"/>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Femur trochanter major height (FTMAH)</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0.028548</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0.143587</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0.016129</w:t>
            </w:r>
          </w:p>
        </w:tc>
      </w:tr>
      <w:tr>
        <w:tc>
          <w:tcPr>
            <w:tcW w:w="5418" w:type="dxa"/>
            <w:vAlign w:val="center"/>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Femur trochanter major-head distance (FTMAHD)</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0.044336</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0.196633</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0.000061</w:t>
            </w:r>
          </w:p>
        </w:tc>
      </w:tr>
      <w:tr>
        <w:tc>
          <w:tcPr>
            <w:tcW w:w="5418" w:type="dxa"/>
            <w:vAlign w:val="center"/>
          </w:tcPr>
          <w:p>
            <w:pPr>
              <w:spacing w:line="360" w:lineRule="auto"/>
              <w:contextualSpacing/>
              <w:rPr>
                <w:rFonts w:ascii="Times New Roman" w:eastAsia="Times New Roman" w:hAnsi="Times New Roman"/>
                <w:sz w:val="24"/>
                <w:szCs w:val="24"/>
              </w:rPr>
            </w:pPr>
            <w:bookmarkStart w:id="2" w:name="_Hlk65436484"/>
            <w:r>
              <w:rPr>
                <w:rFonts w:ascii="Times New Roman" w:eastAsia="Times New Roman" w:hAnsi="Times New Roman"/>
                <w:sz w:val="24"/>
                <w:szCs w:val="24"/>
              </w:rPr>
              <w:t>Femur trochanter minor distal height (FTMIDSH)</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0.443097</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0.016860</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0.009326</w:t>
            </w:r>
          </w:p>
        </w:tc>
      </w:tr>
      <w:tr>
        <w:tc>
          <w:tcPr>
            <w:tcW w:w="5418" w:type="dxa"/>
            <w:vAlign w:val="center"/>
          </w:tcPr>
          <w:p>
            <w:pPr>
              <w:spacing w:line="360" w:lineRule="auto"/>
              <w:contextualSpacing/>
              <w:rPr>
                <w:rFonts w:ascii="Times New Roman" w:eastAsia="Times New Roman" w:hAnsi="Times New Roman"/>
                <w:sz w:val="24"/>
                <w:szCs w:val="24"/>
              </w:rPr>
            </w:pPr>
            <w:r>
              <w:rPr>
                <w:rFonts w:ascii="Times New Roman" w:eastAsia="Times New Roman" w:hAnsi="Times New Roman"/>
                <w:sz w:val="24"/>
                <w:szCs w:val="24"/>
              </w:rPr>
              <w:t>Femur trochanter minor proximal height (FTMIPRH)</w:t>
            </w:r>
          </w:p>
        </w:tc>
        <w:tc>
          <w:tcPr>
            <w:tcW w:w="135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sz w:val="24"/>
                <w:szCs w:val="24"/>
              </w:rPr>
            </w:pPr>
            <w:r>
              <w:rPr>
                <w:rFonts w:ascii="Times New Roman" w:eastAsia="Times New Roman" w:hAnsi="Times New Roman"/>
                <w:b/>
                <w:sz w:val="24"/>
                <w:szCs w:val="24"/>
              </w:rPr>
              <w:t>0.277927</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0.089864</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0.075243</w:t>
            </w:r>
          </w:p>
        </w:tc>
      </w:tr>
      <w:bookmarkEnd w:id="1"/>
      <w:bookmarkEnd w:id="2"/>
    </w:tbl>
    <w:p>
      <w:pPr>
        <w:spacing w:after="0" w:line="360" w:lineRule="auto"/>
        <w:contextualSpacing/>
        <w:rPr>
          <w:rFonts w:ascii="Times New Roman" w:hAnsi="Times New Roman"/>
          <w:noProof/>
          <w:sz w:val="24"/>
          <w:szCs w:val="24"/>
        </w:rPr>
      </w:pPr>
    </w:p>
    <w:p>
      <w:pPr>
        <w:spacing w:after="0" w:line="360" w:lineRule="auto"/>
        <w:contextualSpacing/>
        <w:rPr>
          <w:rFonts w:ascii="Times New Roman" w:hAnsi="Times New Roman"/>
          <w:noProof/>
          <w:sz w:val="24"/>
          <w:szCs w:val="24"/>
        </w:rPr>
      </w:pPr>
    </w:p>
    <w:p>
      <w:pPr>
        <w:spacing w:after="0" w:line="360" w:lineRule="auto"/>
        <w:contextualSpacing/>
        <w:rPr>
          <w:rFonts w:ascii="Times New Roman" w:hAnsi="Times New Roman"/>
          <w:noProof/>
          <w:sz w:val="24"/>
          <w:szCs w:val="24"/>
        </w:rPr>
      </w:pPr>
    </w:p>
    <w:p>
      <w:pPr>
        <w:spacing w:after="0" w:line="360" w:lineRule="auto"/>
        <w:contextualSpacing/>
        <w:rPr>
          <w:rFonts w:ascii="Times New Roman" w:hAnsi="Times New Roman"/>
          <w:sz w:val="24"/>
          <w:szCs w:val="24"/>
        </w:rPr>
      </w:pPr>
      <w:r>
        <w:rPr>
          <w:rFonts w:ascii="Times New Roman" w:hAnsi="Times New Roman"/>
          <w:b/>
          <w:bCs/>
          <w:sz w:val="24"/>
          <w:szCs w:val="24"/>
        </w:rPr>
        <w:t>SI Table 6.</w:t>
      </w:r>
      <w:r>
        <w:rPr>
          <w:rFonts w:ascii="Times New Roman" w:hAnsi="Times New Roman"/>
          <w:bCs/>
          <w:sz w:val="24"/>
          <w:szCs w:val="24"/>
        </w:rPr>
        <w:t xml:space="preserve"> </w:t>
      </w:r>
      <w:r>
        <w:rPr>
          <w:rFonts w:ascii="Times New Roman" w:hAnsi="Times New Roman"/>
          <w:sz w:val="24"/>
          <w:szCs w:val="24"/>
        </w:rPr>
        <w:t xml:space="preserve">Standardized coefficients of the variables and statistics of all five canonical variates (CVs) in the analysis including the species and genera of the extant sample  </w:t>
      </w:r>
    </w:p>
    <w:p>
      <w:pPr>
        <w:spacing w:after="0" w:line="360" w:lineRule="auto"/>
        <w:contextualSpacing/>
        <w:rPr>
          <w:rFonts w:ascii="Times New Roman" w:hAnsi="Times New Roman"/>
          <w:sz w:val="24"/>
          <w:szCs w:val="24"/>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260"/>
        <w:gridCol w:w="1530"/>
        <w:gridCol w:w="1260"/>
        <w:gridCol w:w="1260"/>
        <w:gridCol w:w="1260"/>
      </w:tblGrid>
      <w:tr>
        <w:trPr>
          <w:trHeight w:val="315"/>
        </w:trPr>
        <w:tc>
          <w:tcPr>
            <w:tcW w:w="2520" w:type="dxa"/>
            <w:noWrap/>
            <w:vAlign w:val="bottom"/>
            <w:hideMark/>
          </w:tcPr>
          <w:p>
            <w:pPr>
              <w:spacing w:after="0" w:line="240" w:lineRule="auto"/>
              <w:rPr>
                <w:rFonts w:ascii="Times New Roman" w:eastAsia="Times New Roman" w:hAnsi="Times New Roman"/>
                <w:sz w:val="24"/>
                <w:szCs w:val="24"/>
              </w:rPr>
            </w:pPr>
          </w:p>
        </w:tc>
        <w:tc>
          <w:tcPr>
            <w:tcW w:w="1260" w:type="dxa"/>
            <w:noWrap/>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CV1</w:t>
            </w:r>
          </w:p>
        </w:tc>
        <w:tc>
          <w:tcPr>
            <w:tcW w:w="1530" w:type="dxa"/>
            <w:noWrap/>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CV2</w:t>
            </w:r>
          </w:p>
        </w:tc>
        <w:tc>
          <w:tcPr>
            <w:tcW w:w="1260" w:type="dxa"/>
            <w:noWrap/>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CV3</w:t>
            </w:r>
          </w:p>
        </w:tc>
        <w:tc>
          <w:tcPr>
            <w:tcW w:w="1260" w:type="dxa"/>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CV4</w:t>
            </w:r>
          </w:p>
        </w:tc>
        <w:tc>
          <w:tcPr>
            <w:tcW w:w="1260" w:type="dxa"/>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CV5</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FHL</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0.48308</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-0.57008</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-0.473486</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0.303115</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-0.32915</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FHW</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-1.80300</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-0.31982</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-0.537814</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0.266577</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-2.53714</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FHH</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2.25025</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-0.33843</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0.380642</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-0.746410</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3.52878</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FNOL</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1.00683</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-0.97481</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0.762112</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0.131374</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0.78657</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FMLW</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0.33606</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0.51129</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0.538759</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-0.184469</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-0.61703</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FAPW</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-0.54736</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-0.87448</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0.303248</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-0.030034</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0.94021</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FINTRD</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0.26181</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-0.09875</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0.365344</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-0.181496</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-0.09989</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FTMIH</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-0.46695</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-0.47036</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0.317730</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-0.726415</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0.14702</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FTMAH</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0.27995</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-0.20852</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0.809900</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-0.054665</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1.03570</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FTMAHD</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0.32061</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-1.46958</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0.695475</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-0.622127</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0.41863</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FTMIDSH</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0.57861</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0.21048</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-0.104773</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0.145158</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0.60615</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FTMIPRH</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0.16577</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-0.85931</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0.755843</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-0.846176</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0.48572</w:t>
            </w:r>
          </w:p>
        </w:tc>
      </w:tr>
      <w:tr>
        <w:trPr>
          <w:trHeight w:val="315"/>
        </w:trPr>
        <w:tc>
          <w:tcPr>
            <w:tcW w:w="2520" w:type="dxa"/>
            <w:noWrap/>
            <w:vAlign w:val="center"/>
          </w:tcPr>
          <w:p>
            <w:pPr>
              <w:spacing w:after="0" w:line="240" w:lineRule="auto"/>
              <w:rPr>
                <w:rFonts w:ascii="Times New Roman" w:eastAsia="Times New Roman" w:hAnsi="Times New Roman"/>
                <w:sz w:val="24"/>
                <w:szCs w:val="24"/>
              </w:rPr>
            </w:pPr>
          </w:p>
        </w:tc>
        <w:tc>
          <w:tcPr>
            <w:tcW w:w="1260" w:type="dxa"/>
            <w:noWrap/>
            <w:vAlign w:val="center"/>
          </w:tcPr>
          <w:p>
            <w:pPr>
              <w:spacing w:after="0" w:line="240" w:lineRule="auto"/>
              <w:jc w:val="center"/>
              <w:rPr>
                <w:rFonts w:ascii="Times New Roman" w:eastAsia="Times New Roman" w:hAnsi="Times New Roman"/>
                <w:sz w:val="24"/>
                <w:szCs w:val="24"/>
              </w:rPr>
            </w:pPr>
          </w:p>
        </w:tc>
        <w:tc>
          <w:tcPr>
            <w:tcW w:w="1530" w:type="dxa"/>
            <w:noWrap/>
            <w:vAlign w:val="center"/>
          </w:tcPr>
          <w:p>
            <w:pPr>
              <w:spacing w:after="0" w:line="240" w:lineRule="auto"/>
              <w:jc w:val="center"/>
              <w:rPr>
                <w:rFonts w:ascii="Times New Roman" w:eastAsia="Times New Roman" w:hAnsi="Times New Roman"/>
                <w:sz w:val="24"/>
                <w:szCs w:val="24"/>
              </w:rPr>
            </w:pPr>
          </w:p>
        </w:tc>
        <w:tc>
          <w:tcPr>
            <w:tcW w:w="1260" w:type="dxa"/>
            <w:noWrap/>
            <w:vAlign w:val="center"/>
          </w:tcPr>
          <w:p>
            <w:pPr>
              <w:spacing w:after="0" w:line="240" w:lineRule="auto"/>
              <w:jc w:val="center"/>
              <w:rPr>
                <w:rFonts w:ascii="Times New Roman" w:eastAsia="Times New Roman" w:hAnsi="Times New Roman"/>
                <w:sz w:val="24"/>
                <w:szCs w:val="24"/>
              </w:rPr>
            </w:pPr>
          </w:p>
        </w:tc>
        <w:tc>
          <w:tcPr>
            <w:tcW w:w="1260" w:type="dxa"/>
            <w:vAlign w:val="center"/>
          </w:tcPr>
          <w:p>
            <w:pPr>
              <w:spacing w:after="0" w:line="240" w:lineRule="auto"/>
              <w:jc w:val="center"/>
              <w:rPr>
                <w:rFonts w:ascii="Times New Roman" w:eastAsia="Times New Roman" w:hAnsi="Times New Roman"/>
                <w:sz w:val="24"/>
                <w:szCs w:val="24"/>
              </w:rPr>
            </w:pPr>
          </w:p>
        </w:tc>
        <w:tc>
          <w:tcPr>
            <w:tcW w:w="1260" w:type="dxa"/>
            <w:vAlign w:val="center"/>
          </w:tcPr>
          <w:p>
            <w:pPr>
              <w:spacing w:after="0" w:line="240" w:lineRule="auto"/>
              <w:jc w:val="center"/>
              <w:rPr>
                <w:rFonts w:ascii="Times New Roman" w:eastAsia="Times New Roman" w:hAnsi="Times New Roman"/>
                <w:sz w:val="24"/>
                <w:szCs w:val="24"/>
              </w:rPr>
            </w:pP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Eigenvalue</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4.5376</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1.6310</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0.7286</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0.3046</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0.1350</w:t>
            </w:r>
          </w:p>
        </w:tc>
      </w:tr>
      <w:tr>
        <w:trPr>
          <w:trHeight w:val="315"/>
        </w:trPr>
        <w:tc>
          <w:tcPr>
            <w:tcW w:w="2520" w:type="dxa"/>
            <w:noWrap/>
            <w:vAlign w:val="center"/>
            <w:hideMark/>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Cumulative Proportion</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0.6184</w:t>
            </w:r>
          </w:p>
        </w:tc>
        <w:tc>
          <w:tcPr>
            <w:tcW w:w="153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0.8407</w:t>
            </w:r>
          </w:p>
        </w:tc>
        <w:tc>
          <w:tcPr>
            <w:tcW w:w="1260" w:type="dxa"/>
            <w:noWrap/>
            <w:vAlign w:val="center"/>
            <w:hideMark/>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0.9401</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0.9815</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hAnsi="Times New Roman"/>
                <w:sz w:val="24"/>
                <w:szCs w:val="24"/>
              </w:rPr>
              <w:t>1.0000</w:t>
            </w:r>
          </w:p>
        </w:tc>
      </w:tr>
      <w:tr>
        <w:trPr>
          <w:trHeight w:val="315"/>
        </w:trPr>
        <w:tc>
          <w:tcPr>
            <w:tcW w:w="2520" w:type="dxa"/>
            <w:noWrap/>
            <w:vAlign w:val="center"/>
          </w:tcPr>
          <w:p>
            <w:pPr>
              <w:spacing w:after="0" w:line="240" w:lineRule="auto"/>
              <w:rPr>
                <w:rFonts w:ascii="Times New Roman" w:hAnsi="Times New Roman"/>
                <w:sz w:val="24"/>
                <w:szCs w:val="24"/>
                <w:lang w:val="el-GR"/>
              </w:rPr>
            </w:pPr>
            <w:r>
              <w:rPr>
                <w:rFonts w:ascii="Times New Roman" w:eastAsia="Times New Roman" w:hAnsi="Times New Roman"/>
                <w:sz w:val="24"/>
                <w:szCs w:val="24"/>
              </w:rPr>
              <w:t xml:space="preserve">Wilk’s </w:t>
            </w:r>
            <w:r>
              <w:rPr>
                <w:rFonts w:ascii="Times New Roman" w:eastAsia="Times New Roman" w:hAnsi="Times New Roman"/>
                <w:sz w:val="24"/>
                <w:szCs w:val="24"/>
                <w:lang w:val="el-GR"/>
              </w:rPr>
              <w:t>λ</w:t>
            </w:r>
          </w:p>
        </w:tc>
        <w:tc>
          <w:tcPr>
            <w:tcW w:w="1260" w:type="dxa"/>
            <w:noWrap/>
            <w:vAlign w:val="center"/>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0.0268</w:t>
            </w:r>
          </w:p>
        </w:tc>
        <w:tc>
          <w:tcPr>
            <w:tcW w:w="1530" w:type="dxa"/>
            <w:noWrap/>
            <w:vAlign w:val="center"/>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0.7873</w:t>
            </w:r>
          </w:p>
        </w:tc>
        <w:tc>
          <w:tcPr>
            <w:tcW w:w="1260" w:type="dxa"/>
            <w:noWrap/>
            <w:vAlign w:val="center"/>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0.6492</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0.6753</w:t>
            </w:r>
          </w:p>
        </w:tc>
        <w:tc>
          <w:tcPr>
            <w:tcW w:w="1260" w:type="dxa"/>
            <w:vAlign w:val="center"/>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0.3449</w:t>
            </w:r>
          </w:p>
        </w:tc>
      </w:tr>
      <w:tr>
        <w:trPr>
          <w:trHeight w:val="315"/>
        </w:trPr>
        <w:tc>
          <w:tcPr>
            <w:tcW w:w="2520" w:type="dxa"/>
            <w:noWrap/>
            <w:vAlign w:val="center"/>
          </w:tcPr>
          <w:p>
            <w:pPr>
              <w:spacing w:after="0" w:line="240" w:lineRule="auto"/>
              <w:rPr>
                <w:rFonts w:ascii="Times New Roman" w:eastAsia="Times New Roman" w:hAnsi="Times New Roman"/>
                <w:sz w:val="24"/>
                <w:szCs w:val="24"/>
              </w:rPr>
            </w:pPr>
            <w:r>
              <w:rPr>
                <w:rFonts w:ascii="Times New Roman" w:eastAsia="Times New Roman" w:hAnsi="Times New Roman"/>
                <w:sz w:val="24"/>
                <w:szCs w:val="24"/>
              </w:rPr>
              <w:t>p-value</w:t>
            </w:r>
          </w:p>
        </w:tc>
        <w:tc>
          <w:tcPr>
            <w:tcW w:w="1260" w:type="dxa"/>
            <w:noWrap/>
            <w:vAlign w:val="center"/>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&lt; 0.001</w:t>
            </w:r>
          </w:p>
        </w:tc>
        <w:tc>
          <w:tcPr>
            <w:tcW w:w="1530" w:type="dxa"/>
            <w:noWrap/>
            <w:vAlign w:val="center"/>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&lt; 0.001</w:t>
            </w:r>
          </w:p>
        </w:tc>
        <w:tc>
          <w:tcPr>
            <w:tcW w:w="1260" w:type="dxa"/>
            <w:noWrap/>
            <w:vAlign w:val="center"/>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0.046</w:t>
            </w:r>
          </w:p>
        </w:tc>
        <w:tc>
          <w:tcPr>
            <w:tcW w:w="1260" w:type="dxa"/>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0.426</w:t>
            </w:r>
          </w:p>
        </w:tc>
        <w:tc>
          <w:tcPr>
            <w:tcW w:w="1260" w:type="dxa"/>
          </w:tcPr>
          <w:p>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0.652</w:t>
            </w:r>
          </w:p>
        </w:tc>
      </w:tr>
    </w:tbl>
    <w:p>
      <w:pPr>
        <w:spacing w:after="0" w:line="360" w:lineRule="auto"/>
        <w:ind w:firstLine="720"/>
        <w:contextualSpacing/>
        <w:rPr>
          <w:rFonts w:ascii="Times New Roman" w:hAnsi="Times New Roman"/>
          <w:sz w:val="24"/>
          <w:szCs w:val="24"/>
        </w:rPr>
      </w:pPr>
    </w:p>
    <w:p>
      <w:pPr>
        <w:spacing w:after="0" w:line="480" w:lineRule="auto"/>
        <w:rPr>
          <w:rFonts w:ascii="Times New Roman" w:hAnsi="Times New Roman"/>
          <w:b/>
          <w:sz w:val="24"/>
          <w:szCs w:val="24"/>
        </w:rPr>
      </w:pPr>
    </w:p>
    <w:p>
      <w:pPr>
        <w:spacing w:after="0" w:line="480" w:lineRule="auto"/>
        <w:rPr>
          <w:rFonts w:ascii="Times New Roman" w:hAnsi="Times New Roman"/>
          <w:b/>
          <w:sz w:val="24"/>
          <w:szCs w:val="24"/>
        </w:rPr>
      </w:pPr>
    </w:p>
    <w:p>
      <w:pPr>
        <w:spacing w:after="0" w:line="480" w:lineRule="auto"/>
        <w:rPr>
          <w:rFonts w:ascii="Times New Roman" w:hAnsi="Times New Roman"/>
          <w:sz w:val="24"/>
          <w:szCs w:val="24"/>
        </w:rPr>
      </w:pPr>
      <w:r>
        <w:rPr>
          <w:rFonts w:ascii="Times New Roman" w:hAnsi="Times New Roman"/>
          <w:b/>
          <w:bCs/>
          <w:sz w:val="24"/>
          <w:szCs w:val="24"/>
        </w:rPr>
        <w:lastRenderedPageBreak/>
        <w:t xml:space="preserve">SI Table 7. </w:t>
      </w:r>
      <w:r>
        <w:rPr>
          <w:rFonts w:ascii="Times New Roman" w:hAnsi="Times New Roman"/>
          <w:sz w:val="24"/>
          <w:szCs w:val="24"/>
        </w:rPr>
        <w:t xml:space="preserve">Discriminant function analysis (DFA) classification results: posterior probabilities for the classification of the fossil hominoid femora (Wilks' </w:t>
      </w:r>
      <w:r>
        <w:rPr>
          <w:rFonts w:ascii="Times New Roman" w:hAnsi="Times New Roman"/>
          <w:sz w:val="24"/>
          <w:szCs w:val="24"/>
          <w:lang w:val="el-GR"/>
        </w:rPr>
        <w:t>λ</w:t>
      </w:r>
      <w:r>
        <w:rPr>
          <w:rFonts w:ascii="Times New Roman" w:hAnsi="Times New Roman"/>
          <w:sz w:val="24"/>
          <w:szCs w:val="24"/>
        </w:rPr>
        <w:t xml:space="preserve"> = 0.0267, F </w:t>
      </w:r>
      <w:r>
        <w:rPr>
          <w:rFonts w:ascii="Times New Roman" w:hAnsi="Times New Roman"/>
          <w:sz w:val="24"/>
          <w:szCs w:val="24"/>
          <w:vertAlign w:val="subscript"/>
        </w:rPr>
        <w:t>(60,100)</w:t>
      </w:r>
      <w:r>
        <w:rPr>
          <w:rFonts w:ascii="Times New Roman" w:hAnsi="Times New Roman"/>
          <w:sz w:val="24"/>
          <w:szCs w:val="24"/>
        </w:rPr>
        <w:t xml:space="preserve"> = 5.837, p &lt; 0.001). Bold type indicates the highest probability for each studied fossil. The DFA used the same 12 standardized measurements. In comparison with the recent taxa the Azmaka femur is classified mainly as knuckle walker with a very high posterior probability and only </w:t>
      </w:r>
      <w:r>
        <w:rPr>
          <w:rFonts w:ascii="Times New Roman" w:hAnsi="Times New Roman"/>
          <w:i/>
          <w:sz w:val="24"/>
          <w:szCs w:val="24"/>
        </w:rPr>
        <w:t>Australopithecus</w:t>
      </w:r>
      <w:r>
        <w:rPr>
          <w:rFonts w:ascii="Times New Roman" w:hAnsi="Times New Roman"/>
          <w:sz w:val="24"/>
          <w:szCs w:val="24"/>
        </w:rPr>
        <w:t xml:space="preserve"> is classified as bipedal walker (= </w:t>
      </w:r>
      <w:r>
        <w:rPr>
          <w:rFonts w:ascii="Times New Roman" w:hAnsi="Times New Roman"/>
          <w:i/>
          <w:sz w:val="24"/>
          <w:szCs w:val="24"/>
        </w:rPr>
        <w:t>Homo</w:t>
      </w:r>
      <w:r>
        <w:rPr>
          <w:rFonts w:ascii="Times New Roman" w:hAnsi="Times New Roman"/>
          <w:sz w:val="24"/>
          <w:szCs w:val="24"/>
        </w:rPr>
        <w:t>)</w:t>
      </w:r>
    </w:p>
    <w:p>
      <w:pPr>
        <w:spacing w:after="0" w:line="480" w:lineRule="auto"/>
        <w:rPr>
          <w:rFonts w:ascii="Times New Roman" w:hAnsi="Times New Roman"/>
          <w:sz w:val="24"/>
          <w:szCs w:val="24"/>
        </w:rPr>
      </w:pPr>
    </w:p>
    <w:tbl>
      <w:tblPr>
        <w:tblW w:w="7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5"/>
        <w:gridCol w:w="1793"/>
        <w:gridCol w:w="2160"/>
        <w:gridCol w:w="1890"/>
      </w:tblGrid>
      <w:tr>
        <w:tc>
          <w:tcPr>
            <w:tcW w:w="1825" w:type="dxa"/>
          </w:tcPr>
          <w:p>
            <w:pPr>
              <w:spacing w:line="360" w:lineRule="auto"/>
              <w:contextualSpacing/>
              <w:rPr>
                <w:rFonts w:ascii="Times New Roman" w:eastAsia="Times New Roman" w:hAnsi="Times New Roman"/>
              </w:rPr>
            </w:pPr>
          </w:p>
        </w:tc>
        <w:tc>
          <w:tcPr>
            <w:tcW w:w="1793" w:type="dxa"/>
          </w:tcPr>
          <w:p>
            <w:pPr>
              <w:spacing w:line="360" w:lineRule="auto"/>
              <w:contextualSpacing/>
              <w:jc w:val="center"/>
              <w:rPr>
                <w:rFonts w:ascii="Times New Roman" w:eastAsia="Times New Roman" w:hAnsi="Times New Roman"/>
              </w:rPr>
            </w:pPr>
            <w:r>
              <w:rPr>
                <w:rFonts w:ascii="Times New Roman" w:eastAsia="Times New Roman" w:hAnsi="Times New Roman"/>
              </w:rPr>
              <w:t>Bipedal walkers</w:t>
            </w:r>
          </w:p>
        </w:tc>
        <w:tc>
          <w:tcPr>
            <w:tcW w:w="2160" w:type="dxa"/>
          </w:tcPr>
          <w:p>
            <w:pPr>
              <w:spacing w:line="360" w:lineRule="auto"/>
              <w:contextualSpacing/>
              <w:jc w:val="center"/>
              <w:rPr>
                <w:rFonts w:ascii="Times New Roman" w:eastAsia="Times New Roman" w:hAnsi="Times New Roman"/>
              </w:rPr>
            </w:pPr>
            <w:r>
              <w:rPr>
                <w:rFonts w:ascii="Times New Roman" w:eastAsia="Times New Roman" w:hAnsi="Times New Roman"/>
              </w:rPr>
              <w:t>Arboreal suspensory</w:t>
            </w:r>
          </w:p>
        </w:tc>
        <w:tc>
          <w:tcPr>
            <w:tcW w:w="1890" w:type="dxa"/>
          </w:tcPr>
          <w:p>
            <w:pPr>
              <w:spacing w:line="360" w:lineRule="auto"/>
              <w:contextualSpacing/>
              <w:jc w:val="center"/>
              <w:rPr>
                <w:rFonts w:ascii="Times New Roman" w:eastAsia="Times New Roman" w:hAnsi="Times New Roman"/>
              </w:rPr>
            </w:pPr>
            <w:r>
              <w:rPr>
                <w:rFonts w:ascii="Times New Roman" w:eastAsia="Times New Roman" w:hAnsi="Times New Roman"/>
              </w:rPr>
              <w:t>Knuckle walkers</w:t>
            </w:r>
          </w:p>
        </w:tc>
      </w:tr>
      <w:tr>
        <w:tc>
          <w:tcPr>
            <w:tcW w:w="1825" w:type="dxa"/>
          </w:tcPr>
          <w:p>
            <w:pPr>
              <w:spacing w:line="360" w:lineRule="auto"/>
              <w:contextualSpacing/>
              <w:rPr>
                <w:rFonts w:ascii="Times New Roman" w:eastAsia="Times New Roman" w:hAnsi="Times New Roman"/>
              </w:rPr>
            </w:pPr>
            <w:r>
              <w:rPr>
                <w:rFonts w:ascii="Times New Roman" w:eastAsia="Times New Roman" w:hAnsi="Times New Roman"/>
              </w:rPr>
              <w:t>Azmaka femur</w:t>
            </w:r>
          </w:p>
        </w:tc>
        <w:tc>
          <w:tcPr>
            <w:tcW w:w="1793"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0.010268</w:t>
            </w:r>
          </w:p>
        </w:tc>
        <w:tc>
          <w:tcPr>
            <w:tcW w:w="216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sz w:val="24"/>
                <w:szCs w:val="24"/>
              </w:rPr>
              <w:t>0.001702</w:t>
            </w:r>
          </w:p>
        </w:tc>
        <w:tc>
          <w:tcPr>
            <w:tcW w:w="189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0.988029</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Paidopithex</w:t>
            </w:r>
          </w:p>
        </w:tc>
        <w:tc>
          <w:tcPr>
            <w:tcW w:w="1793"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0.000000</w:t>
            </w:r>
          </w:p>
        </w:tc>
        <w:tc>
          <w:tcPr>
            <w:tcW w:w="216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sz w:val="24"/>
                <w:szCs w:val="24"/>
              </w:rPr>
              <w:t>0.016563</w:t>
            </w:r>
          </w:p>
        </w:tc>
        <w:tc>
          <w:tcPr>
            <w:tcW w:w="189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0.983437</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Dryopithecus</w:t>
            </w:r>
          </w:p>
        </w:tc>
        <w:tc>
          <w:tcPr>
            <w:tcW w:w="1793"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0.000000</w:t>
            </w:r>
          </w:p>
        </w:tc>
        <w:tc>
          <w:tcPr>
            <w:tcW w:w="216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sz w:val="24"/>
                <w:szCs w:val="24"/>
              </w:rPr>
            </w:pPr>
            <w:r>
              <w:rPr>
                <w:rFonts w:ascii="Times New Roman" w:eastAsia="Times New Roman" w:hAnsi="Times New Roman"/>
                <w:sz w:val="24"/>
                <w:szCs w:val="24"/>
              </w:rPr>
              <w:t>0.256702</w:t>
            </w:r>
          </w:p>
        </w:tc>
        <w:tc>
          <w:tcPr>
            <w:tcW w:w="189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0.743298</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Hispanopithecus</w:t>
            </w:r>
          </w:p>
        </w:tc>
        <w:tc>
          <w:tcPr>
            <w:tcW w:w="1793"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0.000000</w:t>
            </w:r>
          </w:p>
        </w:tc>
        <w:tc>
          <w:tcPr>
            <w:tcW w:w="216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sz w:val="24"/>
                <w:szCs w:val="24"/>
              </w:rPr>
              <w:t>0.018028</w:t>
            </w:r>
          </w:p>
        </w:tc>
        <w:tc>
          <w:tcPr>
            <w:tcW w:w="189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0.981972</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Orrorin</w:t>
            </w:r>
          </w:p>
        </w:tc>
        <w:tc>
          <w:tcPr>
            <w:tcW w:w="1793"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sz w:val="24"/>
                <w:szCs w:val="24"/>
              </w:rPr>
              <w:t>0.000003</w:t>
            </w:r>
          </w:p>
        </w:tc>
        <w:tc>
          <w:tcPr>
            <w:tcW w:w="216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0.040883</w:t>
            </w:r>
          </w:p>
        </w:tc>
        <w:tc>
          <w:tcPr>
            <w:tcW w:w="189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0.959114</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Australopithecus</w:t>
            </w:r>
          </w:p>
        </w:tc>
        <w:tc>
          <w:tcPr>
            <w:tcW w:w="1793"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1.000000</w:t>
            </w:r>
          </w:p>
        </w:tc>
        <w:tc>
          <w:tcPr>
            <w:tcW w:w="216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0.000000</w:t>
            </w:r>
          </w:p>
        </w:tc>
        <w:tc>
          <w:tcPr>
            <w:tcW w:w="189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0.000000</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Danuvius</w:t>
            </w:r>
          </w:p>
        </w:tc>
        <w:tc>
          <w:tcPr>
            <w:tcW w:w="1793"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0.000000</w:t>
            </w:r>
          </w:p>
        </w:tc>
        <w:tc>
          <w:tcPr>
            <w:tcW w:w="216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0.137208</w:t>
            </w:r>
          </w:p>
        </w:tc>
        <w:tc>
          <w:tcPr>
            <w:tcW w:w="189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0.862792</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Paranthropus</w:t>
            </w:r>
          </w:p>
        </w:tc>
        <w:tc>
          <w:tcPr>
            <w:tcW w:w="1793"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0.867222</w:t>
            </w:r>
          </w:p>
        </w:tc>
        <w:tc>
          <w:tcPr>
            <w:tcW w:w="216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0.002313</w:t>
            </w:r>
          </w:p>
        </w:tc>
        <w:tc>
          <w:tcPr>
            <w:tcW w:w="189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0.130466</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Equatorius</w:t>
            </w:r>
          </w:p>
        </w:tc>
        <w:tc>
          <w:tcPr>
            <w:tcW w:w="1793"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0.000007</w:t>
            </w:r>
          </w:p>
        </w:tc>
        <w:tc>
          <w:tcPr>
            <w:tcW w:w="216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0.009929</w:t>
            </w:r>
          </w:p>
        </w:tc>
        <w:tc>
          <w:tcPr>
            <w:tcW w:w="1890" w:type="dxa"/>
            <w:tcBorders>
              <w:top w:val="outset" w:sz="6" w:space="0" w:color="auto"/>
              <w:left w:val="outset" w:sz="6" w:space="0" w:color="auto"/>
              <w:bottom w:val="outset" w:sz="6" w:space="0" w:color="auto"/>
              <w:right w:val="outset" w:sz="6" w:space="0" w:color="auto"/>
            </w:tcBorders>
            <w:vAlign w:val="center"/>
          </w:tcPr>
          <w:p>
            <w:pPr>
              <w:spacing w:line="36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0.990064</w:t>
            </w:r>
          </w:p>
        </w:tc>
      </w:tr>
    </w:tbl>
    <w:p>
      <w:pPr>
        <w:spacing w:after="0" w:line="480" w:lineRule="auto"/>
        <w:rPr>
          <w:rFonts w:ascii="Times New Roman" w:hAnsi="Times New Roman"/>
          <w:sz w:val="24"/>
          <w:szCs w:val="24"/>
        </w:rPr>
      </w:pPr>
      <w:r>
        <w:rPr>
          <w:rFonts w:ascii="Times New Roman" w:hAnsi="Times New Roman"/>
          <w:b/>
          <w:sz w:val="24"/>
          <w:szCs w:val="24"/>
        </w:rPr>
        <w:br w:type="page"/>
      </w:r>
      <w:r>
        <w:rPr>
          <w:rFonts w:ascii="Times New Roman" w:hAnsi="Times New Roman"/>
          <w:b/>
          <w:bCs/>
          <w:sz w:val="24"/>
          <w:szCs w:val="24"/>
        </w:rPr>
        <w:lastRenderedPageBreak/>
        <w:t xml:space="preserve">SI Table 8. </w:t>
      </w:r>
      <w:r>
        <w:rPr>
          <w:rFonts w:ascii="Times New Roman" w:hAnsi="Times New Roman"/>
          <w:sz w:val="24"/>
          <w:szCs w:val="24"/>
        </w:rPr>
        <w:t xml:space="preserve">Discriminant function analysis (DFA) classification results: posterior probabilities for the classification of the fossil hominoid femora (Wilks' Lambda = 0.0268, F </w:t>
      </w:r>
      <w:r>
        <w:rPr>
          <w:rFonts w:ascii="Times New Roman" w:hAnsi="Times New Roman"/>
          <w:sz w:val="24"/>
          <w:szCs w:val="24"/>
          <w:vertAlign w:val="subscript"/>
        </w:rPr>
        <w:t>(60,191)</w:t>
      </w:r>
      <w:r>
        <w:rPr>
          <w:rFonts w:ascii="Times New Roman" w:hAnsi="Times New Roman"/>
          <w:sz w:val="24"/>
          <w:szCs w:val="24"/>
        </w:rPr>
        <w:t xml:space="preserve"> = 3.713, p &lt; 0.0001). Bold type indicates the highest probability for each studied fossil.  The DFA used the same 12 standardized measurements. The Azmaka femur is classified mainly as a bonobo (</w:t>
      </w:r>
      <w:r>
        <w:rPr>
          <w:rFonts w:ascii="Times New Roman" w:hAnsi="Times New Roman"/>
          <w:i/>
          <w:iCs/>
          <w:sz w:val="24"/>
          <w:szCs w:val="24"/>
        </w:rPr>
        <w:t>Pan paniscus</w:t>
      </w:r>
      <w:r>
        <w:rPr>
          <w:rFonts w:ascii="Times New Roman" w:hAnsi="Times New Roman"/>
          <w:sz w:val="24"/>
          <w:szCs w:val="24"/>
        </w:rPr>
        <w:t xml:space="preserve">) with a very high posterior probability </w:t>
      </w:r>
    </w:p>
    <w:p>
      <w:pPr>
        <w:spacing w:after="0" w:line="480" w:lineRule="auto"/>
        <w:rPr>
          <w:rFonts w:ascii="Times New Roman" w:hAnsi="Times New Roman"/>
          <w:sz w:val="24"/>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1132"/>
        <w:gridCol w:w="1201"/>
        <w:gridCol w:w="1440"/>
        <w:gridCol w:w="1620"/>
        <w:gridCol w:w="1170"/>
        <w:gridCol w:w="1260"/>
      </w:tblGrid>
      <w:tr>
        <w:tc>
          <w:tcPr>
            <w:tcW w:w="1825" w:type="dxa"/>
          </w:tcPr>
          <w:p>
            <w:pPr>
              <w:spacing w:line="360" w:lineRule="auto"/>
              <w:contextualSpacing/>
              <w:rPr>
                <w:rFonts w:ascii="Times New Roman" w:eastAsia="Times New Roman" w:hAnsi="Times New Roman"/>
              </w:rPr>
            </w:pPr>
            <w:r>
              <w:rPr>
                <w:rFonts w:ascii="Times New Roman" w:hAnsi="Times New Roman"/>
                <w:b/>
                <w:bCs/>
                <w:sz w:val="24"/>
                <w:szCs w:val="24"/>
              </w:rPr>
              <w:t xml:space="preserve"> </w:t>
            </w:r>
          </w:p>
        </w:tc>
        <w:tc>
          <w:tcPr>
            <w:tcW w:w="1132" w:type="dxa"/>
          </w:tcPr>
          <w:p>
            <w:pPr>
              <w:spacing w:line="360" w:lineRule="auto"/>
              <w:contextualSpacing/>
              <w:jc w:val="center"/>
              <w:rPr>
                <w:rFonts w:ascii="Times New Roman" w:eastAsia="Times New Roman" w:hAnsi="Times New Roman"/>
                <w:i/>
                <w:iCs/>
              </w:rPr>
            </w:pPr>
            <w:r>
              <w:rPr>
                <w:rFonts w:ascii="Times New Roman" w:eastAsia="Times New Roman" w:hAnsi="Times New Roman"/>
                <w:i/>
                <w:iCs/>
              </w:rPr>
              <w:t>Homo</w:t>
            </w:r>
          </w:p>
        </w:tc>
        <w:tc>
          <w:tcPr>
            <w:tcW w:w="1201" w:type="dxa"/>
          </w:tcPr>
          <w:p>
            <w:pPr>
              <w:spacing w:line="360" w:lineRule="auto"/>
              <w:contextualSpacing/>
              <w:jc w:val="center"/>
              <w:rPr>
                <w:rFonts w:ascii="Times New Roman" w:eastAsia="Times New Roman" w:hAnsi="Times New Roman"/>
                <w:i/>
                <w:iCs/>
              </w:rPr>
            </w:pPr>
            <w:r>
              <w:rPr>
                <w:rFonts w:ascii="Times New Roman" w:eastAsia="Times New Roman" w:hAnsi="Times New Roman"/>
                <w:i/>
                <w:iCs/>
              </w:rPr>
              <w:t>Hylobates</w:t>
            </w:r>
          </w:p>
        </w:tc>
        <w:tc>
          <w:tcPr>
            <w:tcW w:w="1440" w:type="dxa"/>
          </w:tcPr>
          <w:p>
            <w:pPr>
              <w:spacing w:line="360" w:lineRule="auto"/>
              <w:contextualSpacing/>
              <w:jc w:val="center"/>
              <w:rPr>
                <w:rFonts w:ascii="Times New Roman" w:eastAsia="Times New Roman" w:hAnsi="Times New Roman"/>
                <w:i/>
                <w:iCs/>
              </w:rPr>
            </w:pPr>
            <w:r>
              <w:rPr>
                <w:rFonts w:ascii="Times New Roman" w:eastAsia="Times New Roman" w:hAnsi="Times New Roman"/>
                <w:i/>
                <w:iCs/>
              </w:rPr>
              <w:t>Pan paniscus</w:t>
            </w:r>
          </w:p>
        </w:tc>
        <w:tc>
          <w:tcPr>
            <w:tcW w:w="1620" w:type="dxa"/>
          </w:tcPr>
          <w:p>
            <w:pPr>
              <w:spacing w:line="360" w:lineRule="auto"/>
              <w:contextualSpacing/>
              <w:jc w:val="center"/>
              <w:rPr>
                <w:rFonts w:ascii="Times New Roman" w:eastAsia="Times New Roman" w:hAnsi="Times New Roman"/>
                <w:i/>
                <w:iCs/>
              </w:rPr>
            </w:pPr>
            <w:r>
              <w:rPr>
                <w:rFonts w:ascii="Times New Roman" w:eastAsia="Times New Roman" w:hAnsi="Times New Roman"/>
                <w:i/>
                <w:iCs/>
              </w:rPr>
              <w:t>Pan troglodytes</w:t>
            </w:r>
          </w:p>
        </w:tc>
        <w:tc>
          <w:tcPr>
            <w:tcW w:w="1170" w:type="dxa"/>
          </w:tcPr>
          <w:p>
            <w:pPr>
              <w:spacing w:line="360" w:lineRule="auto"/>
              <w:contextualSpacing/>
              <w:jc w:val="center"/>
              <w:rPr>
                <w:rFonts w:ascii="Times New Roman" w:eastAsia="Times New Roman" w:hAnsi="Times New Roman"/>
                <w:i/>
                <w:iCs/>
              </w:rPr>
            </w:pPr>
            <w:r>
              <w:rPr>
                <w:rFonts w:ascii="Times New Roman" w:eastAsia="Times New Roman" w:hAnsi="Times New Roman"/>
                <w:i/>
                <w:iCs/>
              </w:rPr>
              <w:t xml:space="preserve">Gorilla </w:t>
            </w:r>
          </w:p>
        </w:tc>
        <w:tc>
          <w:tcPr>
            <w:tcW w:w="1260" w:type="dxa"/>
          </w:tcPr>
          <w:p>
            <w:pPr>
              <w:spacing w:line="360" w:lineRule="auto"/>
              <w:contextualSpacing/>
              <w:jc w:val="center"/>
              <w:rPr>
                <w:rFonts w:ascii="Times New Roman" w:eastAsia="Times New Roman" w:hAnsi="Times New Roman"/>
                <w:i/>
                <w:iCs/>
              </w:rPr>
            </w:pPr>
            <w:r>
              <w:rPr>
                <w:rFonts w:ascii="Times New Roman" w:eastAsia="Times New Roman" w:hAnsi="Times New Roman"/>
                <w:i/>
                <w:iCs/>
              </w:rPr>
              <w:t>Pongo</w:t>
            </w:r>
          </w:p>
        </w:tc>
      </w:tr>
      <w:tr>
        <w:tc>
          <w:tcPr>
            <w:tcW w:w="1825" w:type="dxa"/>
          </w:tcPr>
          <w:p>
            <w:pPr>
              <w:spacing w:line="360" w:lineRule="auto"/>
              <w:contextualSpacing/>
              <w:rPr>
                <w:rFonts w:ascii="Times New Roman" w:eastAsia="Times New Roman" w:hAnsi="Times New Roman"/>
              </w:rPr>
            </w:pPr>
            <w:r>
              <w:rPr>
                <w:rFonts w:ascii="Times New Roman" w:eastAsia="Times New Roman" w:hAnsi="Times New Roman"/>
              </w:rPr>
              <w:t>Azmaka femur</w:t>
            </w:r>
          </w:p>
        </w:tc>
        <w:tc>
          <w:tcPr>
            <w:tcW w:w="1132"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c>
          <w:tcPr>
            <w:tcW w:w="1201"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rPr>
              <w:t>0.000025</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b/>
              </w:rPr>
              <w:t>0.894254</w:t>
            </w:r>
          </w:p>
        </w:tc>
        <w:tc>
          <w:tcPr>
            <w:tcW w:w="162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Cs/>
              </w:rPr>
            </w:pPr>
            <w:r>
              <w:rPr>
                <w:rFonts w:ascii="Times New Roman" w:eastAsia="Times New Roman" w:hAnsi="Times New Roman"/>
                <w:bCs/>
              </w:rPr>
              <w:t>0.098285</w:t>
            </w:r>
          </w:p>
        </w:tc>
        <w:tc>
          <w:tcPr>
            <w:tcW w:w="117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0.007436</w:t>
            </w:r>
          </w:p>
        </w:tc>
        <w:tc>
          <w:tcPr>
            <w:tcW w:w="126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Paidopithex</w:t>
            </w:r>
          </w:p>
        </w:tc>
        <w:tc>
          <w:tcPr>
            <w:tcW w:w="1132"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c>
          <w:tcPr>
            <w:tcW w:w="1201"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rPr>
              <w:t>0.029831</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rPr>
            </w:pPr>
            <w:r>
              <w:rPr>
                <w:rFonts w:ascii="Times New Roman" w:eastAsia="Times New Roman" w:hAnsi="Times New Roman"/>
                <w:b/>
              </w:rPr>
              <w:t>0.700985</w:t>
            </w:r>
          </w:p>
        </w:tc>
        <w:tc>
          <w:tcPr>
            <w:tcW w:w="162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Cs/>
              </w:rPr>
            </w:pPr>
            <w:r>
              <w:rPr>
                <w:rFonts w:ascii="Times New Roman" w:eastAsia="Times New Roman" w:hAnsi="Times New Roman"/>
                <w:bCs/>
              </w:rPr>
              <w:t>0.264111</w:t>
            </w:r>
          </w:p>
        </w:tc>
        <w:tc>
          <w:tcPr>
            <w:tcW w:w="117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0.005073</w:t>
            </w:r>
          </w:p>
        </w:tc>
        <w:tc>
          <w:tcPr>
            <w:tcW w:w="126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Dryopithecus</w:t>
            </w:r>
          </w:p>
        </w:tc>
        <w:tc>
          <w:tcPr>
            <w:tcW w:w="1132"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c>
          <w:tcPr>
            <w:tcW w:w="1201"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rPr>
            </w:pPr>
            <w:r>
              <w:rPr>
                <w:rFonts w:ascii="Times New Roman" w:eastAsia="Times New Roman" w:hAnsi="Times New Roman"/>
                <w:b/>
              </w:rPr>
              <w:t>0.432746</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rPr>
              <w:t>0.000049</w:t>
            </w:r>
          </w:p>
        </w:tc>
        <w:tc>
          <w:tcPr>
            <w:tcW w:w="162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0.251802</w:t>
            </w:r>
          </w:p>
        </w:tc>
        <w:tc>
          <w:tcPr>
            <w:tcW w:w="117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rPr>
            </w:pPr>
            <w:r>
              <w:rPr>
                <w:rFonts w:ascii="Times New Roman" w:eastAsia="Times New Roman" w:hAnsi="Times New Roman"/>
                <w:b/>
              </w:rPr>
              <w:t>0.311412</w:t>
            </w:r>
          </w:p>
        </w:tc>
        <w:tc>
          <w:tcPr>
            <w:tcW w:w="126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rPr>
              <w:t>0.003991</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Hispanopithecus</w:t>
            </w:r>
          </w:p>
        </w:tc>
        <w:tc>
          <w:tcPr>
            <w:tcW w:w="1132"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c>
          <w:tcPr>
            <w:tcW w:w="1201"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b/>
              </w:rPr>
              <w:t>0.232771</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rPr>
            </w:pPr>
            <w:r>
              <w:rPr>
                <w:rFonts w:ascii="Times New Roman" w:eastAsia="Times New Roman" w:hAnsi="Times New Roman"/>
                <w:b/>
              </w:rPr>
              <w:t>0.429363</w:t>
            </w:r>
          </w:p>
        </w:tc>
        <w:tc>
          <w:tcPr>
            <w:tcW w:w="162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rPr>
              <w:t>0.144403</w:t>
            </w:r>
          </w:p>
        </w:tc>
        <w:tc>
          <w:tcPr>
            <w:tcW w:w="117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0.193464</w:t>
            </w:r>
          </w:p>
        </w:tc>
        <w:tc>
          <w:tcPr>
            <w:tcW w:w="126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Orrorin</w:t>
            </w:r>
          </w:p>
        </w:tc>
        <w:tc>
          <w:tcPr>
            <w:tcW w:w="1132"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c>
          <w:tcPr>
            <w:tcW w:w="1201"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0.005561</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rPr>
              <w:t>0.000000</w:t>
            </w:r>
          </w:p>
        </w:tc>
        <w:tc>
          <w:tcPr>
            <w:tcW w:w="162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rPr>
            </w:pPr>
            <w:r>
              <w:rPr>
                <w:rFonts w:ascii="Times New Roman" w:eastAsia="Times New Roman" w:hAnsi="Times New Roman"/>
                <w:b/>
              </w:rPr>
              <w:t>0.903588</w:t>
            </w:r>
          </w:p>
        </w:tc>
        <w:tc>
          <w:tcPr>
            <w:tcW w:w="117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0.082871</w:t>
            </w:r>
          </w:p>
        </w:tc>
        <w:tc>
          <w:tcPr>
            <w:tcW w:w="126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0.007980</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Australopithecus</w:t>
            </w:r>
          </w:p>
        </w:tc>
        <w:tc>
          <w:tcPr>
            <w:tcW w:w="1132"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b/>
              </w:rPr>
              <w:t>0.999996</w:t>
            </w:r>
          </w:p>
        </w:tc>
        <w:tc>
          <w:tcPr>
            <w:tcW w:w="1201"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c>
          <w:tcPr>
            <w:tcW w:w="162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0.000001</w:t>
            </w:r>
          </w:p>
        </w:tc>
        <w:tc>
          <w:tcPr>
            <w:tcW w:w="117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0.000003</w:t>
            </w:r>
          </w:p>
        </w:tc>
        <w:tc>
          <w:tcPr>
            <w:tcW w:w="126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Danuvius</w:t>
            </w:r>
          </w:p>
        </w:tc>
        <w:tc>
          <w:tcPr>
            <w:tcW w:w="1132"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c>
          <w:tcPr>
            <w:tcW w:w="1201"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0.029768</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rPr>
              <w:t>0.000367</w:t>
            </w:r>
          </w:p>
        </w:tc>
        <w:tc>
          <w:tcPr>
            <w:tcW w:w="162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b/>
              </w:rPr>
              <w:t>0.351202</w:t>
            </w:r>
          </w:p>
        </w:tc>
        <w:tc>
          <w:tcPr>
            <w:tcW w:w="117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b/>
              </w:rPr>
              <w:t>0.597185</w:t>
            </w:r>
          </w:p>
        </w:tc>
        <w:tc>
          <w:tcPr>
            <w:tcW w:w="126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0.021478</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Parantrhopus</w:t>
            </w:r>
          </w:p>
        </w:tc>
        <w:tc>
          <w:tcPr>
            <w:tcW w:w="1132"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0.000007</w:t>
            </w:r>
          </w:p>
        </w:tc>
        <w:tc>
          <w:tcPr>
            <w:tcW w:w="1201"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0.000035</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0.000119</w:t>
            </w:r>
          </w:p>
        </w:tc>
        <w:tc>
          <w:tcPr>
            <w:tcW w:w="162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rPr>
              <w:t>0.044772</w:t>
            </w:r>
          </w:p>
        </w:tc>
        <w:tc>
          <w:tcPr>
            <w:tcW w:w="117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rPr>
            </w:pPr>
            <w:r>
              <w:rPr>
                <w:rFonts w:ascii="Times New Roman" w:eastAsia="Times New Roman" w:hAnsi="Times New Roman"/>
                <w:b/>
              </w:rPr>
              <w:t>0.955052</w:t>
            </w:r>
          </w:p>
        </w:tc>
        <w:tc>
          <w:tcPr>
            <w:tcW w:w="126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0.000016</w:t>
            </w:r>
          </w:p>
        </w:tc>
      </w:tr>
      <w:tr>
        <w:tc>
          <w:tcPr>
            <w:tcW w:w="1825" w:type="dxa"/>
          </w:tcPr>
          <w:p>
            <w:pPr>
              <w:spacing w:line="360" w:lineRule="auto"/>
              <w:contextualSpacing/>
              <w:rPr>
                <w:rFonts w:ascii="Times New Roman" w:eastAsia="Times New Roman" w:hAnsi="Times New Roman"/>
                <w:i/>
                <w:iCs/>
              </w:rPr>
            </w:pPr>
            <w:r>
              <w:rPr>
                <w:rFonts w:ascii="Times New Roman" w:eastAsia="Times New Roman" w:hAnsi="Times New Roman"/>
                <w:i/>
                <w:iCs/>
              </w:rPr>
              <w:t>Equatorius</w:t>
            </w:r>
          </w:p>
        </w:tc>
        <w:tc>
          <w:tcPr>
            <w:tcW w:w="1132"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c>
          <w:tcPr>
            <w:tcW w:w="1201"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0.000003</w:t>
            </w:r>
          </w:p>
        </w:tc>
        <w:tc>
          <w:tcPr>
            <w:tcW w:w="144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c>
          <w:tcPr>
            <w:tcW w:w="162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bCs/>
              </w:rPr>
            </w:pPr>
            <w:r>
              <w:rPr>
                <w:rFonts w:ascii="Times New Roman" w:eastAsia="Times New Roman" w:hAnsi="Times New Roman"/>
              </w:rPr>
              <w:t>0.000347</w:t>
            </w:r>
          </w:p>
        </w:tc>
        <w:tc>
          <w:tcPr>
            <w:tcW w:w="117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b/>
              </w:rPr>
            </w:pPr>
            <w:r>
              <w:rPr>
                <w:rFonts w:ascii="Times New Roman" w:eastAsia="Times New Roman" w:hAnsi="Times New Roman"/>
                <w:b/>
              </w:rPr>
              <w:t>0.999650</w:t>
            </w:r>
          </w:p>
        </w:tc>
        <w:tc>
          <w:tcPr>
            <w:tcW w:w="1260" w:type="dxa"/>
            <w:tcBorders>
              <w:top w:val="outset" w:sz="6" w:space="0" w:color="auto"/>
              <w:left w:val="outset" w:sz="6" w:space="0" w:color="auto"/>
              <w:bottom w:val="outset" w:sz="6" w:space="0" w:color="auto"/>
              <w:right w:val="outset" w:sz="6" w:space="0" w:color="auto"/>
            </w:tcBorders>
          </w:tcPr>
          <w:p>
            <w:pPr>
              <w:spacing w:line="360" w:lineRule="auto"/>
              <w:contextualSpacing/>
              <w:jc w:val="center"/>
              <w:rPr>
                <w:rFonts w:ascii="Times New Roman" w:eastAsia="Times New Roman" w:hAnsi="Times New Roman"/>
              </w:rPr>
            </w:pPr>
            <w:r>
              <w:rPr>
                <w:rFonts w:ascii="Times New Roman" w:eastAsia="Times New Roman" w:hAnsi="Times New Roman"/>
              </w:rPr>
              <w:t>0.000000</w:t>
            </w:r>
          </w:p>
        </w:tc>
      </w:tr>
    </w:tbl>
    <w:p>
      <w:pPr>
        <w:spacing w:after="0" w:line="360" w:lineRule="auto"/>
        <w:rPr>
          <w:rFonts w:ascii="Times New Roman" w:hAnsi="Times New Roman"/>
          <w:b/>
          <w:bCs/>
          <w:sz w:val="24"/>
          <w:szCs w:val="24"/>
        </w:rPr>
      </w:pPr>
    </w:p>
    <w:p>
      <w:bookmarkStart w:id="3" w:name="_GoBack"/>
      <w:bookmarkEnd w:id="3"/>
    </w:p>
    <w:sectPr>
      <w:footerReference w:type="default" r:id="rId4"/>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Fuzeile"/>
      <w:jc w:val="right"/>
    </w:pPr>
    <w:r>
      <w:fldChar w:fldCharType="begin"/>
    </w:r>
    <w:r>
      <w:instrText xml:space="preserve"> PAGE   \* MERGEFORMAT </w:instrText>
    </w:r>
    <w:r>
      <w:fldChar w:fldCharType="separate"/>
    </w:r>
    <w:r>
      <w:rPr>
        <w:noProof/>
      </w:rPr>
      <w:t>10</w:t>
    </w:r>
    <w:r>
      <w:rPr>
        <w:noProof/>
      </w:rPr>
      <w:fldChar w:fldCharType="end"/>
    </w:r>
  </w:p>
  <w:p>
    <w:pPr>
      <w:pStyle w:val="Fuzeile"/>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A79CF7-B98C-445F-8664-D8B2BA107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Calibri" w:eastAsia="Calibri" w:hAnsi="Calibri" w:cs="Times New Roman"/>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pPr>
      <w:tabs>
        <w:tab w:val="center" w:pos="4703"/>
        <w:tab w:val="right" w:pos="9406"/>
      </w:tabs>
      <w:spacing w:after="0" w:line="240" w:lineRule="auto"/>
    </w:pPr>
  </w:style>
  <w:style w:type="character" w:customStyle="1" w:styleId="FuzeileZchn">
    <w:name w:val="Fußzeile Zchn"/>
    <w:basedOn w:val="Absatz-Standardschriftart"/>
    <w:link w:val="Fuzeile"/>
    <w:uiPriority w:val="99"/>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1453</Words>
  <Characters>9158</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Senckenberg</Company>
  <LinksUpToDate>false</LinksUpToDate>
  <CharactersWithSpaces>10590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Sinje Weber</dc:creator>
  <cp:keywords/>
  <dc:description/>
  <cp:lastModifiedBy>Sinje Weber</cp:lastModifiedBy>
  <cp:revision>1</cp:revision>
  <dcterms:created xsi:type="dcterms:W3CDTF">2025-11-13T17:22:00Z</dcterms:created>
  <dcterms:modified xsi:type="dcterms:W3CDTF">2025-11-13T17:23:00Z</dcterms:modified>
</cp:coreProperties>
</file>