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78377" w14:textId="77777777" w:rsidR="00D4235D" w:rsidRPr="00D4235D" w:rsidRDefault="00D4235D" w:rsidP="00D4235D">
      <w:pPr>
        <w:tabs>
          <w:tab w:val="left" w:pos="720"/>
        </w:tabs>
        <w:suppressAutoHyphens/>
        <w:spacing w:line="480" w:lineRule="auto"/>
        <w:rPr>
          <w:b/>
          <w:bCs/>
        </w:rPr>
      </w:pPr>
      <w:r w:rsidRPr="00D4235D">
        <w:rPr>
          <w:b/>
          <w:bCs/>
        </w:rPr>
        <w:t>List of Appendices</w:t>
      </w:r>
    </w:p>
    <w:p w14:paraId="2CCAA556" w14:textId="56485196" w:rsidR="00D4235D" w:rsidRPr="00D4235D" w:rsidRDefault="00D4235D" w:rsidP="00D4235D">
      <w:pPr>
        <w:tabs>
          <w:tab w:val="left" w:pos="720"/>
        </w:tabs>
        <w:suppressAutoHyphens/>
        <w:spacing w:line="480" w:lineRule="auto"/>
      </w:pPr>
      <w:r w:rsidRPr="00D4235D">
        <w:t xml:space="preserve">Appendix </w:t>
      </w:r>
      <w:r w:rsidR="00A918DA">
        <w:t>A</w:t>
      </w:r>
      <w:r w:rsidRPr="00D4235D">
        <w:t xml:space="preserve">. </w:t>
      </w:r>
      <w:r w:rsidR="00151234">
        <w:t xml:space="preserve">The </w:t>
      </w:r>
      <w:r w:rsidRPr="00D4235D">
        <w:t>Log Odds Results</w:t>
      </w:r>
      <w:r w:rsidR="00151234">
        <w:t xml:space="preserve"> for Main Tables</w:t>
      </w:r>
    </w:p>
    <w:p w14:paraId="48401CA5" w14:textId="15DC07E5" w:rsidR="00D55A72" w:rsidRDefault="00D4235D" w:rsidP="0065467D">
      <w:pPr>
        <w:tabs>
          <w:tab w:val="left" w:pos="720"/>
        </w:tabs>
        <w:suppressAutoHyphens/>
        <w:spacing w:line="480" w:lineRule="auto"/>
        <w:rPr>
          <w:b/>
          <w:bCs/>
        </w:rPr>
        <w:sectPr w:rsidR="00D55A72" w:rsidSect="004C181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D4235D">
        <w:t xml:space="preserve">Appendix </w:t>
      </w:r>
      <w:r w:rsidR="00A918DA">
        <w:t>B</w:t>
      </w:r>
      <w:r w:rsidRPr="00D4235D">
        <w:t>. Sensitivity Analysis o</w:t>
      </w:r>
      <w:r w:rsidR="00151234">
        <w:t>n</w:t>
      </w:r>
      <w:r w:rsidRPr="00D4235D">
        <w:t xml:space="preserve"> </w:t>
      </w:r>
      <w:r w:rsidR="00A25F2E">
        <w:t>the Inclusion of Gang Activity</w:t>
      </w:r>
    </w:p>
    <w:p w14:paraId="3CBD9C84" w14:textId="49D943A1" w:rsidR="004C181D" w:rsidRPr="0065467D" w:rsidRDefault="004C181D" w:rsidP="0065467D">
      <w:pPr>
        <w:tabs>
          <w:tab w:val="left" w:pos="720"/>
        </w:tabs>
        <w:suppressAutoHyphens/>
        <w:spacing w:line="480" w:lineRule="auto"/>
        <w:rPr>
          <w:b/>
          <w:bCs/>
        </w:rPr>
      </w:pPr>
      <w:r w:rsidRPr="00D4235D">
        <w:rPr>
          <w:b/>
          <w:bCs/>
        </w:rPr>
        <w:lastRenderedPageBreak/>
        <w:t xml:space="preserve">Appendix </w:t>
      </w:r>
      <w:r w:rsidR="00A918DA">
        <w:rPr>
          <w:b/>
          <w:bCs/>
        </w:rPr>
        <w:t>A</w:t>
      </w:r>
      <w:r w:rsidRPr="00D4235D">
        <w:rPr>
          <w:b/>
          <w:bCs/>
        </w:rPr>
        <w:t xml:space="preserve">. </w:t>
      </w:r>
      <w:r w:rsidRPr="004C181D">
        <w:rPr>
          <w:b/>
          <w:bCs/>
        </w:rPr>
        <w:t xml:space="preserve">The </w:t>
      </w:r>
      <w:r w:rsidRPr="00D4235D">
        <w:rPr>
          <w:b/>
          <w:bCs/>
        </w:rPr>
        <w:t>Log Odds Results</w:t>
      </w:r>
      <w:r w:rsidRPr="004C181D">
        <w:rPr>
          <w:b/>
          <w:bCs/>
        </w:rPr>
        <w:t xml:space="preserve"> for Main Tables</w:t>
      </w:r>
    </w:p>
    <w:p w14:paraId="0FC5E31C" w14:textId="53D073C4" w:rsidR="004F31BE" w:rsidRPr="003657E4" w:rsidRDefault="004F31BE" w:rsidP="004F31BE">
      <w:r w:rsidRPr="003657E4">
        <w:t xml:space="preserve">Appendix </w:t>
      </w:r>
      <w:r w:rsidR="00A918DA">
        <w:t>A</w:t>
      </w:r>
      <w:r w:rsidRPr="003657E4">
        <w:t xml:space="preserve"> presents the log odds </w:t>
      </w:r>
      <w:r w:rsidR="00E8718A">
        <w:t xml:space="preserve">that correspond with the </w:t>
      </w:r>
      <w:r w:rsidRPr="003657E4">
        <w:t xml:space="preserve">results </w:t>
      </w:r>
      <w:r w:rsidR="00290911">
        <w:t xml:space="preserve">presented in </w:t>
      </w:r>
      <w:r w:rsidRPr="003657E4">
        <w:t>Table</w:t>
      </w:r>
      <w:r w:rsidR="00290911">
        <w:t>s</w:t>
      </w:r>
      <w:r w:rsidRPr="003657E4">
        <w:t xml:space="preserve"> </w:t>
      </w:r>
      <w:r w:rsidR="00290911">
        <w:t>2 and 3.</w:t>
      </w:r>
      <w:r w:rsidRPr="003657E4">
        <w:t xml:space="preserve"> D-grade neighborhoods </w:t>
      </w:r>
      <w:r w:rsidR="00290911">
        <w:t>serve</w:t>
      </w:r>
      <w:r w:rsidRPr="003657E4">
        <w:t xml:space="preserve"> as the reference category. As the results are discussed in the paper, they are not elaborated on here.</w:t>
      </w:r>
    </w:p>
    <w:p w14:paraId="2EE2D938" w14:textId="77777777" w:rsidR="00A1140B" w:rsidRDefault="00A1140B" w:rsidP="008F0829">
      <w:pPr>
        <w:widowControl w:val="0"/>
        <w:autoSpaceDE w:val="0"/>
        <w:autoSpaceDN w:val="0"/>
        <w:adjustRightInd w:val="0"/>
        <w:sectPr w:rsidR="00A1140B" w:rsidSect="004C181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5260477" w14:textId="7DF59239" w:rsidR="00BE1323" w:rsidRDefault="00115F3A" w:rsidP="008F0829">
      <w:pPr>
        <w:widowControl w:val="0"/>
        <w:autoSpaceDE w:val="0"/>
        <w:autoSpaceDN w:val="0"/>
        <w:adjustRightInd w:val="0"/>
        <w:sectPr w:rsidR="00BE1323" w:rsidSect="004C181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115F3A">
        <w:rPr>
          <w:noProof/>
        </w:rPr>
        <w:lastRenderedPageBreak/>
        <w:drawing>
          <wp:inline distT="0" distB="0" distL="0" distR="0" wp14:anchorId="50F79176" wp14:editId="44944657">
            <wp:extent cx="5041900" cy="5067300"/>
            <wp:effectExtent l="0" t="0" r="0" b="0"/>
            <wp:docPr id="9165397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53972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AE2F8" w14:textId="6546962C" w:rsidR="008F0829" w:rsidRDefault="00115F3A" w:rsidP="00223DD0">
      <w:pPr>
        <w:widowControl w:val="0"/>
        <w:autoSpaceDE w:val="0"/>
        <w:autoSpaceDN w:val="0"/>
        <w:adjustRightInd w:val="0"/>
        <w:ind w:left="-720"/>
        <w:sectPr w:rsidR="008F0829" w:rsidSect="00115F3A">
          <w:pgSz w:w="15840" w:h="12240" w:orient="landscape"/>
          <w:pgMar w:top="1440" w:right="1440" w:bottom="1440" w:left="1620" w:header="720" w:footer="720" w:gutter="0"/>
          <w:cols w:space="720"/>
          <w:docGrid w:linePitch="360"/>
        </w:sectPr>
      </w:pPr>
      <w:r w:rsidRPr="00115F3A">
        <w:rPr>
          <w:noProof/>
        </w:rPr>
        <w:lastRenderedPageBreak/>
        <w:drawing>
          <wp:inline distT="0" distB="0" distL="0" distR="0" wp14:anchorId="5FFC08C6" wp14:editId="7F26F730">
            <wp:extent cx="8743950" cy="3907155"/>
            <wp:effectExtent l="0" t="0" r="6350" b="4445"/>
            <wp:docPr id="20590341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03419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743950" cy="390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5248F" w14:textId="13F01CC1" w:rsidR="004C181D" w:rsidRPr="00D4235D" w:rsidRDefault="004C181D" w:rsidP="004C181D">
      <w:pPr>
        <w:tabs>
          <w:tab w:val="left" w:pos="720"/>
        </w:tabs>
        <w:suppressAutoHyphens/>
        <w:spacing w:line="480" w:lineRule="auto"/>
        <w:rPr>
          <w:b/>
          <w:bCs/>
        </w:rPr>
      </w:pPr>
      <w:r w:rsidRPr="00D4235D">
        <w:rPr>
          <w:b/>
          <w:bCs/>
        </w:rPr>
        <w:lastRenderedPageBreak/>
        <w:t xml:space="preserve">Appendix </w:t>
      </w:r>
      <w:r w:rsidR="003337F7">
        <w:rPr>
          <w:b/>
          <w:bCs/>
        </w:rPr>
        <w:t>B</w:t>
      </w:r>
      <w:r w:rsidRPr="00D4235D">
        <w:rPr>
          <w:b/>
          <w:bCs/>
        </w:rPr>
        <w:t>. Sensitivity Analysis o</w:t>
      </w:r>
      <w:r w:rsidRPr="004C181D">
        <w:rPr>
          <w:b/>
          <w:bCs/>
        </w:rPr>
        <w:t>n</w:t>
      </w:r>
      <w:r w:rsidRPr="00D4235D">
        <w:rPr>
          <w:b/>
          <w:bCs/>
        </w:rPr>
        <w:t xml:space="preserve"> </w:t>
      </w:r>
      <w:r w:rsidRPr="004C181D">
        <w:rPr>
          <w:b/>
          <w:bCs/>
        </w:rPr>
        <w:t>the Inclusion of Gang Activity</w:t>
      </w:r>
    </w:p>
    <w:p w14:paraId="32F42448" w14:textId="44BB1F05" w:rsidR="00D221BF" w:rsidRDefault="00CA0041" w:rsidP="00310AB4">
      <w:pPr>
        <w:tabs>
          <w:tab w:val="left" w:pos="0"/>
        </w:tabs>
      </w:pPr>
      <w:r>
        <w:tab/>
      </w:r>
      <w:r w:rsidR="00E529DE">
        <w:t xml:space="preserve">Appendix </w:t>
      </w:r>
      <w:r w:rsidR="003337F7">
        <w:t>B</w:t>
      </w:r>
      <w:r w:rsidR="00310AB4" w:rsidRPr="00B41064">
        <w:t xml:space="preserve"> present</w:t>
      </w:r>
      <w:r w:rsidR="00E529DE">
        <w:t>s</w:t>
      </w:r>
      <w:r w:rsidR="00310AB4" w:rsidRPr="00B41064">
        <w:t xml:space="preserve"> </w:t>
      </w:r>
      <w:r w:rsidR="00F57AEF">
        <w:t xml:space="preserve">sensitivity </w:t>
      </w:r>
      <w:r w:rsidR="00310AB4" w:rsidRPr="00B41064">
        <w:t>analys</w:t>
      </w:r>
      <w:r w:rsidR="00E529DE">
        <w:t>e</w:t>
      </w:r>
      <w:r w:rsidR="00310AB4" w:rsidRPr="00B41064">
        <w:t xml:space="preserve">s </w:t>
      </w:r>
      <w:r w:rsidR="00F80C88">
        <w:t>on the inclusion of</w:t>
      </w:r>
      <w:r w:rsidR="000A3724">
        <w:t xml:space="preserve"> </w:t>
      </w:r>
      <w:r w:rsidR="00310AB4" w:rsidRPr="00B41064">
        <w:t>gang activity</w:t>
      </w:r>
      <w:r w:rsidR="00D411CA">
        <w:t xml:space="preserve"> in the models</w:t>
      </w:r>
      <w:r w:rsidR="00310AB4" w:rsidRPr="00B41064">
        <w:t>.</w:t>
      </w:r>
      <w:r w:rsidR="00972F13">
        <w:t xml:space="preserve"> Tables </w:t>
      </w:r>
      <w:r w:rsidR="003337F7">
        <w:t>B</w:t>
      </w:r>
      <w:r w:rsidR="00972F13">
        <w:t xml:space="preserve">.1 and </w:t>
      </w:r>
      <w:r w:rsidR="003337F7">
        <w:t>B</w:t>
      </w:r>
      <w:r w:rsidR="00972F13">
        <w:t>.2</w:t>
      </w:r>
      <w:r w:rsidR="003D593B">
        <w:t xml:space="preserve"> replicate the main tables</w:t>
      </w:r>
      <w:r w:rsidR="00972F13">
        <w:t xml:space="preserve"> </w:t>
      </w:r>
      <w:r w:rsidR="00D01E7B">
        <w:t>when gang activity is excluded</w:t>
      </w:r>
      <w:r w:rsidR="0063237D">
        <w:t>, finding the main conclusions are robust. The male offender rate continues to predict</w:t>
      </w:r>
      <w:r w:rsidR="00B753B3">
        <w:t xml:space="preserve"> HOLC appraisers’ perceptions of crime and disorder before </w:t>
      </w:r>
      <w:r w:rsidR="00D86FB8">
        <w:t xml:space="preserve">controlling for </w:t>
      </w:r>
      <w:r w:rsidR="00B753B3">
        <w:t xml:space="preserve">the local neighborhood conditions. Once these conditions are included, only the Black racial composition and </w:t>
      </w:r>
      <w:r w:rsidR="00D221BF">
        <w:t xml:space="preserve">presence of laborers in the neighborhood increase the likelihood that appraisers mention the presence of crime </w:t>
      </w:r>
      <w:r w:rsidR="002053B7">
        <w:t xml:space="preserve">and </w:t>
      </w:r>
      <w:r w:rsidR="00D221BF">
        <w:t>disorder. Similarly, the results are robust predicting HOLC appraisers’ lending risk assessments. A higher male offender rate increases the likelihood HOLC appraisers redline the neighborhood, as does a larger Black racial composition, while perceptions of crime and disorder do not.</w:t>
      </w:r>
      <w:r w:rsidR="00D01E7B">
        <w:t xml:space="preserve"> </w:t>
      </w:r>
    </w:p>
    <w:p w14:paraId="7E03884A" w14:textId="2E413BD9" w:rsidR="00207634" w:rsidRDefault="00D221BF" w:rsidP="00837FCD">
      <w:pPr>
        <w:tabs>
          <w:tab w:val="left" w:pos="0"/>
        </w:tabs>
        <w:sectPr w:rsidR="00207634" w:rsidSect="007250C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ab/>
      </w:r>
      <w:r w:rsidR="00D01E7B">
        <w:t xml:space="preserve">Tables </w:t>
      </w:r>
      <w:r w:rsidR="003337F7">
        <w:t>B</w:t>
      </w:r>
      <w:r w:rsidR="00D01E7B">
        <w:t xml:space="preserve">.3 and </w:t>
      </w:r>
      <w:r w:rsidR="003337F7">
        <w:t>B</w:t>
      </w:r>
      <w:r w:rsidR="00D01E7B">
        <w:t xml:space="preserve">.4 </w:t>
      </w:r>
      <w:r w:rsidR="00C077A0">
        <w:t>replicate the main tables</w:t>
      </w:r>
      <w:r w:rsidR="00944F07">
        <w:t xml:space="preserve"> </w:t>
      </w:r>
      <w:r w:rsidR="00830588">
        <w:t xml:space="preserve">using </w:t>
      </w:r>
      <w:r w:rsidR="00C077A0">
        <w:t xml:space="preserve">two </w:t>
      </w:r>
      <w:r w:rsidR="00830588">
        <w:t>alternative measure</w:t>
      </w:r>
      <w:r w:rsidR="00BB3401">
        <w:t>s</w:t>
      </w:r>
      <w:r w:rsidR="00830588">
        <w:t xml:space="preserve"> </w:t>
      </w:r>
      <w:r w:rsidR="00BB3401">
        <w:t>of</w:t>
      </w:r>
      <w:r w:rsidR="00D01E7B">
        <w:t xml:space="preserve"> gang activit</w:t>
      </w:r>
      <w:r w:rsidR="00A436E8">
        <w:t>y</w:t>
      </w:r>
      <w:r w:rsidR="00D01E7B">
        <w:t>.</w:t>
      </w:r>
      <w:r w:rsidR="00A436E8">
        <w:t xml:space="preserve"> The alternative measures distinguish between gangs with and without clubrooms, following</w:t>
      </w:r>
      <w:r w:rsidR="00310AB4" w:rsidRPr="00B41064">
        <w:t xml:space="preserve"> Thrasher</w:t>
      </w:r>
      <w:r w:rsidR="00A436E8">
        <w:t>’s</w:t>
      </w:r>
      <w:r w:rsidR="00310AB4" w:rsidRPr="00B41064">
        <w:t xml:space="preserve"> (1927) </w:t>
      </w:r>
      <w:r w:rsidR="00A436E8">
        <w:t>original categorization</w:t>
      </w:r>
      <w:r w:rsidR="00310AB4" w:rsidRPr="00B41064">
        <w:t xml:space="preserve">. </w:t>
      </w:r>
      <w:r w:rsidR="00A436E8">
        <w:t>Thrasher noted that g</w:t>
      </w:r>
      <w:r w:rsidR="00310AB4" w:rsidRPr="00B41064">
        <w:t xml:space="preserve">angs with clubrooms </w:t>
      </w:r>
      <w:r w:rsidR="00CF4598">
        <w:t>were more formally organized,</w:t>
      </w:r>
      <w:r w:rsidR="00310AB4" w:rsidRPr="00B41064">
        <w:t xml:space="preserve"> </w:t>
      </w:r>
      <w:r w:rsidR="00CF4598">
        <w:t>contained</w:t>
      </w:r>
      <w:r w:rsidR="00310AB4" w:rsidRPr="00B41064">
        <w:t xml:space="preserve"> more resources, </w:t>
      </w:r>
      <w:r w:rsidR="00CF4598">
        <w:t xml:space="preserve">and </w:t>
      </w:r>
      <w:r w:rsidR="00310AB4" w:rsidRPr="00B41064">
        <w:t xml:space="preserve">sometimes even </w:t>
      </w:r>
      <w:r w:rsidR="00CF4598">
        <w:t xml:space="preserve">had </w:t>
      </w:r>
      <w:r w:rsidR="00310AB4" w:rsidRPr="00B41064">
        <w:t>political connections</w:t>
      </w:r>
      <w:r w:rsidR="00D13AE0">
        <w:t xml:space="preserve">. </w:t>
      </w:r>
      <w:r w:rsidR="0028553C">
        <w:t>The distinction</w:t>
      </w:r>
      <w:r w:rsidR="00D13AE0">
        <w:t xml:space="preserve"> thus</w:t>
      </w:r>
      <w:r w:rsidR="00CF4598">
        <w:t xml:space="preserve"> reflect</w:t>
      </w:r>
      <w:r w:rsidR="00D13AE0">
        <w:t>s</w:t>
      </w:r>
      <w:r w:rsidR="00CF4598">
        <w:t xml:space="preserve"> differences in</w:t>
      </w:r>
      <w:r w:rsidR="00D13AE0">
        <w:t xml:space="preserve"> resources as well as</w:t>
      </w:r>
      <w:r w:rsidR="00CF4598">
        <w:t xml:space="preserve"> </w:t>
      </w:r>
      <w:r w:rsidR="00877054">
        <w:t>visibility and</w:t>
      </w:r>
      <w:r w:rsidR="00D13AE0">
        <w:t xml:space="preserve"> the</w:t>
      </w:r>
      <w:r w:rsidR="00877054">
        <w:t xml:space="preserve"> types of </w:t>
      </w:r>
      <w:r w:rsidR="0023240E">
        <w:t>activit</w:t>
      </w:r>
      <w:r w:rsidR="00877054">
        <w:t xml:space="preserve">ies </w:t>
      </w:r>
      <w:r w:rsidR="00D13AE0">
        <w:t xml:space="preserve">in which </w:t>
      </w:r>
      <w:r w:rsidR="00877054">
        <w:t>gangs engaged</w:t>
      </w:r>
      <w:r w:rsidR="0023240E">
        <w:t>.</w:t>
      </w:r>
      <w:r w:rsidR="00310AB4" w:rsidRPr="00B41064">
        <w:t xml:space="preserve"> The alternative measures are both continuous measures</w:t>
      </w:r>
      <w:r w:rsidR="00310AB4">
        <w:t xml:space="preserve"> representing rates per 1,000</w:t>
      </w:r>
      <w:r w:rsidR="00310AB4" w:rsidRPr="00B41064">
        <w:t xml:space="preserve">. </w:t>
      </w:r>
      <w:r w:rsidR="0023240E">
        <w:t>The</w:t>
      </w:r>
      <w:r w:rsidR="00310AB4" w:rsidRPr="00B41064">
        <w:t xml:space="preserve"> results</w:t>
      </w:r>
      <w:r w:rsidR="0023240E">
        <w:t xml:space="preserve"> </w:t>
      </w:r>
      <w:r w:rsidR="00186693">
        <w:t xml:space="preserve">including gang activity by clubroom presence </w:t>
      </w:r>
      <w:r w:rsidR="00E82A73">
        <w:t>present</w:t>
      </w:r>
      <w:r w:rsidR="00186693">
        <w:t xml:space="preserve"> the same substantive conclusions</w:t>
      </w:r>
      <w:r w:rsidR="00310AB4" w:rsidRPr="00B41064">
        <w:t>. However, it is notable that, when predicting lending risk,</w:t>
      </w:r>
      <w:r w:rsidR="003130C6">
        <w:t xml:space="preserve"> that</w:t>
      </w:r>
      <w:r w:rsidR="00310AB4" w:rsidRPr="00B41064">
        <w:t xml:space="preserve"> it is gangs without clubrooms that drive the relationship between </w:t>
      </w:r>
      <w:r w:rsidR="00310AB4">
        <w:t>prior</w:t>
      </w:r>
      <w:r w:rsidR="00310AB4" w:rsidRPr="00B41064">
        <w:t xml:space="preserve"> gang activity and redlining, not gangs with clubrooms. </w:t>
      </w:r>
      <w:r w:rsidR="00DF2D5D">
        <w:t>While the findings should interpretated with caution, t</w:t>
      </w:r>
      <w:r w:rsidR="00310AB4" w:rsidRPr="00B41064">
        <w:t>he</w:t>
      </w:r>
      <w:r w:rsidR="00DF2D5D">
        <w:t xml:space="preserve"> </w:t>
      </w:r>
      <w:r w:rsidR="00310AB4" w:rsidRPr="00B41064">
        <w:t xml:space="preserve">results </w:t>
      </w:r>
      <w:r w:rsidR="00DF2D5D">
        <w:t xml:space="preserve">may </w:t>
      </w:r>
      <w:r w:rsidR="00310AB4">
        <w:t>suggest</w:t>
      </w:r>
      <w:r w:rsidR="00310AB4" w:rsidRPr="00B41064">
        <w:t xml:space="preserve"> that gangs</w:t>
      </w:r>
      <w:r w:rsidR="00D253DA">
        <w:t xml:space="preserve"> </w:t>
      </w:r>
      <w:r w:rsidR="00DF2D5D">
        <w:t>with less resources are more likely to live in the worst grad</w:t>
      </w:r>
      <w:r w:rsidR="00EC6608">
        <w:t>e</w:t>
      </w:r>
      <w:r w:rsidR="00DF2D5D">
        <w:t xml:space="preserve"> neighborhoods, but they may also suggest that gangs </w:t>
      </w:r>
      <w:r w:rsidR="00D253DA">
        <w:t xml:space="preserve">without clubrooms </w:t>
      </w:r>
      <w:r w:rsidR="00DF2D5D">
        <w:t xml:space="preserve">and less formal organization </w:t>
      </w:r>
      <w:r w:rsidR="00D253DA">
        <w:t>may have more visible street-level presence</w:t>
      </w:r>
      <w:r w:rsidR="00310AB4" w:rsidRPr="00B41064">
        <w:t xml:space="preserve"> </w:t>
      </w:r>
      <w:r w:rsidR="00DF2D5D">
        <w:t xml:space="preserve">influencing </w:t>
      </w:r>
      <w:r w:rsidR="006065AB">
        <w:t>assessments of neighborhood vitality</w:t>
      </w:r>
      <w:r w:rsidR="00310AB4" w:rsidRPr="00B41064">
        <w:t xml:space="preserve">. </w:t>
      </w:r>
    </w:p>
    <w:p w14:paraId="596BAC72" w14:textId="29792ECF" w:rsidR="00972594" w:rsidRDefault="00B323EE" w:rsidP="007250CC">
      <w:pPr>
        <w:widowControl w:val="0"/>
        <w:tabs>
          <w:tab w:val="left" w:pos="540"/>
        </w:tabs>
        <w:autoSpaceDE w:val="0"/>
        <w:autoSpaceDN w:val="0"/>
        <w:adjustRightInd w:val="0"/>
        <w:sectPr w:rsidR="00972594" w:rsidSect="007250C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B323EE">
        <w:rPr>
          <w:noProof/>
        </w:rPr>
        <w:lastRenderedPageBreak/>
        <w:drawing>
          <wp:inline distT="0" distB="0" distL="0" distR="0" wp14:anchorId="2905975D" wp14:editId="568C8E4B">
            <wp:extent cx="5041900" cy="4318000"/>
            <wp:effectExtent l="0" t="0" r="0" b="0"/>
            <wp:docPr id="20656366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63664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431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1A4CE" w14:textId="5F8EF397" w:rsidR="00FE4748" w:rsidRDefault="00B323EE" w:rsidP="007250CC">
      <w:pPr>
        <w:widowControl w:val="0"/>
        <w:tabs>
          <w:tab w:val="left" w:pos="540"/>
        </w:tabs>
        <w:autoSpaceDE w:val="0"/>
        <w:autoSpaceDN w:val="0"/>
        <w:adjustRightInd w:val="0"/>
        <w:sectPr w:rsidR="00FE4748" w:rsidSect="00FE474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B323EE">
        <w:rPr>
          <w:noProof/>
        </w:rPr>
        <w:lastRenderedPageBreak/>
        <w:drawing>
          <wp:inline distT="0" distB="0" distL="0" distR="0" wp14:anchorId="0A23E357" wp14:editId="570C57C9">
            <wp:extent cx="8229600" cy="1984375"/>
            <wp:effectExtent l="0" t="0" r="0" b="0"/>
            <wp:docPr id="1262299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2997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98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88365" w14:textId="57B233F9" w:rsidR="00417068" w:rsidRDefault="00B323EE" w:rsidP="007250CC">
      <w:pPr>
        <w:widowControl w:val="0"/>
        <w:tabs>
          <w:tab w:val="left" w:pos="540"/>
        </w:tabs>
        <w:autoSpaceDE w:val="0"/>
        <w:autoSpaceDN w:val="0"/>
        <w:adjustRightInd w:val="0"/>
        <w:sectPr w:rsidR="00417068" w:rsidSect="00FE474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B323EE">
        <w:rPr>
          <w:noProof/>
        </w:rPr>
        <w:lastRenderedPageBreak/>
        <w:drawing>
          <wp:inline distT="0" distB="0" distL="0" distR="0" wp14:anchorId="6A80BBA2" wp14:editId="67AB306F">
            <wp:extent cx="5041900" cy="4965700"/>
            <wp:effectExtent l="0" t="0" r="0" b="0"/>
            <wp:docPr id="19956891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68917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496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A17B0" w14:textId="41CC0BBB" w:rsidR="008F0829" w:rsidRDefault="00386007" w:rsidP="007250CC">
      <w:pPr>
        <w:widowControl w:val="0"/>
        <w:tabs>
          <w:tab w:val="left" w:pos="540"/>
        </w:tabs>
        <w:autoSpaceDE w:val="0"/>
        <w:autoSpaceDN w:val="0"/>
        <w:adjustRightInd w:val="0"/>
      </w:pPr>
      <w:r w:rsidRPr="00386007">
        <w:rPr>
          <w:noProof/>
        </w:rPr>
        <w:lastRenderedPageBreak/>
        <w:drawing>
          <wp:inline distT="0" distB="0" distL="0" distR="0" wp14:anchorId="4BEAD422" wp14:editId="29407D99">
            <wp:extent cx="8229600" cy="2291715"/>
            <wp:effectExtent l="0" t="0" r="0" b="0"/>
            <wp:docPr id="9370551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05516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29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0829" w:rsidSect="001C648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869"/>
    <w:rsid w:val="000020C0"/>
    <w:rsid w:val="00035CCF"/>
    <w:rsid w:val="000517D9"/>
    <w:rsid w:val="00060A10"/>
    <w:rsid w:val="000A09A2"/>
    <w:rsid w:val="000A3724"/>
    <w:rsid w:val="000F4C97"/>
    <w:rsid w:val="00115D71"/>
    <w:rsid w:val="00115F3A"/>
    <w:rsid w:val="00122F67"/>
    <w:rsid w:val="00143D45"/>
    <w:rsid w:val="00151234"/>
    <w:rsid w:val="00172F44"/>
    <w:rsid w:val="00186693"/>
    <w:rsid w:val="00197B14"/>
    <w:rsid w:val="001B4B2A"/>
    <w:rsid w:val="001C6480"/>
    <w:rsid w:val="002053B7"/>
    <w:rsid w:val="00205C25"/>
    <w:rsid w:val="00207634"/>
    <w:rsid w:val="00207FAD"/>
    <w:rsid w:val="00223DD0"/>
    <w:rsid w:val="0023240E"/>
    <w:rsid w:val="00233ABF"/>
    <w:rsid w:val="00270717"/>
    <w:rsid w:val="0028553C"/>
    <w:rsid w:val="00290911"/>
    <w:rsid w:val="002A1E5F"/>
    <w:rsid w:val="002C1F9A"/>
    <w:rsid w:val="00310AB4"/>
    <w:rsid w:val="003130C6"/>
    <w:rsid w:val="003223B7"/>
    <w:rsid w:val="003323ED"/>
    <w:rsid w:val="003337F7"/>
    <w:rsid w:val="003453D2"/>
    <w:rsid w:val="00355E42"/>
    <w:rsid w:val="00356953"/>
    <w:rsid w:val="00386007"/>
    <w:rsid w:val="003B7D87"/>
    <w:rsid w:val="003D593B"/>
    <w:rsid w:val="003F7A6D"/>
    <w:rsid w:val="004045D9"/>
    <w:rsid w:val="00417068"/>
    <w:rsid w:val="00476CD6"/>
    <w:rsid w:val="00494B39"/>
    <w:rsid w:val="004C181D"/>
    <w:rsid w:val="004F0D01"/>
    <w:rsid w:val="004F31BE"/>
    <w:rsid w:val="00506E30"/>
    <w:rsid w:val="00524A17"/>
    <w:rsid w:val="005B51B4"/>
    <w:rsid w:val="00605602"/>
    <w:rsid w:val="006065AB"/>
    <w:rsid w:val="006103A3"/>
    <w:rsid w:val="00631488"/>
    <w:rsid w:val="0063237D"/>
    <w:rsid w:val="00641FDE"/>
    <w:rsid w:val="0065467D"/>
    <w:rsid w:val="006C04ED"/>
    <w:rsid w:val="006C3524"/>
    <w:rsid w:val="006D0385"/>
    <w:rsid w:val="006D4EC6"/>
    <w:rsid w:val="00713532"/>
    <w:rsid w:val="007250CC"/>
    <w:rsid w:val="00741251"/>
    <w:rsid w:val="00747585"/>
    <w:rsid w:val="007635A8"/>
    <w:rsid w:val="00830588"/>
    <w:rsid w:val="00837FCD"/>
    <w:rsid w:val="00856F90"/>
    <w:rsid w:val="00874000"/>
    <w:rsid w:val="00877054"/>
    <w:rsid w:val="00893F00"/>
    <w:rsid w:val="008B1433"/>
    <w:rsid w:val="008F0829"/>
    <w:rsid w:val="00900F10"/>
    <w:rsid w:val="00935FCF"/>
    <w:rsid w:val="00944F07"/>
    <w:rsid w:val="0096781F"/>
    <w:rsid w:val="00972594"/>
    <w:rsid w:val="00972F13"/>
    <w:rsid w:val="00A1140B"/>
    <w:rsid w:val="00A25F2E"/>
    <w:rsid w:val="00A436E8"/>
    <w:rsid w:val="00A44305"/>
    <w:rsid w:val="00A6393A"/>
    <w:rsid w:val="00A918DA"/>
    <w:rsid w:val="00AD6758"/>
    <w:rsid w:val="00AD7714"/>
    <w:rsid w:val="00AE1C1C"/>
    <w:rsid w:val="00AF00D3"/>
    <w:rsid w:val="00AF7139"/>
    <w:rsid w:val="00B00A54"/>
    <w:rsid w:val="00B323EE"/>
    <w:rsid w:val="00B449BB"/>
    <w:rsid w:val="00B45E1E"/>
    <w:rsid w:val="00B753B3"/>
    <w:rsid w:val="00B8329A"/>
    <w:rsid w:val="00B84EAB"/>
    <w:rsid w:val="00B9393E"/>
    <w:rsid w:val="00BA20BD"/>
    <w:rsid w:val="00BB0E1D"/>
    <w:rsid w:val="00BB3401"/>
    <w:rsid w:val="00BC38F6"/>
    <w:rsid w:val="00BE1323"/>
    <w:rsid w:val="00BE3E9E"/>
    <w:rsid w:val="00BE5C63"/>
    <w:rsid w:val="00C045DA"/>
    <w:rsid w:val="00C077A0"/>
    <w:rsid w:val="00C311B7"/>
    <w:rsid w:val="00CA0041"/>
    <w:rsid w:val="00CA71AF"/>
    <w:rsid w:val="00CC0C96"/>
    <w:rsid w:val="00CD5BC7"/>
    <w:rsid w:val="00CE5419"/>
    <w:rsid w:val="00CF4598"/>
    <w:rsid w:val="00D01E7B"/>
    <w:rsid w:val="00D13AE0"/>
    <w:rsid w:val="00D221BF"/>
    <w:rsid w:val="00D253DA"/>
    <w:rsid w:val="00D411CA"/>
    <w:rsid w:val="00D4235D"/>
    <w:rsid w:val="00D55A72"/>
    <w:rsid w:val="00D86FB8"/>
    <w:rsid w:val="00DA1869"/>
    <w:rsid w:val="00DA70AE"/>
    <w:rsid w:val="00DF2D5D"/>
    <w:rsid w:val="00E3344B"/>
    <w:rsid w:val="00E36982"/>
    <w:rsid w:val="00E529DE"/>
    <w:rsid w:val="00E556C0"/>
    <w:rsid w:val="00E7601B"/>
    <w:rsid w:val="00E8126D"/>
    <w:rsid w:val="00E82A73"/>
    <w:rsid w:val="00E8718A"/>
    <w:rsid w:val="00EA11E0"/>
    <w:rsid w:val="00EA5BF6"/>
    <w:rsid w:val="00EC136C"/>
    <w:rsid w:val="00EC6608"/>
    <w:rsid w:val="00ED286E"/>
    <w:rsid w:val="00F06A14"/>
    <w:rsid w:val="00F10154"/>
    <w:rsid w:val="00F25D8A"/>
    <w:rsid w:val="00F42F2D"/>
    <w:rsid w:val="00F43ABD"/>
    <w:rsid w:val="00F565D4"/>
    <w:rsid w:val="00F57AEF"/>
    <w:rsid w:val="00F80C88"/>
    <w:rsid w:val="00FC0589"/>
    <w:rsid w:val="00FD2267"/>
    <w:rsid w:val="00FD3AC3"/>
    <w:rsid w:val="00FE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F0F4A"/>
  <w14:defaultImageDpi w14:val="32767"/>
  <w15:chartTrackingRefBased/>
  <w15:docId w15:val="{09DE6E1A-51D8-CE4F-9ED4-DC0BD0132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F082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18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18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186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186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186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186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186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186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186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18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18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18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18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18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18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18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18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18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18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A1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186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A1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186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A18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186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A18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8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8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186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A1E5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B4B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cf48d45-3ddb-4389-a9c1-c115526eb52e}" enabled="0" method="" siteId="{7cf48d45-3ddb-4389-a9c1-c115526eb52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Evans, Megan</dc:creator>
  <cp:keywords/>
  <dc:description/>
  <cp:lastModifiedBy>Evans, Megan</cp:lastModifiedBy>
  <cp:revision>15</cp:revision>
  <dcterms:created xsi:type="dcterms:W3CDTF">2025-06-13T07:57:00Z</dcterms:created>
  <dcterms:modified xsi:type="dcterms:W3CDTF">2025-06-20T13:53:00Z</dcterms:modified>
</cp:coreProperties>
</file>