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181B0" w14:textId="77777777" w:rsidR="00841822" w:rsidRPr="003A3CAF" w:rsidRDefault="003A3CAF">
      <w:pPr>
        <w:contextualSpacing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bookmarkStart w:id="0" w:name="_GoBack"/>
      <w:r w:rsidRPr="003A3CAF">
        <w:rPr>
          <w:rFonts w:cs="Times New Roman"/>
          <w:b/>
          <w:bCs/>
          <w:color w:val="000000" w:themeColor="text1"/>
          <w:sz w:val="20"/>
          <w:szCs w:val="20"/>
          <w:shd w:val="clear" w:color="auto" w:fill="FFFFFF"/>
        </w:rPr>
        <w:t>Fisheries Science, Online Resource of FISC-D-26-00043</w:t>
      </w:r>
    </w:p>
    <w:p w14:paraId="40B90EE9" w14:textId="77777777" w:rsidR="00841822" w:rsidRPr="003A3CAF" w:rsidRDefault="00841822">
      <w:pPr>
        <w:contextualSpacing/>
        <w:jc w:val="both"/>
        <w:rPr>
          <w:rFonts w:cs="Times New Roman"/>
          <w:bCs/>
          <w:color w:val="000000" w:themeColor="text1"/>
          <w:sz w:val="20"/>
          <w:szCs w:val="20"/>
        </w:rPr>
      </w:pPr>
    </w:p>
    <w:p w14:paraId="167DCF8C" w14:textId="77777777" w:rsidR="00841822" w:rsidRPr="003A3CAF" w:rsidRDefault="003A3CAF">
      <w:pPr>
        <w:contextualSpacing/>
        <w:jc w:val="both"/>
        <w:rPr>
          <w:rFonts w:cs="Times New Roman"/>
          <w:bCs/>
          <w:color w:val="000000" w:themeColor="text1"/>
          <w:sz w:val="20"/>
          <w:szCs w:val="20"/>
        </w:rPr>
      </w:pPr>
      <w:r w:rsidRPr="003A3CAF">
        <w:rPr>
          <w:rFonts w:cs="Times New Roman"/>
          <w:b/>
          <w:bCs/>
          <w:color w:val="000000" w:themeColor="text1"/>
          <w:sz w:val="20"/>
          <w:szCs w:val="20"/>
        </w:rPr>
        <w:t xml:space="preserve">Toward CPUE standardization of commercial passenger fishing vessel fisheries for </w:t>
      </w:r>
      <w:proofErr w:type="spellStart"/>
      <w:r w:rsidRPr="003A3CAF">
        <w:rPr>
          <w:rFonts w:cs="Times New Roman"/>
          <w:b/>
          <w:bCs/>
          <w:color w:val="000000" w:themeColor="text1"/>
          <w:sz w:val="20"/>
          <w:szCs w:val="20"/>
        </w:rPr>
        <w:t>largehead</w:t>
      </w:r>
      <w:proofErr w:type="spellEnd"/>
      <w:r w:rsidRPr="003A3CAF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3A3CAF">
        <w:rPr>
          <w:rFonts w:cs="Times New Roman"/>
          <w:b/>
          <w:bCs/>
          <w:color w:val="000000" w:themeColor="text1"/>
          <w:sz w:val="20"/>
          <w:szCs w:val="20"/>
        </w:rPr>
        <w:t>hairtail</w:t>
      </w:r>
      <w:proofErr w:type="spellEnd"/>
      <w:r w:rsidRPr="003A3CAF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3A3CAF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>Trichiurus</w:t>
      </w:r>
      <w:proofErr w:type="spellEnd"/>
      <w:r w:rsidRPr="003A3CAF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A3CAF">
        <w:rPr>
          <w:rFonts w:cs="Times New Roman"/>
          <w:b/>
          <w:bCs/>
          <w:i/>
          <w:iCs/>
          <w:color w:val="000000" w:themeColor="text1"/>
          <w:sz w:val="20"/>
          <w:szCs w:val="20"/>
        </w:rPr>
        <w:t>japonicus</w:t>
      </w:r>
      <w:proofErr w:type="spellEnd"/>
      <w:r w:rsidRPr="003A3CAF">
        <w:rPr>
          <w:rFonts w:cs="Times New Roman"/>
          <w:b/>
          <w:bCs/>
          <w:color w:val="000000" w:themeColor="text1"/>
          <w:sz w:val="20"/>
          <w:szCs w:val="20"/>
        </w:rPr>
        <w:t xml:space="preserve"> in Tokyo Bay</w:t>
      </w:r>
    </w:p>
    <w:p w14:paraId="738FEB99" w14:textId="77777777" w:rsidR="00841822" w:rsidRPr="003A3CAF" w:rsidRDefault="00841822">
      <w:pPr>
        <w:contextualSpacing/>
        <w:jc w:val="both"/>
        <w:rPr>
          <w:rFonts w:cs="Times New Roman"/>
          <w:bCs/>
          <w:color w:val="000000" w:themeColor="text1"/>
          <w:sz w:val="20"/>
          <w:szCs w:val="20"/>
        </w:rPr>
      </w:pPr>
    </w:p>
    <w:p w14:paraId="734E4032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bCs/>
          <w:color w:val="000000" w:themeColor="text1"/>
          <w:sz w:val="20"/>
          <w:szCs w:val="20"/>
        </w:rPr>
        <w:t>Author names</w:t>
      </w:r>
    </w:p>
    <w:p w14:paraId="1C01A27F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Hiroaki Kurihara</w:t>
      </w:r>
      <w:r w:rsidRPr="003A3CAF">
        <w:rPr>
          <w:rFonts w:cs="Times New Roman"/>
          <w:color w:val="000000" w:themeColor="text1"/>
          <w:sz w:val="20"/>
          <w:szCs w:val="20"/>
          <w:vertAlign w:val="superscript"/>
        </w:rPr>
        <w:t>1*</w:t>
      </w:r>
      <w:r w:rsidRPr="003A3CAF">
        <w:rPr>
          <w:rFonts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3A3CAF">
        <w:rPr>
          <w:rFonts w:cs="Times New Roman"/>
          <w:color w:val="000000" w:themeColor="text1"/>
          <w:sz w:val="20"/>
          <w:szCs w:val="20"/>
        </w:rPr>
        <w:t>Toyomitsu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 xml:space="preserve"> Horii</w:t>
      </w:r>
      <w:r w:rsidRPr="003A3CAF">
        <w:rPr>
          <w:rFonts w:cs="Times New Roman"/>
          <w:color w:val="000000" w:themeColor="text1"/>
          <w:sz w:val="20"/>
          <w:szCs w:val="20"/>
          <w:vertAlign w:val="superscript"/>
        </w:rPr>
        <w:t>1</w:t>
      </w:r>
    </w:p>
    <w:p w14:paraId="05C39E02" w14:textId="77777777" w:rsidR="00841822" w:rsidRPr="003A3CAF" w:rsidRDefault="00841822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</w:p>
    <w:p w14:paraId="3C916B39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  <w:vertAlign w:val="superscript"/>
        </w:rPr>
        <w:t>1</w:t>
      </w:r>
      <w:r w:rsidRPr="003A3CAF">
        <w:rPr>
          <w:rFonts w:cs="Times New Roman"/>
          <w:color w:val="000000" w:themeColor="text1"/>
          <w:sz w:val="20"/>
          <w:szCs w:val="20"/>
        </w:rPr>
        <w:t xml:space="preserve">Fisheries Stock Assessment Center, Fisheries Resources Institute, Japan Fisheries Research and Education Agency, 2-12-4 </w:t>
      </w:r>
      <w:proofErr w:type="spellStart"/>
      <w:r w:rsidRPr="003A3CAF">
        <w:rPr>
          <w:rFonts w:cs="Times New Roman"/>
          <w:color w:val="000000" w:themeColor="text1"/>
          <w:sz w:val="20"/>
          <w:szCs w:val="20"/>
        </w:rPr>
        <w:t>Fukuura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>, Kanazawa-</w:t>
      </w:r>
      <w:proofErr w:type="spellStart"/>
      <w:r w:rsidRPr="003A3CAF">
        <w:rPr>
          <w:rFonts w:cs="Times New Roman"/>
          <w:color w:val="000000" w:themeColor="text1"/>
          <w:sz w:val="20"/>
          <w:szCs w:val="20"/>
        </w:rPr>
        <w:t>ku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>, Yokohama, Kanagawa 236-8648, Japan</w:t>
      </w:r>
    </w:p>
    <w:p w14:paraId="31CB41E6" w14:textId="77777777" w:rsidR="00841822" w:rsidRPr="003A3CAF" w:rsidRDefault="00841822">
      <w:pPr>
        <w:contextualSpacing/>
        <w:jc w:val="both"/>
        <w:rPr>
          <w:rFonts w:cs="Times New Roman"/>
          <w:bCs/>
          <w:color w:val="000000" w:themeColor="text1"/>
          <w:sz w:val="20"/>
          <w:szCs w:val="20"/>
          <w:vertAlign w:val="superscript"/>
        </w:rPr>
      </w:pPr>
    </w:p>
    <w:p w14:paraId="5DABE660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bCs/>
          <w:color w:val="000000" w:themeColor="text1"/>
          <w:sz w:val="20"/>
          <w:szCs w:val="20"/>
          <w:vertAlign w:val="superscript"/>
        </w:rPr>
        <w:t>*</w:t>
      </w:r>
      <w:r w:rsidRPr="003A3CAF">
        <w:rPr>
          <w:rFonts w:cs="Times New Roman"/>
          <w:bCs/>
          <w:color w:val="000000" w:themeColor="text1"/>
          <w:sz w:val="20"/>
          <w:szCs w:val="20"/>
        </w:rPr>
        <w:t xml:space="preserve">Corresponding author: </w:t>
      </w:r>
      <w:r w:rsidRPr="003A3CAF">
        <w:rPr>
          <w:rFonts w:cs="Times New Roman"/>
          <w:color w:val="000000" w:themeColor="text1"/>
          <w:sz w:val="20"/>
          <w:szCs w:val="20"/>
        </w:rPr>
        <w:t>Hiroaki Kurihara</w:t>
      </w:r>
    </w:p>
    <w:p w14:paraId="26B1D834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TEL: 045-788-7912; E-mail address: kur</w:t>
      </w:r>
      <w:r w:rsidRPr="003A3CAF">
        <w:rPr>
          <w:rFonts w:cs="Times New Roman"/>
          <w:color w:val="000000" w:themeColor="text1"/>
          <w:sz w:val="20"/>
          <w:szCs w:val="20"/>
        </w:rPr>
        <w:t>ihara_hiroaki58@fra.go.jp</w:t>
      </w:r>
    </w:p>
    <w:p w14:paraId="0FC008E0" w14:textId="77777777" w:rsidR="00841822" w:rsidRPr="003A3CAF" w:rsidRDefault="00841822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</w:p>
    <w:p w14:paraId="552145E0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proofErr w:type="spellStart"/>
      <w:r w:rsidRPr="003A3CAF">
        <w:rPr>
          <w:rFonts w:cs="Times New Roman"/>
          <w:color w:val="000000" w:themeColor="text1"/>
          <w:sz w:val="20"/>
          <w:szCs w:val="20"/>
        </w:rPr>
        <w:t>Toyomitsu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 xml:space="preserve"> Horii</w:t>
      </w:r>
    </w:p>
    <w:p w14:paraId="78828DAB" w14:textId="77777777" w:rsidR="00841822" w:rsidRPr="003A3CAF" w:rsidRDefault="003A3CAF">
      <w:pPr>
        <w:contextualSpacing/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E-mail address: horii_toyomitsu26@fra.go.jp</w:t>
      </w:r>
    </w:p>
    <w:p w14:paraId="4381DD85" w14:textId="77777777" w:rsidR="00841822" w:rsidRPr="003A3CAF" w:rsidRDefault="003A3CAF">
      <w:pPr>
        <w:suppressAutoHyphens w:val="0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681C0FA8" w14:textId="77777777" w:rsidR="00841822" w:rsidRPr="003A3CAF" w:rsidRDefault="003A3CAF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lastRenderedPageBreak/>
        <w:drawing>
          <wp:inline distT="0" distB="0" distL="0" distR="0" wp14:anchorId="1368CA48" wp14:editId="3624FA9B">
            <wp:extent cx="4635500" cy="35941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17FCB" w14:textId="0CC7C2CC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 xml:space="preserve">Fig. S1. Distribution of the number of </w:t>
      </w:r>
      <w:proofErr w:type="spellStart"/>
      <w:r w:rsidRPr="003A3CAF">
        <w:rPr>
          <w:rFonts w:cs="Times New Roman"/>
          <w:i/>
          <w:iCs/>
          <w:color w:val="000000" w:themeColor="text1"/>
          <w:sz w:val="20"/>
          <w:szCs w:val="20"/>
        </w:rPr>
        <w:t>Trichiurus</w:t>
      </w:r>
      <w:proofErr w:type="spellEnd"/>
      <w:r w:rsidRPr="003A3CAF">
        <w:rPr>
          <w:rFonts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3A3CAF">
        <w:rPr>
          <w:rFonts w:cs="Times New Roman"/>
          <w:i/>
          <w:iCs/>
          <w:color w:val="000000" w:themeColor="text1"/>
          <w:sz w:val="20"/>
          <w:szCs w:val="20"/>
        </w:rPr>
        <w:t>japonicus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 xml:space="preserve"> caught by 4,728 cumulative anglers aboard two CPFVs in Tokyo Bay during the period from 1 April 2024 to 31 March 2025.</w:t>
      </w:r>
      <w:r w:rsidR="0066656C" w:rsidRPr="003A3CAF">
        <w:rPr>
          <w:rFonts w:cs="Times New Roman"/>
          <w:color w:val="000000" w:themeColor="text1"/>
          <w:sz w:val="20"/>
          <w:szCs w:val="20"/>
        </w:rPr>
        <w:t xml:space="preserve"> The dashed line indicate mean catch number</w:t>
      </w:r>
      <w:r w:rsidR="0057671F" w:rsidRPr="003A3CAF">
        <w:rPr>
          <w:rFonts w:cs="Times New Roman"/>
          <w:color w:val="000000" w:themeColor="text1"/>
          <w:sz w:val="20"/>
          <w:szCs w:val="20"/>
        </w:rPr>
        <w:t xml:space="preserve"> per angler</w:t>
      </w:r>
      <w:r w:rsidR="0021125E" w:rsidRPr="003A3CAF">
        <w:rPr>
          <w:rFonts w:cs="Times New Roman"/>
          <w:color w:val="000000" w:themeColor="text1"/>
          <w:sz w:val="20"/>
          <w:szCs w:val="20"/>
        </w:rPr>
        <w:t xml:space="preserve"> of this species</w:t>
      </w:r>
      <w:r w:rsidR="00A83BBD" w:rsidRPr="003A3CAF">
        <w:rPr>
          <w:rFonts w:cs="Times New Roman"/>
          <w:color w:val="000000" w:themeColor="text1"/>
          <w:sz w:val="20"/>
          <w:szCs w:val="20"/>
        </w:rPr>
        <w:t xml:space="preserve"> in the data</w:t>
      </w:r>
      <w:r w:rsidR="0066656C" w:rsidRPr="003A3CAF">
        <w:rPr>
          <w:rFonts w:cs="Times New Roman"/>
          <w:color w:val="000000" w:themeColor="text1"/>
          <w:sz w:val="20"/>
          <w:szCs w:val="20"/>
        </w:rPr>
        <w:t>.</w:t>
      </w:r>
    </w:p>
    <w:p w14:paraId="43E04778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0E228D54" w14:textId="77777777" w:rsidR="00841822" w:rsidRPr="003A3CAF" w:rsidRDefault="003A3CAF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lastRenderedPageBreak/>
        <w:drawing>
          <wp:inline distT="0" distB="0" distL="0" distR="0" wp14:anchorId="43AEECF7" wp14:editId="28C5A5B6">
            <wp:extent cx="3022600" cy="46736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494F9" w14:textId="77777777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Fig. S2 Comparison of BIC distributions between P</w:t>
      </w:r>
      <w:r w:rsidRPr="003A3CAF">
        <w:rPr>
          <w:rFonts w:cs="Times New Roman"/>
          <w:color w:val="000000" w:themeColor="text1"/>
          <w:sz w:val="20"/>
          <w:szCs w:val="20"/>
        </w:rPr>
        <w:t>oisson and Negative Binomial (</w:t>
      </w:r>
      <w:proofErr w:type="spellStart"/>
      <w:r w:rsidRPr="003A3CAF">
        <w:rPr>
          <w:rFonts w:cs="Times New Roman"/>
          <w:color w:val="000000" w:themeColor="text1"/>
          <w:sz w:val="20"/>
          <w:szCs w:val="20"/>
        </w:rPr>
        <w:t>NegBinom</w:t>
      </w:r>
      <w:proofErr w:type="spellEnd"/>
      <w:r w:rsidRPr="003A3CAF">
        <w:rPr>
          <w:rFonts w:cs="Times New Roman"/>
          <w:color w:val="000000" w:themeColor="text1"/>
          <w:sz w:val="20"/>
          <w:szCs w:val="20"/>
        </w:rPr>
        <w:t>) models</w:t>
      </w:r>
    </w:p>
    <w:p w14:paraId="0523FCE9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50AA3210" w14:textId="77777777" w:rsidR="00841822" w:rsidRPr="003A3CAF" w:rsidRDefault="003A3CAF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4172F2C3" wp14:editId="71D7ECCB">
            <wp:extent cx="2273300" cy="34544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6B3A" w14:textId="3F85F0B2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Fig. S3. Upper panel: Quantile-Quantile plot of the best generalized additive model (red line indicates ideal position of data). Lower panel: Deviance residuals histogram of the generalized additive model</w:t>
      </w:r>
      <w:r w:rsidR="00950669" w:rsidRPr="003A3CAF">
        <w:rPr>
          <w:rFonts w:cs="Times New Roman"/>
          <w:color w:val="000000" w:themeColor="text1"/>
          <w:sz w:val="20"/>
          <w:szCs w:val="20"/>
        </w:rPr>
        <w:t>.</w:t>
      </w:r>
    </w:p>
    <w:p w14:paraId="7DD15A9F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638E7BB2" w14:textId="371A0AAB" w:rsidR="00841822" w:rsidRPr="003A3CAF" w:rsidRDefault="00DC76E0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7D180734" wp14:editId="0F919D03">
            <wp:extent cx="4635500" cy="3594100"/>
            <wp:effectExtent l="0" t="0" r="0" b="0"/>
            <wp:docPr id="17950058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005829" name="図 17950058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C581E" w14:textId="0A0B1A0B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Fig. S4 Number of anglers by day of the week for each of the two CPFV.s</w:t>
      </w:r>
      <w:r w:rsidR="0065245B" w:rsidRPr="003A3CAF">
        <w:rPr>
          <w:rFonts w:cs="Times New Roman"/>
          <w:color w:val="000000" w:themeColor="text1"/>
          <w:sz w:val="20"/>
          <w:szCs w:val="20"/>
        </w:rPr>
        <w:t>.</w:t>
      </w:r>
    </w:p>
    <w:p w14:paraId="7C3D6BC9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5B5CE5A5" w14:textId="77777777" w:rsidR="00841822" w:rsidRPr="003A3CAF" w:rsidRDefault="003A3CAF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7D04B002" wp14:editId="37E14087">
            <wp:extent cx="4635500" cy="359410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2CCE0" w14:textId="6F822B83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Fig. S5 Relationship between number of fish caught (count), seat position (end or side) and passenger density (number of recreational anglers).</w:t>
      </w:r>
    </w:p>
    <w:p w14:paraId="38DA705D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2F156219" w14:textId="77777777" w:rsidR="00841822" w:rsidRPr="003A3CAF" w:rsidRDefault="003A3CAF">
      <w:pPr>
        <w:jc w:val="center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57754200" wp14:editId="4871D45D">
            <wp:extent cx="4635500" cy="35941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12967" w14:textId="77777777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 xml:space="preserve">Fig. S6 Relationship </w:t>
      </w:r>
      <w:r w:rsidRPr="003A3CAF">
        <w:rPr>
          <w:rFonts w:cs="Times New Roman"/>
          <w:color w:val="000000" w:themeColor="text1"/>
          <w:sz w:val="20"/>
          <w:szCs w:val="20"/>
        </w:rPr>
        <w:t>between moon age and the mean tidal range during CPFV operations.</w:t>
      </w:r>
    </w:p>
    <w:p w14:paraId="447E49D5" w14:textId="77777777" w:rsidR="00841822" w:rsidRPr="003A3CAF" w:rsidRDefault="003A3CAF">
      <w:pPr>
        <w:suppressAutoHyphens w:val="0"/>
        <w:spacing w:line="259" w:lineRule="auto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3BE33C0F" w14:textId="6278B53B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Table S1. Summary and definition of the continuous variables used in this study.</w:t>
      </w:r>
    </w:p>
    <w:tbl>
      <w:tblPr>
        <w:tblStyle w:val="TableGridLight"/>
        <w:tblW w:w="9072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851"/>
        <w:gridCol w:w="709"/>
        <w:gridCol w:w="708"/>
        <w:gridCol w:w="851"/>
        <w:gridCol w:w="850"/>
        <w:gridCol w:w="711"/>
        <w:gridCol w:w="1273"/>
      </w:tblGrid>
      <w:tr w:rsidR="003A3CAF" w:rsidRPr="003A3CAF" w14:paraId="5819A5F1" w14:textId="77777777"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783D07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E0FD8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06A385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016DA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FD9658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218EA8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Median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E9E18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Min</w:t>
            </w:r>
          </w:p>
        </w:tc>
        <w:tc>
          <w:tcPr>
            <w:tcW w:w="71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77E09D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Max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4CF32C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Data source</w:t>
            </w:r>
          </w:p>
        </w:tc>
      </w:tr>
      <w:tr w:rsidR="003A3CAF" w:rsidRPr="003A3CAF" w14:paraId="2B8131E9" w14:textId="77777777"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AFFE8E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Number of catches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697351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Number of </w:t>
            </w:r>
            <w:r w:rsidRPr="003A3CAF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T. japonicus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caught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 per angler per trip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1DCBCB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4728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C3FF6E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10.9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CF071A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8.72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F46180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5F1462A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C19EE5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27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9D996F5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3BA3ECC8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489B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Number of anglers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212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Number of anglers per side of the vessel per trip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C4E9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5DE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7.3 (6.4, 7.7)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7A8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2.11 (2.4, 1.8)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868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 (7, 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7ED4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 (1, 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209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11 (11, 11)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98870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6DB723A8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820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Temperature (°C)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D454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Daily water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temperature at 50 m depth in the main fishing area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787B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F3A6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18.3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1162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AC21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5890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EDA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25.7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B67B9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FRAROMS-II</w:t>
            </w:r>
          </w:p>
        </w:tc>
      </w:tr>
      <w:tr w:rsidR="003A3CAF" w:rsidRPr="003A3CAF" w14:paraId="15E01D1E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FE33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Salinity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655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Daily salinity at 50 m depth in the main fishing area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C216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97D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34.4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50B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F7F3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0D2D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33.6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5B59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34.7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309EA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FRAROMS-II</w:t>
            </w:r>
          </w:p>
        </w:tc>
      </w:tr>
      <w:tr w:rsidR="003A3CAF" w:rsidRPr="003A3CAF" w14:paraId="62B4FA4E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9C9D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Mean tidal range (cm)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0EA9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Mean tidal range during fishing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hours (07:00–13:00)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4602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5B9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C464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5DD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9326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1.36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08A7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27.3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BDAC8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Regional Delayed Mode Database</w:t>
            </w:r>
          </w:p>
        </w:tc>
      </w:tr>
      <w:tr w:rsidR="003A3CAF" w:rsidRPr="003A3CAF" w14:paraId="4D476717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35F6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Mean wind direction (°)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967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Mean wind direction during fishing hours (07:00–13:00)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EE8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9A93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95.12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D74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93A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93.21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DF49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ABCB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D4E09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Japan Meteorological Agency database</w:t>
            </w:r>
          </w:p>
        </w:tc>
      </w:tr>
      <w:tr w:rsidR="003A3CAF" w:rsidRPr="003A3CAF" w14:paraId="5DB04288" w14:textId="77777777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AC38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Precipitation (mm)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D1580" w14:textId="4AB1F66C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 xml:space="preserve">Daily 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precipitation in Yokohama on the fishing 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8D18" w14:textId="77777777" w:rsidR="00841822" w:rsidRPr="003A3CAF" w:rsidRDefault="003A3CAF">
            <w:pPr>
              <w:widowControl w:val="0"/>
              <w:spacing w:after="0"/>
              <w:ind w:left="840" w:hanging="84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7910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CC6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65D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1659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416D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58.5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4783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Japan Meteorological Agency database</w:t>
            </w:r>
          </w:p>
        </w:tc>
      </w:tr>
      <w:tr w:rsidR="003A3CAF" w:rsidRPr="003A3CAF" w14:paraId="6212C69D" w14:textId="77777777"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DF5425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Moon phase age</w:t>
            </w:r>
            <w:r w:rsidRPr="003A3CAF">
              <w:rPr>
                <w:rFonts w:cs="Times New Roman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4FF8CE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Moon phase age on the fishing 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ACE413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5A8515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15.0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54459C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A3520D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39305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FF825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29.6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C375709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Calendar</w:t>
            </w:r>
          </w:p>
        </w:tc>
      </w:tr>
    </w:tbl>
    <w:p w14:paraId="055A66C8" w14:textId="477DE7CA" w:rsidR="00841822" w:rsidRPr="003A3CAF" w:rsidRDefault="00F60245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 w:hint="eastAsia"/>
          <w:color w:val="000000" w:themeColor="text1"/>
          <w:sz w:val="20"/>
          <w:szCs w:val="20"/>
        </w:rPr>
        <w:t>Note</w:t>
      </w:r>
      <w:r w:rsidRPr="003A3CAF">
        <w:rPr>
          <w:rFonts w:cs="Times New Roman"/>
          <w:color w:val="000000" w:themeColor="text1"/>
          <w:sz w:val="20"/>
          <w:szCs w:val="20"/>
        </w:rPr>
        <w:t xml:space="preserve">: Values in parentheses indicate seat-position-specific summaries, shown as side seats followed by end seats. For the variable “Mean wind direction,” the reported values are the circular mean, circular standard deviation (SD), and circular median. </w:t>
      </w:r>
      <w:r w:rsidRPr="003A3CAF">
        <w:rPr>
          <w:rFonts w:cs="Times New Roman" w:hint="eastAsia"/>
          <w:color w:val="000000" w:themeColor="text1"/>
          <w:sz w:val="20"/>
          <w:szCs w:val="20"/>
        </w:rPr>
        <w:t>*</w:t>
      </w:r>
      <w:r w:rsidRPr="003A3CAF">
        <w:rPr>
          <w:rFonts w:cs="Times New Roman"/>
          <w:color w:val="000000" w:themeColor="text1"/>
          <w:sz w:val="20"/>
          <w:szCs w:val="20"/>
        </w:rPr>
        <w:t>, Angler-level variable; †, Trip-side-level variable (defined for each vessel × date × side combination); ‡, Day-level variable (one value per fishing day, shared across vessels).</w:t>
      </w:r>
    </w:p>
    <w:p w14:paraId="7825AFCA" w14:textId="77777777" w:rsidR="00841822" w:rsidRPr="003A3CAF" w:rsidRDefault="003A3CAF">
      <w:pPr>
        <w:spacing w:after="0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br w:type="page"/>
      </w:r>
    </w:p>
    <w:p w14:paraId="58D5CDDF" w14:textId="3E9E63D0" w:rsidR="00841822" w:rsidRPr="003A3CAF" w:rsidRDefault="003A3CAF">
      <w:pPr>
        <w:jc w:val="both"/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Table S2. Summary and definition of the categorical variables used in this study.</w:t>
      </w:r>
    </w:p>
    <w:tbl>
      <w:tblPr>
        <w:tblStyle w:val="TableGridLight"/>
        <w:tblW w:w="9072" w:type="dxa"/>
        <w:tblLayout w:type="fixed"/>
        <w:tblLook w:val="04A0" w:firstRow="1" w:lastRow="0" w:firstColumn="1" w:lastColumn="0" w:noHBand="0" w:noVBand="1"/>
      </w:tblPr>
      <w:tblGrid>
        <w:gridCol w:w="1102"/>
        <w:gridCol w:w="3010"/>
        <w:gridCol w:w="1559"/>
        <w:gridCol w:w="709"/>
        <w:gridCol w:w="708"/>
        <w:gridCol w:w="1984"/>
      </w:tblGrid>
      <w:tr w:rsidR="003A3CAF" w:rsidRPr="003A3CAF" w14:paraId="04928395" w14:textId="77777777">
        <w:tc>
          <w:tcPr>
            <w:tcW w:w="110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D47B6A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01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337324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90D98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AF62D6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138404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05B8E1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Source</w:t>
            </w:r>
          </w:p>
        </w:tc>
      </w:tr>
      <w:tr w:rsidR="003A3CAF" w:rsidRPr="003A3CAF" w14:paraId="342DBE7F" w14:textId="77777777">
        <w:tc>
          <w:tcPr>
            <w:tcW w:w="110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3CEA30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Vessel</w:t>
            </w:r>
          </w:p>
        </w:tc>
        <w:tc>
          <w:tcPr>
            <w:tcW w:w="301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9510A5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 xml:space="preserve">Identity </w:t>
            </w: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of the commercial passenger fishing vessel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506EB2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Yonemoto Maru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576E89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3024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DC5CB0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64.0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80A09FA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64BBBE5C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1DF95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41FA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EEE6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Noriyuki Maru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CFCC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1704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A0E7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36.0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09EE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3D05D4F3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2B38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Seat position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E0F4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Seating position of each angler on the vessel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948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6CDB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1467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DB4F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31.0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3AA37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25AAD181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7475E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B9D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2F8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Side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F22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3261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D78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69.0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23CA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6DB3C8EC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4028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Day of the week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C58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 xml:space="preserve">Calendar </w:t>
            </w: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day category of the fishing trip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35F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Sunday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921F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ACA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20.6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1FA16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Calendar</w:t>
            </w:r>
          </w:p>
        </w:tc>
      </w:tr>
      <w:tr w:rsidR="003A3CAF" w:rsidRPr="003A3CAF" w14:paraId="5E596304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00903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48F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5BD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Monday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9B19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35C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9.3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6B5C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4E71DCF8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86BF1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CE12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B7A5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Tuesday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CB8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C50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93062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4CE4200A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6E6DF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3A525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355C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Wednesday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DC63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CA5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E7BC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33F65C4C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E0C80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287C8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FD21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Thursday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C367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593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2842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62D4755F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F8DCE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FC22B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8DD8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Friday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C80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7B8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2B7DD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00BAC2BA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7A06C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1F9B8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5E15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Saturday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168E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E0D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20.5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ACB01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70BAE003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D197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78191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25CA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Holiday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1AA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FEF0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0C2B9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54E83F83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0C4C1" w14:textId="5203F162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Fishing g</w:t>
            </w:r>
            <w:r w:rsidR="00066C5E"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ear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90F1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 xml:space="preserve">Type of fishing gear used by each </w:t>
            </w: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angler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472D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Tenya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6969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3334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168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70.5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C8F6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16FD7D27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5CA1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376BC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EF9D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Balance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7EE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1317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477A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E32A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751FB936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122B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0BCA9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6C5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Lure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5AB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BE3C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96E5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1F676D84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14DB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Month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F647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Calendar month of the fishing trip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EBE5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January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7F80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ECC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12.8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245AB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Calendar</w:t>
            </w:r>
          </w:p>
        </w:tc>
      </w:tr>
      <w:tr w:rsidR="003A3CAF" w:rsidRPr="003A3CAF" w14:paraId="074006CF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23D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9B6FE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E02B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February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B1B8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B8C8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9.8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A7D92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730377C5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F297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457F4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285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March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AB53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7009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F1D49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27F81A79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6C33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CF2F8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1FEF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April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3E24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2B5C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4972A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590DCADC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633A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7AF05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20B8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May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173D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DEB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09B9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365D03FF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C2CCC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F3D8B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8B02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June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A7F0D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04C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7.8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B462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0FC3D888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12CC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0E8B0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B73D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July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7D90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605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6D7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12.8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F6C6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74B19E5E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6A1A3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C7F4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9809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August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7542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547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55E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8B88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68B69E2D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84AB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F6C04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F8B6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September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3BFD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549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46C22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2EF1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01002339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F2141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B8C96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D256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October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0516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0DC93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8.4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AD7A7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5ED73D4B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3F76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19DF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3608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November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CFB0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534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A8BF0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5D013674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4E8D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24B4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5F10B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December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3A2A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512C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DEC0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3A3CAF" w:rsidRPr="003A3CAF" w14:paraId="0DEF5317" w14:textId="7777777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DDA7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Vessel side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1D85" w14:textId="50AF69DE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eastAsia="Yu Gothic" w:cs="Times New Roman"/>
                <w:color w:val="000000" w:themeColor="text1"/>
                <w:sz w:val="20"/>
                <w:szCs w:val="20"/>
              </w:rPr>
              <w:t>Side of the vessel from which the angler fished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F4696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Port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EF6F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2349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57AC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49.7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3C4BD" w14:textId="77777777" w:rsidR="00841822" w:rsidRPr="003A3CAF" w:rsidRDefault="003A3CAF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SNS; vessel website</w:t>
            </w:r>
          </w:p>
        </w:tc>
      </w:tr>
      <w:tr w:rsidR="003A3CAF" w:rsidRPr="003A3CAF" w14:paraId="21678E8B" w14:textId="77777777"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1535753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549C6F1" w14:textId="77777777" w:rsidR="00841822" w:rsidRPr="003A3CAF" w:rsidRDefault="00841822">
            <w:pPr>
              <w:widowControl w:val="0"/>
              <w:spacing w:after="0"/>
              <w:contextualSpacing/>
              <w:jc w:val="center"/>
              <w:rPr>
                <w:rFonts w:eastAsia="Yu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A6209CE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Starboard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1F0025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2379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6558341" w14:textId="77777777" w:rsidR="00841822" w:rsidRPr="003A3CAF" w:rsidRDefault="003A3CAF">
            <w:pPr>
              <w:widowControl w:val="0"/>
              <w:spacing w:after="0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A3CAF">
              <w:rPr>
                <w:rFonts w:cs="Times New Roman"/>
                <w:color w:val="000000" w:themeColor="text1"/>
                <w:sz w:val="20"/>
                <w:szCs w:val="20"/>
              </w:rPr>
              <w:t>50.3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999192D" w14:textId="77777777" w:rsidR="00841822" w:rsidRPr="003A3CAF" w:rsidRDefault="00841822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CD43102" w14:textId="5FA2A7E1" w:rsidR="00841822" w:rsidRPr="003A3CAF" w:rsidRDefault="004506BA">
      <w:pPr>
        <w:rPr>
          <w:rFonts w:cs="Times New Roman"/>
          <w:color w:val="000000" w:themeColor="text1"/>
          <w:sz w:val="20"/>
          <w:szCs w:val="20"/>
        </w:rPr>
      </w:pPr>
      <w:r w:rsidRPr="003A3CAF">
        <w:rPr>
          <w:rFonts w:cs="Times New Roman"/>
          <w:color w:val="000000" w:themeColor="text1"/>
          <w:sz w:val="20"/>
          <w:szCs w:val="20"/>
        </w:rPr>
        <w:t>Note: n and % indicate, respectively, the number and proportion of observations at the corresponding level of variation.</w:t>
      </w:r>
    </w:p>
    <w:bookmarkEnd w:id="0"/>
    <w:p w14:paraId="3BED95B2" w14:textId="77777777" w:rsidR="00066C5E" w:rsidRPr="003A3CAF" w:rsidRDefault="00066C5E">
      <w:pPr>
        <w:rPr>
          <w:rFonts w:cs="Times New Roman"/>
          <w:color w:val="000000" w:themeColor="text1"/>
          <w:sz w:val="20"/>
          <w:szCs w:val="20"/>
        </w:rPr>
      </w:pPr>
    </w:p>
    <w:sectPr w:rsidR="00066C5E" w:rsidRPr="003A3CAF" w:rsidSect="003A3CAF">
      <w:headerReference w:type="even" r:id="rId12"/>
      <w:headerReference w:type="default" r:id="rId13"/>
      <w:headerReference w:type="first" r:id="rId14"/>
      <w:pgSz w:w="11906" w:h="16838"/>
      <w:pgMar w:top="1418" w:right="1418" w:bottom="1418" w:left="1418" w:header="0" w:footer="0" w:gutter="0"/>
      <w:cols w:space="720"/>
      <w:formProt w:val="0"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13801" w14:textId="77777777" w:rsidR="00E977A0" w:rsidRDefault="00E977A0" w:rsidP="0031393E">
      <w:pPr>
        <w:spacing w:after="0"/>
      </w:pPr>
      <w:r>
        <w:separator/>
      </w:r>
    </w:p>
  </w:endnote>
  <w:endnote w:type="continuationSeparator" w:id="0">
    <w:p w14:paraId="05F51F9E" w14:textId="77777777" w:rsidR="00E977A0" w:rsidRDefault="00E977A0" w:rsidP="003139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Mincho Pro W3">
    <w:altName w:val="Malgun Gothic Semilight"/>
    <w:charset w:val="80"/>
    <w:family w:val="roman"/>
    <w:pitch w:val="variable"/>
    <w:sig w:usb0="00000000" w:usb1="7AC7FFFF" w:usb2="00000012" w:usb3="00000000" w:csb0="0002000D" w:csb1="00000000"/>
  </w:font>
  <w:font w:name="Times New Roman (本文のフォント - コンプレ">
    <w:altName w:val="MS Gothic"/>
    <w:charset w:val="8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;Arial">
    <w:altName w:val="Arial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;Times New Roman">
    <w:charset w:val="00"/>
    <w:family w:val="roman"/>
    <w:pitch w:val="default"/>
  </w:font>
  <w:font w:name="Liberation Serif;Times New Roma">
    <w:altName w:val="Times New Roman"/>
    <w:charset w:val="00"/>
    <w:family w:val="roman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1B0C9" w14:textId="77777777" w:rsidR="00E977A0" w:rsidRDefault="00E977A0" w:rsidP="0031393E">
      <w:pPr>
        <w:spacing w:after="0"/>
      </w:pPr>
      <w:r>
        <w:separator/>
      </w:r>
    </w:p>
  </w:footnote>
  <w:footnote w:type="continuationSeparator" w:id="0">
    <w:p w14:paraId="2A30848D" w14:textId="77777777" w:rsidR="00E977A0" w:rsidRDefault="00E977A0" w:rsidP="003139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6417C" w14:textId="4A95C815" w:rsidR="0031393E" w:rsidRDefault="0031393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E04D7" w14:textId="148EEFE4" w:rsidR="0031393E" w:rsidRDefault="0031393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C7484" w14:textId="72933616" w:rsidR="0031393E" w:rsidRDefault="003139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840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22"/>
    <w:rsid w:val="00066C5E"/>
    <w:rsid w:val="00201241"/>
    <w:rsid w:val="0021125E"/>
    <w:rsid w:val="00282C12"/>
    <w:rsid w:val="00291F8B"/>
    <w:rsid w:val="0031393E"/>
    <w:rsid w:val="003A3CAF"/>
    <w:rsid w:val="003C1018"/>
    <w:rsid w:val="004506BA"/>
    <w:rsid w:val="0057671F"/>
    <w:rsid w:val="0065245B"/>
    <w:rsid w:val="0066656C"/>
    <w:rsid w:val="00841822"/>
    <w:rsid w:val="00950669"/>
    <w:rsid w:val="00990938"/>
    <w:rsid w:val="009C7906"/>
    <w:rsid w:val="00A83BBD"/>
    <w:rsid w:val="00BD1E2E"/>
    <w:rsid w:val="00C2226F"/>
    <w:rsid w:val="00D01291"/>
    <w:rsid w:val="00DC76E0"/>
    <w:rsid w:val="00E85F02"/>
    <w:rsid w:val="00E977A0"/>
    <w:rsid w:val="00F167B9"/>
    <w:rsid w:val="00F60245"/>
    <w:rsid w:val="00FD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4C307"/>
  <w15:docId w15:val="{ECFCFAB5-C6EB-1A47-9312-F21FCA0D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919"/>
    <w:pPr>
      <w:spacing w:after="160"/>
    </w:pPr>
    <w:rPr>
      <w:rFonts w:ascii="Times New Roman" w:eastAsia="Hiragino Mincho Pro W3" w:hAnsi="Times New Roman" w:cs="Times New Roman (本文のフォント - コンプレ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919"/>
    <w:pPr>
      <w:keepNext/>
      <w:keepLines/>
      <w:suppressAutoHyphens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91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919"/>
    <w:pPr>
      <w:keepNext/>
      <w:keepLines/>
      <w:suppressAutoHyphens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ind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ind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ind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ind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919"/>
    <w:pPr>
      <w:keepNext/>
      <w:keepLines/>
      <w:suppressAutoHyphens w:val="0"/>
      <w:spacing w:before="80" w:after="40" w:line="259" w:lineRule="auto"/>
      <w:ind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069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B06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qFormat/>
    <w:rsid w:val="00B0691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B069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B0691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06919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B06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919"/>
    <w:rPr>
      <w:b/>
      <w:bCs/>
      <w:smallCaps/>
      <w:color w:val="0F4761" w:themeColor="accent1" w:themeShade="BF"/>
      <w:spacing w:val="5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S Gothic" w:hAnsi="Liberation Sans;Arial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eastAsia="MS Mincho;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;Times New Roma" w:eastAsia="MS Mincho;Times New Roman" w:hAnsi="Liberation Serif;Times New Roma" w:cs="Lucida 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ascii="Liberation Serif;Times New Roma" w:eastAsia="MS Mincho;Times New Roman" w:hAnsi="Liberation Serif;Times New Roma"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B06919"/>
    <w:pPr>
      <w:suppressAutoHyphens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919"/>
    <w:pPr>
      <w:suppressAutoHyphens w:val="0"/>
      <w:spacing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919"/>
    <w:pPr>
      <w:suppressAutoHyphens w:val="0"/>
      <w:spacing w:before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919"/>
    <w:pPr>
      <w:suppressAutoHyphens w:val="0"/>
      <w:spacing w:line="259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919"/>
    <w:pPr>
      <w:pBdr>
        <w:top w:val="single" w:sz="4" w:space="10" w:color="0F4761"/>
        <w:bottom w:val="single" w:sz="4" w:space="10" w:color="0F4761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table" w:styleId="TableGridLight">
    <w:name w:val="Grid Table Light"/>
    <w:basedOn w:val="TableNormal"/>
    <w:uiPriority w:val="40"/>
    <w:rsid w:val="00210D0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Hiragino Mincho Pro W3" w:hAnsi="Times New Roman" w:cs="Times New Roman (本文のフォント - コンプレ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Revision">
    <w:name w:val="Revision"/>
    <w:hidden/>
    <w:uiPriority w:val="99"/>
    <w:semiHidden/>
    <w:rsid w:val="00950669"/>
    <w:pPr>
      <w:suppressAutoHyphens w:val="0"/>
    </w:pPr>
    <w:rPr>
      <w:rFonts w:ascii="Times New Roman" w:eastAsia="Hiragino Mincho Pro W3" w:hAnsi="Times New Roman" w:cs="Times New Roman (本文のフォント - コンプレ"/>
    </w:rPr>
  </w:style>
  <w:style w:type="paragraph" w:styleId="Header">
    <w:name w:val="header"/>
    <w:basedOn w:val="Normal"/>
    <w:link w:val="HeaderChar"/>
    <w:uiPriority w:val="99"/>
    <w:unhideWhenUsed/>
    <w:rsid w:val="0031393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1393E"/>
    <w:rPr>
      <w:rFonts w:ascii="Times New Roman" w:eastAsia="Hiragino Mincho Pro W3" w:hAnsi="Times New Roman" w:cs="Times New Roman (本文のフォント - コンプレ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Hiroaki Kurihara</dc:creator>
  <dc:description/>
  <cp:lastModifiedBy>Bawya Nadimuthu</cp:lastModifiedBy>
  <cp:revision>113</cp:revision>
  <dcterms:created xsi:type="dcterms:W3CDTF">2026-04-27T09:48:00Z</dcterms:created>
  <dcterms:modified xsi:type="dcterms:W3CDTF">2026-06-30T12:24:00Z</dcterms:modified>
  <dc:language>en-GB</dc:language>
</cp:coreProperties>
</file>