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30F" w:rsidRDefault="0052730F" w:rsidP="0052730F">
      <w:pPr>
        <w:pStyle w:val="Title"/>
        <w:jc w:val="center"/>
        <w:rPr>
          <w:rFonts w:ascii="Times New Roman" w:hAnsi="Times New Roman" w:cs="Times New Roman"/>
          <w:b/>
          <w:sz w:val="28"/>
          <w:szCs w:val="28"/>
        </w:rPr>
      </w:pPr>
      <w:bookmarkStart w:id="0" w:name="_GoBack"/>
      <w:bookmarkEnd w:id="0"/>
      <w:r w:rsidRPr="00192D9D">
        <w:rPr>
          <w:rFonts w:ascii="Times New Roman" w:hAnsi="Times New Roman" w:cs="Times New Roman"/>
          <w:b/>
          <w:sz w:val="28"/>
          <w:szCs w:val="28"/>
        </w:rPr>
        <w:t>Title: Why rational argument fails the Genetic Modification (GM) debate.</w:t>
      </w:r>
    </w:p>
    <w:p w:rsidR="0052730F" w:rsidRDefault="0052730F" w:rsidP="0052730F">
      <w:pPr>
        <w:rPr>
          <w:rFonts w:ascii="Times New Roman" w:hAnsi="Times New Roman" w:cs="Times New Roman"/>
          <w:b/>
        </w:rPr>
      </w:pPr>
    </w:p>
    <w:p w:rsidR="0052730F" w:rsidRPr="00FC3326" w:rsidRDefault="0052730F" w:rsidP="0052730F">
      <w:pPr>
        <w:rPr>
          <w:rFonts w:ascii="Times New Roman" w:eastAsiaTheme="majorEastAsia" w:hAnsi="Times New Roman" w:cs="Times New Roman"/>
        </w:rPr>
      </w:pPr>
      <w:r w:rsidRPr="007623AE">
        <w:rPr>
          <w:rFonts w:ascii="Times New Roman" w:hAnsi="Times New Roman" w:cs="Times New Roman"/>
          <w:b/>
        </w:rPr>
        <w:t xml:space="preserve">Authors: </w:t>
      </w:r>
      <w:r w:rsidRPr="007623AE">
        <w:rPr>
          <w:rFonts w:ascii="Times New Roman" w:hAnsi="Times New Roman" w:cs="Times New Roman"/>
        </w:rPr>
        <w:t>L</w:t>
      </w:r>
      <w:r>
        <w:rPr>
          <w:rFonts w:ascii="Times New Roman" w:hAnsi="Times New Roman" w:cs="Times New Roman"/>
        </w:rPr>
        <w:t>.</w:t>
      </w:r>
      <w:r w:rsidRPr="007623AE">
        <w:rPr>
          <w:rFonts w:ascii="Times New Roman" w:hAnsi="Times New Roman" w:cs="Times New Roman"/>
        </w:rPr>
        <w:t xml:space="preserve"> J. Mallinson</w:t>
      </w:r>
      <w:r w:rsidRPr="007623AE">
        <w:rPr>
          <w:rFonts w:ascii="Times New Roman" w:hAnsi="Times New Roman" w:cs="Times New Roman"/>
          <w:vertAlign w:val="superscript"/>
        </w:rPr>
        <w:t>1</w:t>
      </w:r>
      <w:r w:rsidRPr="007623AE">
        <w:rPr>
          <w:rFonts w:ascii="Times New Roman" w:hAnsi="Times New Roman" w:cs="Times New Roman"/>
        </w:rPr>
        <w:t>, J</w:t>
      </w:r>
      <w:r>
        <w:rPr>
          <w:rFonts w:ascii="Times New Roman" w:hAnsi="Times New Roman" w:cs="Times New Roman"/>
        </w:rPr>
        <w:t>.</w:t>
      </w:r>
      <w:r w:rsidRPr="007623AE">
        <w:rPr>
          <w:rFonts w:ascii="Times New Roman" w:hAnsi="Times New Roman" w:cs="Times New Roman"/>
        </w:rPr>
        <w:t xml:space="preserve"> M. Russell</w:t>
      </w:r>
      <w:r w:rsidRPr="007623AE">
        <w:rPr>
          <w:rFonts w:ascii="Times New Roman" w:hAnsi="Times New Roman" w:cs="Times New Roman"/>
          <w:vertAlign w:val="superscript"/>
        </w:rPr>
        <w:t>2</w:t>
      </w:r>
      <w:r w:rsidRPr="007623AE">
        <w:rPr>
          <w:rFonts w:ascii="Times New Roman" w:hAnsi="Times New Roman" w:cs="Times New Roman"/>
        </w:rPr>
        <w:t>, D</w:t>
      </w:r>
      <w:r>
        <w:rPr>
          <w:rFonts w:ascii="Times New Roman" w:hAnsi="Times New Roman" w:cs="Times New Roman"/>
        </w:rPr>
        <w:t>.</w:t>
      </w:r>
      <w:r w:rsidRPr="007623AE">
        <w:rPr>
          <w:rFonts w:ascii="Times New Roman" w:hAnsi="Times New Roman" w:cs="Times New Roman"/>
        </w:rPr>
        <w:t xml:space="preserve"> D. Cameron</w:t>
      </w:r>
      <w:r w:rsidRPr="007623AE">
        <w:rPr>
          <w:rFonts w:ascii="Times New Roman" w:hAnsi="Times New Roman" w:cs="Times New Roman"/>
          <w:vertAlign w:val="superscript"/>
        </w:rPr>
        <w:t>3</w:t>
      </w:r>
      <w:r w:rsidRPr="007623AE">
        <w:rPr>
          <w:rFonts w:ascii="Times New Roman" w:hAnsi="Times New Roman" w:cs="Times New Roman"/>
        </w:rPr>
        <w:t>, J</w:t>
      </w:r>
      <w:r>
        <w:rPr>
          <w:rFonts w:ascii="Times New Roman" w:hAnsi="Times New Roman" w:cs="Times New Roman"/>
        </w:rPr>
        <w:t>.</w:t>
      </w:r>
      <w:r w:rsidRPr="007623AE">
        <w:rPr>
          <w:rFonts w:ascii="Times New Roman" w:hAnsi="Times New Roman" w:cs="Times New Roman"/>
        </w:rPr>
        <w:t xml:space="preserve"> Ton</w:t>
      </w:r>
      <w:r w:rsidRPr="007623AE">
        <w:rPr>
          <w:rFonts w:ascii="Times New Roman" w:hAnsi="Times New Roman" w:cs="Times New Roman"/>
          <w:vertAlign w:val="superscript"/>
        </w:rPr>
        <w:t>3</w:t>
      </w:r>
      <w:r w:rsidRPr="007623AE">
        <w:rPr>
          <w:rFonts w:ascii="Times New Roman" w:hAnsi="Times New Roman" w:cs="Times New Roman"/>
        </w:rPr>
        <w:t>, P</w:t>
      </w:r>
      <w:r>
        <w:rPr>
          <w:rFonts w:ascii="Times New Roman" w:hAnsi="Times New Roman" w:cs="Times New Roman"/>
        </w:rPr>
        <w:t>.</w:t>
      </w:r>
      <w:r w:rsidRPr="007623AE">
        <w:rPr>
          <w:rFonts w:ascii="Times New Roman" w:hAnsi="Times New Roman" w:cs="Times New Roman"/>
        </w:rPr>
        <w:t xml:space="preserve"> Horton</w:t>
      </w:r>
      <w:r w:rsidRPr="007623AE">
        <w:rPr>
          <w:rFonts w:ascii="Times New Roman" w:hAnsi="Times New Roman" w:cs="Times New Roman"/>
          <w:vertAlign w:val="superscript"/>
        </w:rPr>
        <w:t>4</w:t>
      </w:r>
      <w:r w:rsidRPr="007623AE">
        <w:rPr>
          <w:rFonts w:ascii="Times New Roman" w:hAnsi="Times New Roman" w:cs="Times New Roman"/>
        </w:rPr>
        <w:t xml:space="preserve"> and M</w:t>
      </w:r>
      <w:r>
        <w:rPr>
          <w:rFonts w:ascii="Times New Roman" w:hAnsi="Times New Roman" w:cs="Times New Roman"/>
        </w:rPr>
        <w:t>.</w:t>
      </w:r>
      <w:r w:rsidRPr="007623AE">
        <w:rPr>
          <w:rFonts w:ascii="Times New Roman" w:hAnsi="Times New Roman" w:cs="Times New Roman"/>
        </w:rPr>
        <w:t xml:space="preserve"> E. Barker </w:t>
      </w:r>
      <w:r w:rsidRPr="007623AE">
        <w:rPr>
          <w:rFonts w:ascii="Times New Roman" w:hAnsi="Times New Roman" w:cs="Times New Roman"/>
          <w:vertAlign w:val="superscript"/>
        </w:rPr>
        <w:t>5</w:t>
      </w:r>
      <w:r w:rsidRPr="007623AE">
        <w:rPr>
          <w:rFonts w:ascii="Times New Roman" w:hAnsi="Times New Roman" w:cs="Times New Roman"/>
        </w:rPr>
        <w:t>*</w:t>
      </w:r>
    </w:p>
    <w:p w:rsidR="0052730F" w:rsidRPr="00AF6F9D" w:rsidRDefault="0052730F" w:rsidP="0052730F">
      <w:pPr>
        <w:pStyle w:val="Heading1"/>
        <w:rPr>
          <w:rFonts w:ascii="Times New Roman" w:hAnsi="Times New Roman" w:cs="Times New Roman"/>
          <w:b/>
          <w:color w:val="auto"/>
          <w:sz w:val="24"/>
          <w:szCs w:val="24"/>
        </w:rPr>
      </w:pPr>
      <w:r w:rsidRPr="00AF6F9D">
        <w:rPr>
          <w:rFonts w:ascii="Times New Roman" w:hAnsi="Times New Roman" w:cs="Times New Roman"/>
          <w:b/>
          <w:color w:val="auto"/>
          <w:sz w:val="24"/>
          <w:szCs w:val="24"/>
        </w:rPr>
        <w:t xml:space="preserve">Affiliations: </w:t>
      </w:r>
    </w:p>
    <w:p w:rsidR="0052730F" w:rsidRPr="00192D9D" w:rsidRDefault="0052730F" w:rsidP="0052730F">
      <w:pPr>
        <w:pStyle w:val="FootnoteText"/>
        <w:spacing w:before="240" w:line="480" w:lineRule="auto"/>
        <w:rPr>
          <w:rFonts w:ascii="Times New Roman" w:hAnsi="Times New Roman" w:cs="Times New Roman"/>
          <w:sz w:val="24"/>
          <w:szCs w:val="24"/>
          <w:shd w:val="clear" w:color="auto" w:fill="FFFFFF"/>
        </w:rPr>
      </w:pPr>
      <w:r>
        <w:rPr>
          <w:rStyle w:val="FootnoteReference"/>
          <w:rFonts w:ascii="Times New Roman" w:hAnsi="Times New Roman" w:cs="Times New Roman"/>
          <w:sz w:val="24"/>
          <w:szCs w:val="24"/>
        </w:rPr>
        <w:t>1</w:t>
      </w:r>
      <w:r w:rsidRPr="00192D9D">
        <w:rPr>
          <w:rStyle w:val="FootnoteReference"/>
          <w:rFonts w:ascii="Times New Roman" w:hAnsi="Times New Roman" w:cs="Times New Roman"/>
          <w:sz w:val="24"/>
          <w:szCs w:val="24"/>
        </w:rPr>
        <w:t xml:space="preserve"> </w:t>
      </w:r>
      <w:r w:rsidRPr="00192D9D">
        <w:rPr>
          <w:rFonts w:ascii="Times New Roman" w:hAnsi="Times New Roman" w:cs="Times New Roman"/>
          <w:sz w:val="24"/>
          <w:szCs w:val="24"/>
          <w:shd w:val="clear" w:color="auto" w:fill="FFFFFF"/>
        </w:rPr>
        <w:t>Department of Oncology and Metabolism, Human Nutrition Unit, University of Sheffield Medical School, Beech Hill Road, Sheffield, S10 2RX, UK.</w:t>
      </w:r>
    </w:p>
    <w:p w:rsidR="0052730F" w:rsidRPr="00192D9D" w:rsidRDefault="0052730F" w:rsidP="0052730F">
      <w:pPr>
        <w:pStyle w:val="FootnoteText"/>
        <w:spacing w:before="240" w:line="480" w:lineRule="auto"/>
        <w:rPr>
          <w:rFonts w:ascii="Times New Roman" w:hAnsi="Times New Roman" w:cs="Times New Roman"/>
          <w:iCs/>
          <w:sz w:val="24"/>
          <w:szCs w:val="24"/>
        </w:rPr>
      </w:pPr>
      <w:r>
        <w:rPr>
          <w:rStyle w:val="FootnoteReference"/>
          <w:rFonts w:ascii="Times New Roman" w:hAnsi="Times New Roman" w:cs="Times New Roman"/>
          <w:sz w:val="24"/>
          <w:szCs w:val="24"/>
        </w:rPr>
        <w:t>2</w:t>
      </w:r>
      <w:r w:rsidRPr="00192D9D">
        <w:rPr>
          <w:rStyle w:val="FootnoteReference"/>
          <w:rFonts w:ascii="Times New Roman" w:hAnsi="Times New Roman" w:cs="Times New Roman"/>
          <w:sz w:val="24"/>
          <w:szCs w:val="24"/>
        </w:rPr>
        <w:t xml:space="preserve"> </w:t>
      </w:r>
      <w:r w:rsidRPr="00192D9D">
        <w:rPr>
          <w:rFonts w:ascii="Times New Roman" w:hAnsi="Times New Roman" w:cs="Times New Roman"/>
          <w:sz w:val="24"/>
          <w:szCs w:val="24"/>
          <w:shd w:val="clear" w:color="auto" w:fill="FFFFFF"/>
        </w:rPr>
        <w:t>Corporate Information and Computing Service, 10-12 Brunswick Street, University of Sheffield, Sheffield, S10 2FN, UK</w:t>
      </w:r>
      <w:r>
        <w:rPr>
          <w:rFonts w:ascii="Times New Roman" w:hAnsi="Times New Roman" w:cs="Times New Roman"/>
          <w:sz w:val="24"/>
          <w:szCs w:val="24"/>
          <w:shd w:val="clear" w:color="auto" w:fill="FFFFFF"/>
        </w:rPr>
        <w:t>.</w:t>
      </w:r>
    </w:p>
    <w:p w:rsidR="0052730F" w:rsidRPr="00192D9D" w:rsidRDefault="0052730F" w:rsidP="0052730F">
      <w:pPr>
        <w:pStyle w:val="FootnoteText"/>
        <w:spacing w:before="240" w:line="480" w:lineRule="auto"/>
        <w:rPr>
          <w:rFonts w:ascii="Times New Roman" w:hAnsi="Times New Roman" w:cs="Times New Roman"/>
          <w:sz w:val="24"/>
          <w:szCs w:val="24"/>
          <w:u w:val="single"/>
        </w:rPr>
      </w:pPr>
      <w:r>
        <w:rPr>
          <w:rStyle w:val="FootnoteReference"/>
          <w:rFonts w:ascii="Times New Roman" w:hAnsi="Times New Roman" w:cs="Times New Roman"/>
          <w:sz w:val="24"/>
          <w:szCs w:val="24"/>
        </w:rPr>
        <w:t>3</w:t>
      </w:r>
      <w:r w:rsidRPr="00192D9D">
        <w:rPr>
          <w:rFonts w:ascii="Times New Roman" w:hAnsi="Times New Roman" w:cs="Times New Roman"/>
          <w:sz w:val="24"/>
          <w:szCs w:val="24"/>
        </w:rPr>
        <w:t xml:space="preserve"> </w:t>
      </w:r>
      <w:r w:rsidRPr="00192D9D">
        <w:rPr>
          <w:rFonts w:ascii="Times New Roman" w:hAnsi="Times New Roman" w:cs="Times New Roman"/>
          <w:sz w:val="24"/>
          <w:szCs w:val="24"/>
          <w:shd w:val="clear" w:color="auto" w:fill="FFFFFF"/>
        </w:rPr>
        <w:t>P3 Institute for Translational Plant and Soil Biology, Department of Animal and Plant Sciences, University of Sheffield, Sheffield, S10 2TN, UK</w:t>
      </w:r>
      <w:r>
        <w:rPr>
          <w:rFonts w:ascii="Times New Roman" w:hAnsi="Times New Roman" w:cs="Times New Roman"/>
          <w:sz w:val="24"/>
          <w:szCs w:val="24"/>
          <w:shd w:val="clear" w:color="auto" w:fill="FFFFFF"/>
        </w:rPr>
        <w:t>.</w:t>
      </w:r>
    </w:p>
    <w:p w:rsidR="0052730F" w:rsidRPr="00192D9D" w:rsidRDefault="0052730F" w:rsidP="0052730F">
      <w:pPr>
        <w:pStyle w:val="FootnoteText"/>
        <w:spacing w:before="240" w:line="480" w:lineRule="auto"/>
        <w:rPr>
          <w:rFonts w:ascii="Times New Roman" w:hAnsi="Times New Roman" w:cs="Times New Roman"/>
          <w:sz w:val="24"/>
          <w:szCs w:val="24"/>
        </w:rPr>
      </w:pPr>
      <w:r>
        <w:rPr>
          <w:rStyle w:val="FootnoteReference"/>
          <w:rFonts w:ascii="Times New Roman" w:hAnsi="Times New Roman" w:cs="Times New Roman"/>
          <w:sz w:val="24"/>
          <w:szCs w:val="24"/>
        </w:rPr>
        <w:t>4</w:t>
      </w:r>
      <w:r w:rsidRPr="00192D9D">
        <w:rPr>
          <w:rFonts w:ascii="Times New Roman" w:hAnsi="Times New Roman" w:cs="Times New Roman"/>
          <w:sz w:val="24"/>
          <w:szCs w:val="24"/>
        </w:rPr>
        <w:t xml:space="preserve"> </w:t>
      </w:r>
      <w:r w:rsidRPr="00192D9D">
        <w:rPr>
          <w:rFonts w:ascii="Times New Roman" w:hAnsi="Times New Roman" w:cs="Times New Roman"/>
          <w:sz w:val="24"/>
          <w:szCs w:val="24"/>
          <w:shd w:val="clear" w:color="auto" w:fill="FFFFFF"/>
        </w:rPr>
        <w:t>Department of Molecular Biology and Biotechnology and Grantham Centre for Sustainable Futures, University of Sheffield, Sheffield, UK</w:t>
      </w:r>
      <w:r>
        <w:rPr>
          <w:rFonts w:ascii="Times New Roman" w:hAnsi="Times New Roman" w:cs="Times New Roman"/>
          <w:sz w:val="24"/>
          <w:szCs w:val="24"/>
          <w:shd w:val="clear" w:color="auto" w:fill="FFFFFF"/>
        </w:rPr>
        <w:t>.</w:t>
      </w:r>
    </w:p>
    <w:p w:rsidR="0052730F" w:rsidRDefault="0052730F" w:rsidP="0052730F">
      <w:pPr>
        <w:pStyle w:val="FootnoteText"/>
        <w:spacing w:before="240" w:line="480" w:lineRule="auto"/>
        <w:rPr>
          <w:rFonts w:ascii="Times New Roman" w:hAnsi="Times New Roman" w:cs="Times New Roman"/>
          <w:sz w:val="24"/>
          <w:szCs w:val="24"/>
        </w:rPr>
      </w:pPr>
      <w:r>
        <w:rPr>
          <w:rStyle w:val="FootnoteReference"/>
          <w:rFonts w:ascii="Times New Roman" w:hAnsi="Times New Roman" w:cs="Times New Roman"/>
          <w:sz w:val="24"/>
          <w:szCs w:val="24"/>
        </w:rPr>
        <w:t>5</w:t>
      </w:r>
      <w:r w:rsidRPr="00192D9D">
        <w:rPr>
          <w:rFonts w:ascii="Times New Roman" w:hAnsi="Times New Roman" w:cs="Times New Roman"/>
          <w:sz w:val="24"/>
          <w:szCs w:val="24"/>
        </w:rPr>
        <w:t xml:space="preserve"> Food and Nutrition Group, Business School, Sheffield Hallam University, Charles Street, Sheffield, S1 1WB, UK</w:t>
      </w:r>
      <w:r>
        <w:rPr>
          <w:rFonts w:ascii="Times New Roman" w:hAnsi="Times New Roman" w:cs="Times New Roman"/>
          <w:sz w:val="24"/>
          <w:szCs w:val="24"/>
        </w:rPr>
        <w:t xml:space="preserve"> </w:t>
      </w:r>
    </w:p>
    <w:p w:rsidR="0052730F" w:rsidRDefault="0052730F" w:rsidP="0052730F">
      <w:pPr>
        <w:rPr>
          <w:rFonts w:ascii="Times New Roman" w:hAnsi="Times New Roman" w:cs="Times New Roman"/>
        </w:rPr>
      </w:pPr>
    </w:p>
    <w:p w:rsidR="0052730F" w:rsidRDefault="0052730F" w:rsidP="0052730F"/>
    <w:p w:rsidR="0052730F" w:rsidRDefault="0052730F" w:rsidP="0052730F">
      <w:pPr>
        <w:pStyle w:val="A1Footnote"/>
        <w:framePr w:wrap="notBeside"/>
      </w:pPr>
      <w:r w:rsidRPr="00066488">
        <w:t xml:space="preserve">*Author for correspondence </w:t>
      </w:r>
      <w:hyperlink r:id="rId7" w:history="1">
        <w:r w:rsidRPr="00066488">
          <w:rPr>
            <w:rStyle w:val="Hyperlink"/>
          </w:rPr>
          <w:t>margo.barker@shu.ac.uk</w:t>
        </w:r>
      </w:hyperlink>
      <w:r w:rsidRPr="00066488">
        <w:t>.</w:t>
      </w:r>
    </w:p>
    <w:p w:rsidR="002620D7" w:rsidRDefault="002620D7" w:rsidP="002620D7">
      <w:pPr>
        <w:spacing w:line="480" w:lineRule="auto"/>
        <w:rPr>
          <w:rFonts w:ascii="Times New Roman" w:hAnsi="Times New Roman" w:cs="Times New Roman"/>
          <w:sz w:val="24"/>
          <w:szCs w:val="24"/>
        </w:rPr>
      </w:pPr>
    </w:p>
    <w:p w:rsidR="002620D7" w:rsidRDefault="002620D7" w:rsidP="002620D7">
      <w:pPr>
        <w:spacing w:line="480" w:lineRule="auto"/>
        <w:rPr>
          <w:rFonts w:ascii="Times New Roman" w:hAnsi="Times New Roman" w:cs="Times New Roman"/>
          <w:sz w:val="24"/>
          <w:szCs w:val="24"/>
        </w:rPr>
      </w:pPr>
    </w:p>
    <w:p w:rsidR="002620D7" w:rsidRDefault="002620D7" w:rsidP="002620D7">
      <w:pPr>
        <w:spacing w:line="480" w:lineRule="auto"/>
        <w:rPr>
          <w:rFonts w:ascii="Times New Roman" w:hAnsi="Times New Roman" w:cs="Times New Roman"/>
          <w:sz w:val="24"/>
          <w:szCs w:val="24"/>
        </w:rPr>
      </w:pPr>
    </w:p>
    <w:p w:rsidR="0052730F" w:rsidRDefault="0052730F" w:rsidP="00775580">
      <w:pPr>
        <w:spacing w:line="480" w:lineRule="auto"/>
        <w:rPr>
          <w:rFonts w:ascii="Times New Roman" w:hAnsi="Times New Roman" w:cs="Times New Roman"/>
          <w:sz w:val="24"/>
          <w:szCs w:val="24"/>
        </w:rPr>
      </w:pPr>
    </w:p>
    <w:p w:rsidR="002620D7" w:rsidRDefault="0052730F" w:rsidP="00775580">
      <w:pPr>
        <w:spacing w:line="480" w:lineRule="auto"/>
        <w:rPr>
          <w:rFonts w:ascii="Times New Roman" w:hAnsi="Times New Roman" w:cs="Times New Roman"/>
          <w:sz w:val="24"/>
          <w:szCs w:val="24"/>
        </w:rPr>
      </w:pPr>
      <w:r>
        <w:rPr>
          <w:rFonts w:ascii="Times New Roman" w:hAnsi="Times New Roman" w:cs="Times New Roman"/>
          <w:sz w:val="24"/>
          <w:szCs w:val="24"/>
        </w:rPr>
        <w:t>This supplementary material</w:t>
      </w:r>
      <w:r w:rsidR="002620D7">
        <w:rPr>
          <w:rFonts w:ascii="Times New Roman" w:hAnsi="Times New Roman" w:cs="Times New Roman"/>
          <w:sz w:val="24"/>
          <w:szCs w:val="24"/>
        </w:rPr>
        <w:t xml:space="preserve"> contains table A1 giving the constituent questions for sections two and four of the questionnaire, factor loadings, and internal consistency using Cronbach’s alpha coefficient. Table A1 also gives the sources of the questions for sections two and four. </w:t>
      </w:r>
      <w:r w:rsidR="00D777FB">
        <w:rPr>
          <w:rFonts w:ascii="Times New Roman" w:hAnsi="Times New Roman" w:cs="Times New Roman"/>
          <w:sz w:val="24"/>
          <w:szCs w:val="24"/>
        </w:rPr>
        <w:t>T</w:t>
      </w:r>
      <w:r w:rsidR="002620D7">
        <w:rPr>
          <w:rFonts w:ascii="Times New Roman" w:hAnsi="Times New Roman" w:cs="Times New Roman"/>
          <w:sz w:val="24"/>
          <w:szCs w:val="24"/>
        </w:rPr>
        <w:t xml:space="preserve">able A2 details the constituent questions with sources for section 3. Figures A1 and A2 show </w:t>
      </w:r>
      <w:r w:rsidR="00D777FB">
        <w:rPr>
          <w:rFonts w:ascii="Times New Roman" w:hAnsi="Times New Roman" w:cs="Times New Roman"/>
          <w:sz w:val="24"/>
          <w:szCs w:val="24"/>
        </w:rPr>
        <w:t xml:space="preserve">our </w:t>
      </w:r>
      <w:r w:rsidR="002620D7">
        <w:rPr>
          <w:rFonts w:ascii="Times New Roman" w:hAnsi="Times New Roman" w:cs="Times New Roman"/>
          <w:sz w:val="24"/>
          <w:szCs w:val="24"/>
        </w:rPr>
        <w:t>models for</w:t>
      </w:r>
      <w:r w:rsidR="00D777FB">
        <w:rPr>
          <w:rFonts w:ascii="Times New Roman" w:hAnsi="Times New Roman" w:cs="Times New Roman"/>
          <w:sz w:val="24"/>
          <w:szCs w:val="24"/>
        </w:rPr>
        <w:t xml:space="preserve"> </w:t>
      </w:r>
      <w:r w:rsidR="002620D7">
        <w:rPr>
          <w:rFonts w:ascii="Times New Roman" w:hAnsi="Times New Roman" w:cs="Times New Roman"/>
          <w:sz w:val="24"/>
          <w:szCs w:val="24"/>
        </w:rPr>
        <w:t xml:space="preserve">mediation analysis using food </w:t>
      </w:r>
      <w:proofErr w:type="spellStart"/>
      <w:r w:rsidR="002620D7">
        <w:rPr>
          <w:rFonts w:ascii="Times New Roman" w:hAnsi="Times New Roman" w:cs="Times New Roman"/>
          <w:sz w:val="24"/>
          <w:szCs w:val="24"/>
        </w:rPr>
        <w:t>neophobia</w:t>
      </w:r>
      <w:proofErr w:type="spellEnd"/>
      <w:r w:rsidR="002620D7">
        <w:rPr>
          <w:rFonts w:ascii="Times New Roman" w:hAnsi="Times New Roman" w:cs="Times New Roman"/>
          <w:sz w:val="24"/>
          <w:szCs w:val="24"/>
        </w:rPr>
        <w:t xml:space="preserve"> and science has benefited the world as predictor variables. </w:t>
      </w:r>
    </w:p>
    <w:p w:rsidR="00775580" w:rsidRDefault="00775580" w:rsidP="0052730F">
      <w:pPr>
        <w:spacing w:after="0" w:line="480" w:lineRule="auto"/>
        <w:rPr>
          <w:rFonts w:ascii="Arial" w:hAnsi="Arial" w:cs="Arial"/>
          <w:sz w:val="20"/>
          <w:szCs w:val="20"/>
        </w:rPr>
      </w:pPr>
      <w:r>
        <w:rPr>
          <w:rFonts w:ascii="Arial" w:hAnsi="Arial" w:cs="Arial"/>
          <w:sz w:val="20"/>
          <w:szCs w:val="20"/>
        </w:rPr>
        <w:t>Table A1</w:t>
      </w:r>
      <w:r w:rsidRPr="00FD752A">
        <w:rPr>
          <w:rFonts w:ascii="Arial" w:hAnsi="Arial" w:cs="Arial"/>
          <w:sz w:val="20"/>
          <w:szCs w:val="20"/>
        </w:rPr>
        <w:t>: Factor loadings, Cronbach’s reliability coefficient for each measure and the source of the questions</w:t>
      </w:r>
    </w:p>
    <w:tbl>
      <w:tblPr>
        <w:tblStyle w:val="TableGrid"/>
        <w:tblW w:w="45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3"/>
        <w:gridCol w:w="2305"/>
        <w:gridCol w:w="2305"/>
      </w:tblGrid>
      <w:tr w:rsidR="00775580" w:rsidRPr="00FD752A" w:rsidTr="00345312">
        <w:trPr>
          <w:trHeight w:val="340"/>
        </w:trPr>
        <w:tc>
          <w:tcPr>
            <w:tcW w:w="2348" w:type="pct"/>
            <w:tcBorders>
              <w:top w:val="double" w:sz="4" w:space="0" w:color="auto"/>
              <w:bottom w:val="single" w:sz="4" w:space="0" w:color="auto"/>
            </w:tcBorders>
            <w:vAlign w:val="center"/>
          </w:tcPr>
          <w:p w:rsidR="00775580" w:rsidRPr="00FD752A" w:rsidRDefault="00775580" w:rsidP="00345312">
            <w:pPr>
              <w:rPr>
                <w:rFonts w:ascii="Arial" w:hAnsi="Arial" w:cs="Arial"/>
                <w:b/>
                <w:sz w:val="16"/>
                <w:szCs w:val="16"/>
              </w:rPr>
            </w:pPr>
            <w:r w:rsidRPr="00FD752A">
              <w:rPr>
                <w:rFonts w:ascii="Arial" w:hAnsi="Arial" w:cs="Arial"/>
                <w:b/>
                <w:sz w:val="16"/>
                <w:szCs w:val="16"/>
              </w:rPr>
              <w:t>Measure/Statement:</w:t>
            </w:r>
          </w:p>
        </w:tc>
        <w:tc>
          <w:tcPr>
            <w:tcW w:w="1326" w:type="pct"/>
            <w:tcBorders>
              <w:top w:val="double" w:sz="4" w:space="0" w:color="auto"/>
              <w:bottom w:val="single" w:sz="4" w:space="0" w:color="auto"/>
            </w:tcBorders>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Factor Loading</w:t>
            </w:r>
          </w:p>
        </w:tc>
        <w:tc>
          <w:tcPr>
            <w:tcW w:w="1326" w:type="pct"/>
            <w:tcBorders>
              <w:top w:val="double" w:sz="4" w:space="0" w:color="auto"/>
              <w:bottom w:val="single" w:sz="4" w:space="0" w:color="auto"/>
            </w:tcBorders>
            <w:vAlign w:val="center"/>
          </w:tcPr>
          <w:p w:rsidR="00775580" w:rsidRPr="006D063A" w:rsidRDefault="00775580" w:rsidP="00345312">
            <w:pPr>
              <w:jc w:val="center"/>
              <w:rPr>
                <w:rFonts w:ascii="Arial" w:hAnsi="Arial" w:cs="Arial"/>
                <w:sz w:val="16"/>
                <w:szCs w:val="16"/>
              </w:rPr>
            </w:pPr>
            <w:r w:rsidRPr="006D063A">
              <w:rPr>
                <w:rFonts w:ascii="Arial" w:hAnsi="Arial" w:cs="Arial"/>
                <w:sz w:val="16"/>
                <w:szCs w:val="16"/>
              </w:rPr>
              <w:t>Source</w:t>
            </w:r>
          </w:p>
        </w:tc>
      </w:tr>
      <w:tr w:rsidR="00775580" w:rsidRPr="00FD752A" w:rsidTr="00345312">
        <w:trPr>
          <w:trHeight w:val="283"/>
        </w:trPr>
        <w:tc>
          <w:tcPr>
            <w:tcW w:w="2348" w:type="pct"/>
            <w:tcBorders>
              <w:top w:val="single" w:sz="4" w:space="0" w:color="auto"/>
            </w:tcBorders>
            <w:vAlign w:val="center"/>
          </w:tcPr>
          <w:p w:rsidR="00775580" w:rsidRPr="00FD752A" w:rsidRDefault="00775580" w:rsidP="00775580">
            <w:pPr>
              <w:pStyle w:val="ListParagraph"/>
              <w:numPr>
                <w:ilvl w:val="0"/>
                <w:numId w:val="7"/>
              </w:numPr>
              <w:rPr>
                <w:rFonts w:ascii="Arial" w:hAnsi="Arial" w:cs="Arial"/>
                <w:b/>
                <w:i/>
                <w:sz w:val="16"/>
                <w:szCs w:val="16"/>
              </w:rPr>
            </w:pPr>
            <w:r w:rsidRPr="00FD752A">
              <w:rPr>
                <w:rFonts w:ascii="Arial" w:hAnsi="Arial" w:cs="Arial"/>
                <w:b/>
                <w:i/>
                <w:sz w:val="16"/>
                <w:szCs w:val="16"/>
              </w:rPr>
              <w:t>Investment in science is important for the future:</w:t>
            </w:r>
          </w:p>
        </w:tc>
        <w:tc>
          <w:tcPr>
            <w:tcW w:w="1326" w:type="pct"/>
            <w:tcBorders>
              <w:top w:val="single" w:sz="4" w:space="0" w:color="auto"/>
            </w:tcBorders>
            <w:vAlign w:val="center"/>
          </w:tcPr>
          <w:p w:rsidR="00775580" w:rsidRPr="00FD752A" w:rsidRDefault="00775580" w:rsidP="00345312">
            <w:pPr>
              <w:jc w:val="center"/>
              <w:rPr>
                <w:rFonts w:ascii="Arial" w:hAnsi="Arial" w:cs="Arial"/>
                <w:sz w:val="16"/>
                <w:szCs w:val="16"/>
              </w:rPr>
            </w:pPr>
          </w:p>
        </w:tc>
        <w:tc>
          <w:tcPr>
            <w:tcW w:w="1326" w:type="pct"/>
            <w:tcBorders>
              <w:top w:val="single" w:sz="4" w:space="0" w:color="auto"/>
            </w:tcBorders>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Science is very important for a country’s development</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0.773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Science and technology have improved the world or tackled some of its problems</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0.771</w:t>
            </w:r>
          </w:p>
        </w:tc>
        <w:tc>
          <w:tcPr>
            <w:tcW w:w="1326" w:type="pct"/>
            <w:vAlign w:val="center"/>
          </w:tcPr>
          <w:p w:rsidR="00775580" w:rsidRPr="006D063A" w:rsidRDefault="00775580" w:rsidP="00345312">
            <w:pPr>
              <w:jc w:val="center"/>
              <w:rPr>
                <w:rFonts w:ascii="Arial" w:hAnsi="Arial" w:cs="Arial"/>
                <w:sz w:val="16"/>
                <w:szCs w:val="16"/>
              </w:rPr>
            </w:pPr>
            <w:r w:rsidRPr="006D063A">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Future development in science and technology will be positive for the world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0.729</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"Purpose - In explaining the mechanisms that explicate individuals\u2019 acceptance of Genetically Modified (GM) food, one mechanism that has been largely ignored in the growing body of current research lies in the influence of \"meta (wider) attitudes\" such as the general attitudes towards science. This article draws upon survey evidence from Spain to examine the causal relationship between attitudes towards science and attitudes towards GM food.  It employs structural equation modelling and explores this association by using sub-samples made of regional groups that have GM agriculture. Findings - Our results suggest specific behavioural mechanisms in explaining GM consumer attitudes involving attitudes towards science whilst medical and food applications appear to have no (or mild) significant connection in the formation of attitudes towards GM food. We find significant influence from age and previously characterized attitude in the formation of structural models. Practical implications - Policy implication of a better understanding of the behavioural mechanisms behind the acceptance of GM food. Originality/value - This article puts forward several hypotheses on the influence of general meta-attitudes (towards science and technology) underpinning behavioural explanations for consumer judgments of acceptance towards GM food", "author" : [ { "dropping-particle" : "", "family" : "Costa-Font", "given" : "M", "non-dropping-particle" : "", "parse-names" : false, "suffix" : "" }, { "dropping-particle" : "", "family" : "Gil", "given" : "J M", "non-dropping-particle" : "", "parse-names" : false, "suffix" : "" } ], "container-title" : "British Food Journal", "id" : "ITEM-1", "issued" : { "date-parts" : [ [ "2012" ] ] }, "page" : "1463-1485", "title" : "Meta-attitudes and the local formation of consumer judgements towards genetically modified foods", "type" : "article-journal", "volume" : "114" }, "uris" : [ "http://www.mendeley.com/documents/?uuid=37073e23-4167-4471-8a73-b05d79d3971b" ] } ], "mendeley" : { "formattedCitation" : "(Costa-Font and Gil 2012)", "plainTextFormattedCitation" : "(Costa-Font and Gil 2012)", "previouslyFormattedCitation" : "[2]"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(Costa-Font and Gil 2012)</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The problems of current technology will be solved by future technology</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0.702</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"Purpose - In explaining the mechanisms that explicate individuals\u2019 acceptance of Genetically Modified (GM) food, one mechanism that has been largely ignored in the growing body of current research lies in the influence of \"meta (wider) attitudes\" such as the general attitudes towards science. This article draws upon survey evidence from Spain to examine the causal relationship between attitudes towards science and attitudes towards GM food.  It employs structural equation modelling and explores this association by using sub-samples made of regional groups that have GM agriculture. Findings - Our results suggest specific behavioural mechanisms in explaining GM consumer attitudes involving attitudes towards science whilst medical and food applications appear to have no (or mild) significant connection in the formation of attitudes towards GM food. We find significant influence from age and previously characterized attitude in the formation of structural models. Practical implications - Policy implication of a better understanding of the behavioural mechanisms behind the acceptance of GM food. Originality/value - This article puts forward several hypotheses on the influence of general meta-attitudes (towards science and technology) underpinning behavioural explanations for consumer judgments of acceptance towards GM food", "author" : [ { "dropping-particle" : "", "family" : "Costa-Font", "given" : "M", "non-dropping-particle" : "", "parse-names" : false, "suffix" : "" }, { "dropping-particle" : "", "family" : "Gil", "given" : "J M", "non-dropping-particle" : "", "parse-names" : false, "suffix" : "" } ], "container-title" : "British Food Journal", "id" : "ITEM-1", "issued" : { "date-parts" : [ [ "2012" ] ] }, "page" : "1463-1485", "title" : "Meta-attitudes and the local formation of consumer judgements towards genetically modified foods", "type" : "article-journal", "volume" : "114" }, "uris" : [ "http://www.mendeley.com/documents/?uuid=37073e23-4167-4471-8a73-b05d79d3971b" ] } ], "mendeley" : { "formattedCitation" : "(Costa-Font and Gil 2012)", "plainTextFormattedCitation" : "(Costa-Font and Gil 2012)", "previouslyFormattedCitation" : "[2]"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(Costa-Font and Gil 2012)</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In the future, science and technology benefits will overcome its risks</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0.697</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"Purpose - In explaining the mechanisms that explicate individuals\u2019 acceptance of Genetically Modified (GM) food, one mechanism that has been largely ignored in the growing body of current research lies in the influence of \"meta (wider) attitudes\" such as the general attitudes towards science. This article draws upon survey evidence from Spain to examine the causal relationship between attitudes towards science and attitudes towards GM food.  It employs structural equation modelling and explores this association by using sub-samples made of regional groups that have GM agriculture. Findings - Our results suggest specific behavioural mechanisms in explaining GM consumer attitudes involving attitudes towards science whilst medical and food applications appear to have no (or mild) significant connection in the formation of attitudes towards GM food. We find significant influence from age and previously characterized attitude in the formation of structural models. Practical implications - Policy implication of a better understanding of the behavioural mechanisms behind the acceptance of GM food. Originality/value - This article puts forward several hypotheses on the influence of general meta-attitudes (towards science and technology) underpinning behavioural explanations for consumer judgments of acceptance towards GM food", "author" : [ { "dropping-particle" : "", "family" : "Costa-Font", "given" : "M", "non-dropping-particle" : "", "parse-names" : false, "suffix" : "" }, { "dropping-particle" : "", "family" : "Gil", "given" : "J M", "non-dropping-particle" : "", "parse-names" : false, "suffix" : "" } ], "container-title" : "British Food Journal", "id" : "ITEM-1", "issued" : { "date-parts" : [ [ "2012" ] ] }, "page" : "1463-1485", "title" : "Meta-attitudes and the local formation of consumer judgements towards genetically modified foods", "type" : "article-journal", "volume" : "114" }, "uris" : [ "http://www.mendeley.com/documents/?uuid=37073e23-4167-4471-8a73-b05d79d3971b" ] } ], "mendeley" : { "formattedCitation" : "(Costa-Font and Gil 2012)", "plainTextFormattedCitation" : "(Costa-Font and Gil 2012)", "previouslyFormattedCitation" : "[2]"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(Costa-Font and Gil 2012)</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Money spent on science is well worth spending</w:t>
            </w:r>
          </w:p>
        </w:tc>
        <w:tc>
          <w:tcPr>
            <w:tcW w:w="1326" w:type="pct"/>
            <w:vAlign w:val="center"/>
          </w:tcPr>
          <w:p w:rsidR="00775580" w:rsidRPr="00FD752A" w:rsidRDefault="00775580" w:rsidP="00345312">
            <w:pPr>
              <w:jc w:val="center"/>
              <w:rPr>
                <w:rFonts w:ascii="Arial" w:hAnsi="Arial" w:cs="Arial"/>
                <w:noProof/>
                <w:sz w:val="16"/>
                <w:szCs w:val="16"/>
              </w:rPr>
            </w:pPr>
            <w:r w:rsidRPr="00FD752A">
              <w:rPr>
                <w:rFonts w:ascii="Arial" w:hAnsi="Arial" w:cs="Arial"/>
                <w:sz w:val="16"/>
                <w:szCs w:val="16"/>
              </w:rPr>
              <w:t>0.696</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Science is relevant to everyday life</w:t>
            </w:r>
          </w:p>
        </w:tc>
        <w:tc>
          <w:tcPr>
            <w:tcW w:w="1326" w:type="pct"/>
            <w:vAlign w:val="center"/>
          </w:tcPr>
          <w:p w:rsidR="00775580" w:rsidRPr="00FD752A" w:rsidRDefault="00775580" w:rsidP="00345312">
            <w:pPr>
              <w:jc w:val="center"/>
              <w:rPr>
                <w:rFonts w:ascii="Arial" w:hAnsi="Arial" w:cs="Arial"/>
                <w:noProof/>
                <w:sz w:val="16"/>
                <w:szCs w:val="16"/>
              </w:rPr>
            </w:pPr>
            <w:r w:rsidRPr="00FD752A">
              <w:rPr>
                <w:rFonts w:ascii="Arial" w:hAnsi="Arial" w:cs="Arial"/>
                <w:sz w:val="16"/>
                <w:szCs w:val="16"/>
              </w:rPr>
              <w:t>0.663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0.874</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sz w:val="16"/>
                <w:szCs w:val="16"/>
              </w:rPr>
            </w:pPr>
            <w:r w:rsidRPr="00FD752A">
              <w:rPr>
                <w:rFonts w:ascii="Arial" w:hAnsi="Arial" w:cs="Arial"/>
                <w:b/>
                <w:i/>
                <w:sz w:val="16"/>
                <w:szCs w:val="16"/>
              </w:rPr>
              <w:t>Science has benefited the world:</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Science and technology have made this world dangerous</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0.804</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"Purpose - In explaining the mechanisms that explicate individuals\u2019 acceptance of Genetically Modified (GM) food, one mechanism that has been largely ignored in the growing body of current research lies in the influence of \"meta (wider) attitudes\" such as the general attitudes towards science. This article draws upon survey evidence from Spain to examine the causal relationship between attitudes towards science and attitudes towards GM food.  It employs structural equation modelling and explores this association by using sub-samples made of regional groups that have GM agriculture. Findings - Our results suggest specific behavioural mechanisms in explaining GM consumer attitudes involving attitudes towards science whilst medical and food applications appear to have no (or mild) significant connection in the formation of attitudes towards GM food. We find significant influence from age and previously characterized attitude in the formation of structural models. Practical implications - Policy implication of a better understanding of the behavioural mechanisms behind the acceptance of GM food. Originality/value - This article puts forward several hypotheses on the influence of general meta-attitudes (towards science and technology) underpinning behavioural explanations for consumer judgments of acceptance towards GM food", "author" : [ { "dropping-particle" : "", "family" : "Costa-Font", "given" : "M", "non-dropping-particle" : "", "parse-names" : false, "suffix" : "" }, { "dropping-particle" : "", "family" : "Gil", "given" : "J M", "non-dropping-particle" : "", "parse-names" : false, "suffix" : "" } ], "container-title" : "British Food Journal", "id" : "ITEM-1", "issued" : { "date-parts" : [ [ "2012" ] ] }, "page" : "1463-1485", "title" : "Meta-attitudes and the local formation of consumer judgements towards genetically modified foods", "type" : "article-journal", "volume" : "114" }, "uris" : [ "http://www.mendeley.com/documents/?uuid=37073e23-4167-4471-8a73-b05d79d3971b" ] } ], "mendeley" : { "formattedCitation" : "(Costa-Font and Gil 2012)", "plainTextFormattedCitation" : "(Costa-Font and Gil 2012)", "previouslyFormattedCitation" : "[2]"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(Costa-Font and Gil 2012)</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Science and technology are the cause of many of the world’s problems</w:t>
            </w:r>
          </w:p>
        </w:tc>
        <w:tc>
          <w:tcPr>
            <w:tcW w:w="1326" w:type="pct"/>
            <w:vAlign w:val="center"/>
          </w:tcPr>
          <w:p w:rsidR="00775580" w:rsidRPr="00FD752A" w:rsidRDefault="00775580" w:rsidP="00345312">
            <w:pPr>
              <w:jc w:val="center"/>
              <w:rPr>
                <w:rFonts w:ascii="Arial" w:hAnsi="Arial" w:cs="Arial"/>
                <w:noProof/>
                <w:sz w:val="16"/>
                <w:szCs w:val="16"/>
              </w:rPr>
            </w:pPr>
            <w:r w:rsidRPr="00FD752A">
              <w:rPr>
                <w:rFonts w:ascii="Arial" w:hAnsi="Arial" w:cs="Arial"/>
                <w:sz w:val="16"/>
                <w:szCs w:val="16"/>
              </w:rPr>
              <w:t>0.790</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 xml:space="preserve">Scientific advancement comes at a huge cost to the environment </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0.732</w:t>
            </w:r>
          </w:p>
        </w:tc>
        <w:tc>
          <w:tcPr>
            <w:tcW w:w="1326" w:type="pct"/>
            <w:vAlign w:val="center"/>
          </w:tcPr>
          <w:p w:rsidR="00775580" w:rsidRPr="006D063A" w:rsidRDefault="00775580" w:rsidP="00345312">
            <w:pPr>
              <w:jc w:val="center"/>
              <w:rPr>
                <w:rFonts w:ascii="Arial" w:hAnsi="Arial" w:cs="Arial"/>
                <w:sz w:val="16"/>
                <w:szCs w:val="16"/>
              </w:rPr>
            </w:pPr>
            <w:r w:rsidRPr="006D063A">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Scientific discoveries do more harm than good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0.589</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0.769</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b/>
                <w:i/>
                <w:sz w:val="16"/>
                <w:szCs w:val="16"/>
              </w:rPr>
            </w:pPr>
            <w:r w:rsidRPr="00FD752A">
              <w:rPr>
                <w:rFonts w:ascii="Arial" w:hAnsi="Arial" w:cs="Arial"/>
                <w:b/>
                <w:i/>
                <w:sz w:val="16"/>
                <w:szCs w:val="16"/>
              </w:rPr>
              <w:t>Personal interest in science:</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do not have much interest in science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0.784</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 xml:space="preserve">Science is hard to understand </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0.736</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Reading about science gives me pleasure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-0.736</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feel well informed about science and technology</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-0.735</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"Purpose - In explaining the mechanisms that explicate individuals\u2019 acceptance of Genetically Modified (GM) food, one mechanism that has been largely ignored in the growing body of current research lies in the influence of \"meta (wider) attitudes\" such as the general attitudes towards science. This article draws upon survey evidence from Spain to examine the causal relationship between attitudes towards science and attitudes towards GM food.  It employs structural equation modelling and explores this association by using sub-samples made of regional groups that have GM agriculture. Findings - Our results suggest specific behavioural mechanisms in explaining GM consumer attitudes involving attitudes towards science whilst medical and food applications appear to have no (or mild) significant connection in the formation of attitudes towards GM food. We find significant influence from age and previously characterized attitude in the formation of structural models. Practical implications - Policy implication of a better understanding of the behavioural mechanisms behind the acceptance of GM food. Originality/value - This article puts forward several hypotheses on the influence of general meta-attitudes (towards science and technology) underpinning behavioural explanations for consumer judgments of acceptance towards GM food", "author" : [ { "dropping-particle" : "", "family" : "Costa-Font", "given" : "M", "non-dropping-particle" : "", "parse-names" : false, "suffix" : "" }, { "dropping-particle" : "", "family" : "Gil", "given" : "J M", "non-dropping-particle" : "", "parse-names" : false, "suffix" : "" } ], "container-title" : "British Food Journal", "id" : "ITEM-1", "issued" : { "date-parts" : [ [ "2012" ] ] }, "page" : "1463-1485", "title" : "Meta-attitudes and the local formation of consumer judgements towards genetically modified foods", "type" : "article-journal", "volume" : "114" }, "uris" : [ "http://www.mendeley.com/documents/?uuid=37073e23-4167-4471-8a73-b05d79d3971b" ] } ], "mendeley" : { "formattedCitation" : "(Costa-Font and Gil 2012)", "plainTextFormattedCitation" : "(Costa-Font and Gil 2012)", "previouslyFormattedCitation" : "[2]"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(Costa-Font and Gil 2012)</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like to have scientific explanations for things</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-0.577</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"10.1080/0263514990170207", "ISBN" : "Research in Science &amp; Technological Education, Vol. 17, No. 2, November 1999, pp. 219-226", "ISSN" : "0263-5143", "abstract" : "Abstract This paper describes the development of a new measure of attitude towards science for use among secondary school pupils which operationalises the affective attitudinal domain. Item selection, the internal structure and reliability of the scale, content validity and construct validity were established on a sample of 2129 pupils in the third, fourth, fifth and lower sixth years of Protestant and Catholic grammar schools in Northern Ireland. Scale norms demonstrate that males record a more positive attitude towards science than females, and that younger pupils record a more positive attitude towards science than older pupils.", "author" : [ { "dropping-particle" : "", "family" : "Francis", "given" : "Leslie J.", "non-dropping-particle" : "", "parse-names" : false, "suffix" : "" }, { "dropping-particle" : "", "family" : "Greer", "given" : "John E.", "non-dropping-particle" : "", "parse-names" : false, "suffix" : "" } ], "container-title" : "Research in Science &amp; Technological Education", "id" : "ITEM-1", "issue" : "2", "issued" : { "date-parts" : [ [ "1999" ] ] }, "page" : "219-226", "title" : "Measuring Attitude Towards Science Among Secondary School Students: the affective domain", "type" : "article-journal", "volume" : "17" }, "uris" : [ "http://www.mendeley.com/documents/?uuid=41e0c656-874d-4792-b9ac-295b696405e1" ] } ], "mendeley" : { "formattedCitation" : "(Francis and Greer 1999)", "plainTextFormattedCitation" : "(Francis and Greer 1999)", "previouslyFormattedCitation" : "[1]"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(Francis and Greer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0.817</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b/>
                <w:i/>
                <w:sz w:val="16"/>
                <w:szCs w:val="16"/>
              </w:rPr>
            </w:pPr>
            <w:r w:rsidRPr="00FD752A">
              <w:rPr>
                <w:rFonts w:ascii="Arial" w:hAnsi="Arial" w:cs="Arial"/>
                <w:b/>
                <w:i/>
                <w:sz w:val="16"/>
                <w:szCs w:val="16"/>
              </w:rPr>
              <w:lastRenderedPageBreak/>
              <w:t>Green behaviour:</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try to eat food that is locally grown and in season whenever possible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0.711</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avoid products with a lot of packaging</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0.709</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b/>
                <w:sz w:val="16"/>
                <w:szCs w:val="16"/>
              </w:rPr>
            </w:pPr>
            <w:r w:rsidRPr="00FD752A">
              <w:rPr>
                <w:rFonts w:ascii="Arial" w:hAnsi="Arial" w:cs="Arial"/>
                <w:sz w:val="16"/>
                <w:szCs w:val="16"/>
              </w:rPr>
              <w:t>I try to reduce my fuel consumption when driving</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0.672</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b/>
                <w:i/>
                <w:sz w:val="16"/>
                <w:szCs w:val="16"/>
              </w:rPr>
            </w:pPr>
            <w:r w:rsidRPr="00FD752A">
              <w:rPr>
                <w:rFonts w:ascii="Arial" w:hAnsi="Arial" w:cs="Arial"/>
                <w:sz w:val="16"/>
                <w:szCs w:val="16"/>
              </w:rPr>
              <w:t>I would write to my MP about an environmental issue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0.652</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have reduced the amount of air travel I do</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0.626</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try to eat food that is organic whenever possible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0.618</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travel by car as little as possible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0.607</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would never take part in an environmental protest</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-0.470</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never compost kitchen waste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-0.384</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always try to reuse or repair items rather than throw them away</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0.373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"10.1016/j.gloenvcha.2010.07.011", "ISBN" : "0959-3780", "ISSN" : "09593780", "abstract" : "The relevance of climate change for society seems indisputable: scientific evidence points to a significant human contribution in causing climate change, and impacts which will increasingly affect human welfare. In order to meet national and international greenhouse gas (GHG) emissions reduction targets, there is an urgent need to understand and enable societal engagement in mitigation. Yet recent research indicates that this involvement is currently limited: although awareness of climate change is widespread, understanding and behavioral engagement are far lower. Proposals for mitigative 'personal carbon budgets' imply a need for public understanding of the causes and consequences of carbon emissions, as well as the ability to reduce emissions. However, little has been done to consider the situated meanings of carbon and energy in everyday life and decisions. This paper builds on the concept of 'carbon capability', a term which captures the contextual meanings associated with carbon and individuals' abilities and motivations to reduce emissions. We present empirical findings from a UK survey of public engagement with climate change and carbon capability, focusing on both individual and institutional dimensions. These findings highlight the diverse public understandings about 'carbon', encompassing technical, social, and moral discourses; and provide further evidence for the environmental value-action gap in relation to adoption of low-carbon lifestyles. Implications of these findings for promoting public engagement with climate change and carbon capability are discussed. ?? 2010 Elsevier Ltd.", "author" : [ { "dropping-particle" : "", "family" : "Whitmarsh", "given" : "Lorraine", "non-dropping-particle" : "", "parse-names" : false, "suffix" : "" }, { "dropping-particle" : "", "family" : "Seyfang", "given" : "Gill", "non-dropping-particle" : "", "parse-names" : false, "suffix" : "" }, { "dropping-particle" : "", "family" : "O'Neill", "given" : "Saffron", "non-dropping-particle" : "", "parse-names" : false, "suffix" : "" } ], "container-title" : "Global Environmental Change", "id" : "ITEM-1", "issue" : "1", "issued" : { "date-parts" : [ [ "2011" ] ] }, "page" : "56-65", "publisher" : "Elsevier Ltd", "title" : "Public engagement with carbon and climate change: To what extent is the public 'carbon capable'?", "type" : "article-journal", "volume" : "21" }, "uris" : [ "http://www.mendeley.com/documents/?uuid=fe5e9795-cbe7-4f40-8678-16d2ba47f4b8" ] } ], "mendeley" : { "formattedCitation" : "(Whitmarsh et al. 2011)", "plainTextFormattedCitation" : "(Whitmarsh et al. 2011)", "previouslyFormattedCitation" : "[3]"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(Whitmarsh et al. 2011)</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0.779</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b/>
                <w:i/>
                <w:color w:val="000000"/>
                <w:sz w:val="16"/>
                <w:szCs w:val="16"/>
              </w:rPr>
            </w:pPr>
            <w:r w:rsidRPr="00FD752A">
              <w:rPr>
                <w:rFonts w:ascii="Arial" w:hAnsi="Arial" w:cs="Arial"/>
                <w:b/>
                <w:i/>
                <w:color w:val="000000"/>
                <w:sz w:val="16"/>
                <w:szCs w:val="16"/>
              </w:rPr>
              <w:t>Belief in the sanctity of food:</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do not care about additives in my daily diet</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-0.816</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"10.1006/appe.1999.0232", "ISBN" : "0195-6663 (Print)\\n0195-6663 (Linking)", "ISSN" : "0195-6663", "PMID" : "10447981", "abstract" : "Health and Taste Attitudes Questionnaires were developed to assess consumers' orientations toward the health and hedonic characteristics of foods. Items were generated in a qualitative study. The original 37 items on health and 44 on taste were rated from \"strongly disagree\" to \"strongly agree\" by a representative sample of 1005 Finnish adults (18-81 years). The number of items was reduced using factor and item analysis, resulting in 20 health- and 18 taste-related statements. Three health-related and three taste-related factors were extracted. The health-related factors were labelled as \"General health interest\", \"Light product interest\", and \"Natural product interest\". The taste-related factors were named \"Craving for sweet foods\", \"Using food as a reward\", and \"Pleasure\". Cronbach's alphas of the multi-item scales, based on the statements loading highly on each factor, ranged from 0.67 to 0.89. Age and gender affected the responses. Females were more interested in the health and taste aspects of foods than were males. Younger respondents were less concerned with health but more interested in taste than were older respondents. A preliminary test of predictive validity was conducted by analysing subjects' responses to foods with weak and strong connotations of health and taste, and currently the questionnaires are being validated with further behavioural tests.", "author" : [ { "dropping-particle" : "", "family" : "Roininen", "given" : "K", "non-dropping-particle" : "", "parse-names" : false, "suffix" : "" }, { "dropping-particle" : "", "family" : "L\u00e4hteenm\u00e4ki", "given" : "L", "non-dropping-particle" : "", "parse-names" : false, "suffix" : "" }, { "dropping-particle" : "", "family" : "Tuorila", "given" : "H", "non-dropping-particle" : "", "parse-names" : false, "suffix" : "" } ], "container-title" : "Appetite", "id" : "ITEM-1", "issue" : "1", "issued" : { "date-parts" : [ [ "1999" ] ] }, "page" : "71-88", "title" : "Quantification of consumer attitudes to health and hedonic characteristics of foods.", "type" : "article-journal", "volume" : "33" }, "uris" : [ "http://www.mendeley.com/documents/?uuid=f67a60d9-4eda-4260-8c54-a2a7a84badb0" ] } ], "mendeley" : { "formattedCitation" : "(Roininen et al. 1999)", "plainTextFormattedCitation" : "(Roininen et al. 1999)", "previouslyFormattedCitation" : "[4]"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(Roininen et al. 1999)</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try to eat foods that do not contain additives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0.807</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"10.1006/appe.1999.0232", "ISBN" : "0195-6663 (Print)\\n0195-6663 (Linking)", "ISSN" : "0195-6663", "PMID" : "10447981", "abstract" : "Health and Taste Attitudes Questionnaires were developed to assess consumers' orientations toward the health and hedonic characteristics of foods. Items were generated in a qualitative study. The original 37 items on health and 44 on taste were rated from \"strongly disagree\" to \"strongly agree\" by a representative sample of 1005 Finnish adults (18-81 years). The number of items was reduced using factor and item analysis, resulting in 20 health- and 18 taste-related statements. Three health-related and three taste-related factors were extracted. The health-related factors were labelled as \"General health interest\", \"Light product interest\", and \"Natural product interest\". The taste-related factors were named \"Craving for sweet foods\", \"Using food as a reward\", and \"Pleasure\". Cronbach's alphas of the multi-item scales, based on the statements loading highly on each factor, ranged from 0.67 to 0.89. Age and gender affected the responses. Females were more interested in the health and taste aspects of foods than were males. Younger respondents were less concerned with health but more interested in taste than were older respondents. A preliminary test of predictive validity was conducted by analysing subjects' responses to foods with weak and strong connotations of health and taste, and currently the questionnaires are being validated with further behavioural tests.", "author" : [ { "dropping-particle" : "", "family" : "Roininen", "given" : "K", "non-dropping-particle" : "", "parse-names" : false, "suffix" : "" }, { "dropping-particle" : "", "family" : "L\u00e4hteenm\u00e4ki", "given" : "L", "non-dropping-particle" : "", "parse-names" : false, "suffix" : "" }, { "dropping-particle" : "", "family" : "Tuorila", "given" : "H", "non-dropping-particle" : "", "parse-names" : false, "suffix" : "" } ], "container-title" : "Appetite", "id" : "ITEM-1", "issue" : "1", "issued" : { "date-parts" : [ [ "1999" ] ] }, "page" : "71-88", "title" : "Quantification of consumer attitudes to health and hedonic characteristics of foods.", "type" : "article-journal", "volume" : "33" }, "uris" : [ "http://www.mendeley.com/documents/?uuid=f67a60d9-4eda-4260-8c54-a2a7a84badb0" ] } ], "mendeley" : { "formattedCitation" : "(Roininen et al. 1999)", "plainTextFormattedCitation" : "(Roininen et al. 1999)", "previouslyFormattedCitation" : "[4]"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(Roininen et al. 1999)</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avoid eating processed food</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0.740</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"10.1006/appe.1999.0232", "ISBN" : "0195-6663 (Print)\\n0195-6663 (Linking)", "ISSN" : "0195-6663", "PMID" : "10447981", "abstract" : "Health and Taste Attitudes Questionnaires were developed to assess consumers' orientations toward the health and hedonic characteristics of foods. Items were generated in a qualitative study. The original 37 items on health and 44 on taste were rated from \"strongly disagree\" to \"strongly agree\" by a representative sample of 1005 Finnish adults (18-81 years). The number of items was reduced using factor and item analysis, resulting in 20 health- and 18 taste-related statements. Three health-related and three taste-related factors were extracted. The health-related factors were labelled as \"General health interest\", \"Light product interest\", and \"Natural product interest\". The taste-related factors were named \"Craving for sweet foods\", \"Using food as a reward\", and \"Pleasure\". Cronbach's alphas of the multi-item scales, based on the statements loading highly on each factor, ranged from 0.67 to 0.89. Age and gender affected the responses. Females were more interested in the health and taste aspects of foods than were males. Younger respondents were less concerned with health but more interested in taste than were older respondents. A preliminary test of predictive validity was conducted by analysing subjects' responses to foods with weak and strong connotations of health and taste, and currently the questionnaires are being validated with further behavioural tests.", "author" : [ { "dropping-particle" : "", "family" : "Roininen", "given" : "K", "non-dropping-particle" : "", "parse-names" : false, "suffix" : "" }, { "dropping-particle" : "", "family" : "L\u00e4hteenm\u00e4ki", "given" : "L", "non-dropping-particle" : "", "parse-names" : false, "suffix" : "" }, { "dropping-particle" : "", "family" : "Tuorila", "given" : "H", "non-dropping-particle" : "", "parse-names" : false, "suffix" : "" } ], "container-title" : "Appetite", "id" : "ITEM-1", "issue" : "1", "issued" : { "date-parts" : [ [ "1999" ] ] }, "page" : "71-88", "title" : "Quantification of consumer attitudes to health and hedonic characteristics of foods.", "type" : "article-journal", "volume" : "33" }, "uris" : [ "http://www.mendeley.com/documents/?uuid=f67a60d9-4eda-4260-8c54-a2a7a84badb0" ] } ], "mendeley" : { "formattedCitation" : "(Roininen et al. 1999)", "plainTextFormattedCitation" : "(Roininen et al. 1999)", "previouslyFormattedCitation" : "[4]"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(Roininen et al. 1999)</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Artificially flavoured foods are not harmful for my health</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-0.659</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"10.1006/appe.1999.0232", "ISBN" : "0195-6663 (Print)\\n0195-6663 (Linking)", "ISSN" : "0195-6663", "PMID" : "10447981", "abstract" : "Health and Taste Attitudes Questionnaires were developed to assess consumers' orientations toward the health and hedonic characteristics of foods. Items were generated in a qualitative study. The original 37 items on health and 44 on taste were rated from \"strongly disagree\" to \"strongly agree\" by a representative sample of 1005 Finnish adults (18-81 years). The number of items was reduced using factor and item analysis, resulting in 20 health- and 18 taste-related statements. Three health-related and three taste-related factors were extracted. The health-related factors were labelled as \"General health interest\", \"Light product interest\", and \"Natural product interest\". The taste-related factors were named \"Craving for sweet foods\", \"Using food as a reward\", and \"Pleasure\". Cronbach's alphas of the multi-item scales, based on the statements loading highly on each factor, ranged from 0.67 to 0.89. Age and gender affected the responses. Females were more interested in the health and taste aspects of foods than were males. Younger respondents were less concerned with health but more interested in taste than were older respondents. A preliminary test of predictive validity was conducted by analysing subjects' responses to foods with weak and strong connotations of health and taste, and currently the questionnaires are being validated with further behavioural tests.", "author" : [ { "dropping-particle" : "", "family" : "Roininen", "given" : "K", "non-dropping-particle" : "", "parse-names" : false, "suffix" : "" }, { "dropping-particle" : "", "family" : "L\u00e4hteenm\u00e4ki", "given" : "L", "non-dropping-particle" : "", "parse-names" : false, "suffix" : "" }, { "dropping-particle" : "", "family" : "Tuorila", "given" : "H", "non-dropping-particle" : "", "parse-names" : false, "suffix" : "" } ], "container-title" : "Appetite", "id" : "ITEM-1", "issue" : "1", "issued" : { "date-parts" : [ [ "1999" ] ] }, "page" : "71-88", "title" : "Quantification of consumer attitudes to health and hedonic characteristics of foods.", "type" : "article-journal", "volume" : "33" }, "uris" : [ "http://www.mendeley.com/documents/?uuid=f67a60d9-4eda-4260-8c54-a2a7a84badb0" ] } ], "mendeley" : { "formattedCitation" : "(Roininen et al. 1999)", "plainTextFormattedCitation" : "(Roininen et al. 1999)", "previouslyFormattedCitation" : "[4]"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(Roininen et al. 1999)</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Pesticide use on food crops is bad for human health</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0.556</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Organically grown foods are no more nutritious than those grown conventionally</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-0.318</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"10.1006/appe.1999.0232", "ISBN" : "0195-6663 (Print)\\n0195-6663 (Linking)", "ISSN" : "0195-6663", "PMID" : "10447981", "abstract" : "Health and Taste Attitudes Questionnaires were developed to assess consumers' orientations toward the health and hedonic characteristics of foods. Items were generated in a qualitative study. The original 37 items on health and 44 on taste were rated from \"strongly disagree\" to \"strongly agree\" by a representative sample of 1005 Finnish adults (18-81 years). The number of items was reduced using factor and item analysis, resulting in 20 health- and 18 taste-related statements. Three health-related and three taste-related factors were extracted. The health-related factors were labelled as \"General health interest\", \"Light product interest\", and \"Natural product interest\". The taste-related factors were named \"Craving for sweet foods\", \"Using food as a reward\", and \"Pleasure\". Cronbach's alphas of the multi-item scales, based on the statements loading highly on each factor, ranged from 0.67 to 0.89. Age and gender affected the responses. Females were more interested in the health and taste aspects of foods than were males. Younger respondents were less concerned with health but more interested in taste than were older respondents. A preliminary test of predictive validity was conducted by analysing subjects' responses to foods with weak and strong connotations of health and taste, and currently the questionnaires are being validated with further behavioural tests.", "author" : [ { "dropping-particle" : "", "family" : "Roininen", "given" : "K", "non-dropping-particle" : "", "parse-names" : false, "suffix" : "" }, { "dropping-particle" : "", "family" : "L\u00e4hteenm\u00e4ki", "given" : "L", "non-dropping-particle" : "", "parse-names" : false, "suffix" : "" }, { "dropping-particle" : "", "family" : "Tuorila", "given" : "H", "non-dropping-particle" : "", "parse-names" : false, "suffix" : "" } ], "container-title" : "Appetite", "id" : "ITEM-1", "issue" : "1", "issued" : { "date-parts" : [ [ "1999" ] ] }, "page" : "71-88", "title" : "Quantification of consumer attitudes to health and hedonic characteristics of foods.", "type" : "article-journal", "volume" : "33" }, "uris" : [ "http://www.mendeley.com/documents/?uuid=f67a60d9-4eda-4260-8c54-a2a7a84badb0" ] } ], "mendeley" : { "formattedCitation" : "(Roininen et al. 1999)", "plainTextFormattedCitation" : "(Roininen et al. 1999)", "previouslyFormattedCitation" : "[4]"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(Roininen et al. 1999)</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0.748</w:t>
            </w:r>
          </w:p>
        </w:tc>
        <w:tc>
          <w:tcPr>
            <w:tcW w:w="1326" w:type="pct"/>
            <w:vAlign w:val="center"/>
          </w:tcPr>
          <w:p w:rsidR="00775580" w:rsidRPr="00FD752A" w:rsidRDefault="00775580" w:rsidP="00345312">
            <w:pPr>
              <w:jc w:val="center"/>
              <w:rPr>
                <w:rFonts w:ascii="Arial" w:hAnsi="Arial" w:cs="Arial"/>
                <w:color w:val="000000"/>
                <w:sz w:val="16"/>
                <w:szCs w:val="16"/>
              </w:rPr>
            </w:pPr>
          </w:p>
        </w:tc>
        <w:tc>
          <w:tcPr>
            <w:tcW w:w="1326" w:type="pct"/>
            <w:vAlign w:val="center"/>
          </w:tcPr>
          <w:p w:rsidR="00775580" w:rsidRPr="006D063A" w:rsidRDefault="00775580" w:rsidP="00345312">
            <w:pPr>
              <w:jc w:val="center"/>
              <w:rPr>
                <w:rFonts w:ascii="Arial" w:hAnsi="Arial" w:cs="Arial"/>
                <w:color w:val="000000"/>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color w:val="000000"/>
                <w:sz w:val="16"/>
                <w:szCs w:val="16"/>
              </w:rPr>
            </w:pPr>
            <w:r w:rsidRPr="00FD752A">
              <w:rPr>
                <w:rFonts w:ascii="Arial" w:hAnsi="Arial" w:cs="Arial"/>
                <w:b/>
                <w:i/>
                <w:color w:val="000000"/>
                <w:sz w:val="16"/>
                <w:szCs w:val="16"/>
              </w:rPr>
              <w:t xml:space="preserve">Food </w:t>
            </w:r>
            <w:proofErr w:type="spellStart"/>
            <w:r w:rsidRPr="00FD752A">
              <w:rPr>
                <w:rFonts w:ascii="Arial" w:hAnsi="Arial" w:cs="Arial"/>
                <w:b/>
                <w:i/>
                <w:color w:val="000000"/>
                <w:sz w:val="16"/>
                <w:szCs w:val="16"/>
              </w:rPr>
              <w:t>neophobia</w:t>
            </w:r>
            <w:proofErr w:type="spellEnd"/>
            <w:r w:rsidRPr="00FD752A">
              <w:rPr>
                <w:rFonts w:ascii="Arial" w:hAnsi="Arial" w:cs="Arial"/>
                <w:b/>
                <w:i/>
                <w:color w:val="000000"/>
                <w:sz w:val="16"/>
                <w:szCs w:val="16"/>
              </w:rPr>
              <w:t>:</w:t>
            </w:r>
          </w:p>
        </w:tc>
        <w:tc>
          <w:tcPr>
            <w:tcW w:w="1326" w:type="pct"/>
            <w:vAlign w:val="center"/>
          </w:tcPr>
          <w:p w:rsidR="00775580" w:rsidRPr="00FD752A" w:rsidRDefault="00775580" w:rsidP="00345312">
            <w:pPr>
              <w:jc w:val="center"/>
              <w:rPr>
                <w:rFonts w:ascii="Arial" w:hAnsi="Arial" w:cs="Arial"/>
                <w:color w:val="000000"/>
                <w:sz w:val="16"/>
                <w:szCs w:val="16"/>
              </w:rPr>
            </w:pPr>
          </w:p>
        </w:tc>
        <w:tc>
          <w:tcPr>
            <w:tcW w:w="1326" w:type="pct"/>
            <w:vAlign w:val="center"/>
          </w:tcPr>
          <w:p w:rsidR="00775580" w:rsidRPr="006D063A" w:rsidRDefault="00775580" w:rsidP="00345312">
            <w:pPr>
              <w:jc w:val="center"/>
              <w:rPr>
                <w:rFonts w:ascii="Arial" w:hAnsi="Arial" w:cs="Arial"/>
                <w:color w:val="000000"/>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am afraid to eat things I have never eaten before</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0.809</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"10.1016/0195-6663(92)90014-W", "ISBN" : "0195-6663", "ISSN" : "0195-6663", "PMID" : "1489209", "abstract" : "Using standard test construction techniques, we developed a paper and pencil measure of the trait of food neophobia, which was defined as a reluctance to eat and/or avoidance of novel foods. The resulting lo-item test was found to have satisfactory test-retest reliability and internal consistency. Three behavioral validation studies demonstrated that test scores predicted behavior in laboratory food selection situations. Scores on the measure were found to be correlated with trait anxiety, age, the Experience Seeking subscale of the Sensation Seeking Scale, general neophobia, and general familiarity and experience with unusual foods. Scores were not related to gender or to finickiness.", "author" : [ { "dropping-particle" : "", "family" : "Pliner", "given" : "Patricia", "non-dropping-particle" : "", "parse-names" : false, "suffix" : "" }, { "dropping-particle" : "", "family" : "Hobden", "given" : "Karen", "non-dropping-particle" : "", "parse-names" : false, "suffix" : "" } ], "container-title" : "Appetite", "id" : "ITEM-1", "issue" : "19", "issued" : { "date-parts" : [ [ "1992" ] ] }, "page" : "105-120", "title" : "Development of a Scale to Measure Neophobia in Humans the Trait of Food", "type" : "article-journal" }, "uris" : [ "http://www.mendeley.com/documents/?uuid=f89322ca-3304-461d-a454-03790a0d48f8" ] } ], "mendeley" : { "formattedCitation" : "(Pliner and Hobden 1992)", "plainTextFormattedCitation" : "(Pliner and Hobden 1992)", "previouslyFormattedCitation" : "[5]"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(Pliner and Hobden 1992)</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don’t trust new foods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0.775</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"10.1016/0195-6663(92)90014-W", "ISBN" : "0195-6663", "ISSN" : "0195-6663", "PMID" : "1489209", "abstract" : "Using standard test construction techniques, we developed a paper and pencil measure of the trait of food neophobia, which was defined as a reluctance to eat and/or avoidance of novel foods. The resulting lo-item test was found to have satisfactory test-retest reliability and internal consistency. Three behavioral validation studies demonstrated that test scores predicted behavior in laboratory food selection situations. Scores on the measure were found to be correlated with trait anxiety, age, the Experience Seeking subscale of the Sensation Seeking Scale, general neophobia, and general familiarity and experience with unusual foods. Scores were not related to gender or to finickiness.", "author" : [ { "dropping-particle" : "", "family" : "Pliner", "given" : "Patricia", "non-dropping-particle" : "", "parse-names" : false, "suffix" : "" }, { "dropping-particle" : "", "family" : "Hobden", "given" : "Karen", "non-dropping-particle" : "", "parse-names" : false, "suffix" : "" } ], "container-title" : "Appetite", "id" : "ITEM-1", "issue" : "19", "issued" : { "date-parts" : [ [ "1992" ] ] }, "page" : "105-120", "title" : "Development of a Scale to Measure Neophobia in Humans the Trait of Food", "type" : "article-journal" }, "uris" : [ "http://www.mendeley.com/documents/?uuid=f89322ca-3304-461d-a454-03790a0d48f8" ] } ], "mendeley" : { "formattedCitation" : "(Pliner and Hobden 1992)", "plainTextFormattedCitation" : "(Pliner and Hobden 1992)", "previouslyFormattedCitation" : "[5]"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(Pliner and Hobden 1992)</w:t>
            </w:r>
            <w:r>
              <w:rPr>
                <w:rFonts w:ascii="Arial" w:hAnsi="Arial" w:cs="Arial"/>
                <w:color w:val="000000"/>
                <w:sz w:val="16"/>
                <w:szCs w:val="16"/>
              </w:rPr>
              <w:fldChar w:fldCharType="end"/>
            </w:r>
            <w:r w:rsidRPr="006D063A" w:rsidDel="007901E2">
              <w:rPr>
                <w:rFonts w:ascii="Arial" w:hAnsi="Arial" w:cs="Arial"/>
                <w:color w:val="000000"/>
                <w:sz w:val="16"/>
                <w:szCs w:val="16"/>
              </w:rPr>
              <w:t xml:space="preserve"> </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am constantly sampling new and different foods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-0.680</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"10.1016/0195-6663(92)90014-W", "ISBN" : "0195-6663", "ISSN" : "0195-6663", "PMID" : "1489209", "abstract" : "Using standard test construction techniques, we developed a paper and pencil measure of the trait of food neophobia, which was defined as a reluctance to eat and/or avoidance of novel foods. The resulting lo-item test was found to have satisfactory test-retest reliability and internal consistency. Three behavioral validation studies demonstrated that test scores predicted behavior in laboratory food selection situations. Scores on the measure were found to be correlated with trait anxiety, age, the Experience Seeking subscale of the Sensation Seeking Scale, general neophobia, and general familiarity and experience with unusual foods. Scores were not related to gender or to finickiness.", "author" : [ { "dropping-particle" : "", "family" : "Pliner", "given" : "Patricia", "non-dropping-particle" : "", "parse-names" : false, "suffix" : "" }, { "dropping-particle" : "", "family" : "Hobden", "given" : "Karen", "non-dropping-particle" : "", "parse-names" : false, "suffix" : "" } ], "container-title" : "Appetite", "id" : "ITEM-1", "issue" : "19", "issued" : { "date-parts" : [ [ "1992" ] ] }, "page" : "105-120", "title" : "Development of a Scale to Measure Neophobia in Humans the Trait of Food", "type" : "article-journal" }, "uris" : [ "http://www.mendeley.com/documents/?uuid=f89322ca-3304-461d-a454-03790a0d48f8" ] } ], "mendeley" : { "formattedCitation" : "(Pliner and Hobden 1992)", "plainTextFormattedCitation" : "(Pliner and Hobden 1992)", "previouslyFormattedCitation" : "[5]"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(Pliner and Hobden 1992)</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If I don’t know what is in a food, I won’t try it</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0.608</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"10.1016/0195-6663(92)90014-W", "ISBN" : "0195-6663", "ISSN" : "0195-6663", "PMID" : "1489209", "abstract" : "Using standard test construction techniques, we developed a paper and pencil measure of the trait of food neophobia, which was defined as a reluctance to eat and/or avoidance of novel foods. The resulting lo-item test was found to have satisfactory test-retest reliability and internal consistency. Three behavioral validation studies demonstrated that test scores predicted behavior in laboratory food selection situations. Scores on the measure were found to be correlated with trait anxiety, age, the Experience Seeking subscale of the Sensation Seeking Scale, general neophobia, and general familiarity and experience with unusual foods. Scores were not related to gender or to finickiness.", "author" : [ { "dropping-particle" : "", "family" : "Pliner", "given" : "Patricia", "non-dropping-particle" : "", "parse-names" : false, "suffix" : "" }, { "dropping-particle" : "", "family" : "Hobden", "given" : "Karen", "non-dropping-particle" : "", "parse-names" : false, "suffix" : "" } ], "container-title" : "Appetite", "id" : "ITEM-1", "issue" : "19", "issued" : { "date-parts" : [ [ "1992" ] ] }, "page" : "105-120", "title" : "Development of a Scale to Measure Neophobia in Humans the Trait of Food", "type" : "article-journal" }, "uris" : [ "http://www.mendeley.com/documents/?uuid=f89322ca-3304-461d-a454-03790a0d48f8" ] } ], "mendeley" : { "formattedCitation" : "(Pliner and Hobden 1992)", "plainTextFormattedCitation" : "(Pliner and Hobden 1992)", "previouslyFormattedCitation" : "[5]"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(Pliner and Hobden 1992)</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will eat almost anything</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-0.580</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"DOI" : "10.1016/0195-6663(92)90014-W", "ISBN" : "0195-6663", "ISSN" : "0195-6663", "PMID" : "1489209", "abstract" : "Using standard test construction techniques, we developed a paper and pencil measure of the trait of food neophobia, which was defined as a reluctance to eat and/or avoidance of novel foods. The resulting lo-item test was found to have satisfactory test-retest reliability and internal consistency. Three behavioral validation studies demonstrated that test scores predicted behavior in laboratory food selection situations. Scores on the measure were found to be correlated with trait anxiety, age, the Experience Seeking subscale of the Sensation Seeking Scale, general neophobia, and general familiarity and experience with unusual foods. Scores were not related to gender or to finickiness.", "author" : [ { "dropping-particle" : "", "family" : "Pliner", "given" : "Patricia", "non-dropping-particle" : "", "parse-names" : false, "suffix" : "" }, { "dropping-particle" : "", "family" : "Hobden", "given" : "Karen", "non-dropping-particle" : "", "parse-names" : false, "suffix" : "" } ], "container-title" : "Appetite", "id" : "ITEM-1", "issue" : "19", "issued" : { "date-parts" : [ [ "1992" ] ] }, "page" : "105-120", "title" : "Development of a Scale to Measure Neophobia in Humans the Trait of Food", "type" : "article-journal" }, "uris" : [ "http://www.mendeley.com/documents/?uuid=f89322ca-3304-461d-a454-03790a0d48f8" ] } ], "mendeley" : { "formattedCitation" : "(Pliner and Hobden 1992)", "plainTextFormattedCitation" : "(Pliner and Hobden 1992)", "previouslyFormattedCitation" : "[5]"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(Pliner and Hobden 1992)</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Technology should be kept away from food production</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0.433</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sz w:val="16"/>
                <w:szCs w:val="16"/>
              </w:rPr>
              <w:t>Cronbach’s reliability coefficient:  0.732</w:t>
            </w:r>
          </w:p>
        </w:tc>
        <w:tc>
          <w:tcPr>
            <w:tcW w:w="1326" w:type="pct"/>
            <w:vAlign w:val="center"/>
          </w:tcPr>
          <w:p w:rsidR="00775580" w:rsidRPr="00FD752A" w:rsidRDefault="00775580" w:rsidP="00345312">
            <w:pPr>
              <w:jc w:val="center"/>
              <w:rPr>
                <w:rFonts w:ascii="Arial" w:hAnsi="Arial" w:cs="Arial"/>
                <w:color w:val="000000"/>
                <w:sz w:val="16"/>
                <w:szCs w:val="16"/>
              </w:rPr>
            </w:pPr>
          </w:p>
        </w:tc>
        <w:tc>
          <w:tcPr>
            <w:tcW w:w="1326" w:type="pct"/>
            <w:vAlign w:val="center"/>
          </w:tcPr>
          <w:p w:rsidR="00775580" w:rsidRPr="006D063A" w:rsidRDefault="00775580" w:rsidP="00345312">
            <w:pPr>
              <w:jc w:val="center"/>
              <w:rPr>
                <w:rFonts w:ascii="Arial" w:hAnsi="Arial" w:cs="Arial"/>
                <w:color w:val="000000"/>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b/>
                <w:i/>
                <w:sz w:val="16"/>
                <w:szCs w:val="16"/>
              </w:rPr>
            </w:pPr>
            <w:r w:rsidRPr="00FD752A">
              <w:rPr>
                <w:rFonts w:ascii="Arial" w:hAnsi="Arial" w:cs="Arial"/>
                <w:b/>
                <w:i/>
                <w:sz w:val="16"/>
                <w:szCs w:val="16"/>
              </w:rPr>
              <w:t>UK food security is important</w:t>
            </w:r>
            <w:r w:rsidRPr="00FD752A">
              <w:rPr>
                <w:rFonts w:ascii="Arial" w:hAnsi="Arial" w:cs="Arial"/>
                <w:b/>
                <w:sz w:val="16"/>
                <w:szCs w:val="16"/>
              </w:rPr>
              <w:t>:</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Ensuring that the UK has enough food to go around will become a big issue in the future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0.898</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The UK Government is not doing enough to ensure the UK has enough food to go around in the future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0.898</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0.761</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i/>
                <w:sz w:val="16"/>
                <w:szCs w:val="16"/>
              </w:rPr>
            </w:pPr>
            <w:r w:rsidRPr="00FD752A">
              <w:rPr>
                <w:rFonts w:ascii="Arial" w:hAnsi="Arial" w:cs="Arial"/>
                <w:b/>
                <w:i/>
                <w:sz w:val="16"/>
                <w:szCs w:val="16"/>
              </w:rPr>
              <w:t>Willing to take health risks:</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b/>
                <w:sz w:val="16"/>
                <w:szCs w:val="16"/>
              </w:rPr>
            </w:pPr>
            <w:r w:rsidRPr="00FD752A">
              <w:rPr>
                <w:rFonts w:ascii="Arial" w:hAnsi="Arial" w:cs="Arial"/>
                <w:sz w:val="16"/>
                <w:szCs w:val="16"/>
              </w:rPr>
              <w:t>Driving a car without wearing a seatbelt</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0.696</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"ISBN" : "1930-2975", "ISSN" : "19302975", "abstract" : "This paper proposes a revised version of the original Domain-Specific Risk-Taking (DOSPERT) scale developed by Weber, Blais, and Betz (2002) that is shorter and applicable to a broader range of ages, cultures, and educational levels. It also provides a French translation of the revised scale. Using multilevel modeling, we investigated the risk-return relationship between apparent risk taking and risk perception in 5 risk domains. The results replicate previously noted differences in reported degree of risk taking and risk perception at the mean level of analysis. The multilevel modeling shows, more interestingly, that within-participants variation in risk taking across the 5 content domains of the scale was about 7 times as large as between-participants variation. We discuss the implications of our findings in terms of the person-situation", "author" : [ { "dropping-particle" : "", "family" : "Blais", "given" : "Ann-ren\u00e9e", "non-dropping-particle" : "", "parse-names" : false, "suffix" : "" }, { "dropping-particle" : "", "family" : "Weber", "given" : "Elke U", "non-dropping-particle" : "", "parse-names" : false, "suffix" : "" } ], "container-title" : "Judgement and Decision Making", "id" : "ITEM-1", "issue" : "1", "issued" : { "date-parts" : [ [ "2006" ] ] }, "page" : "33-47", "title" : "A Domain-Specific Risk-Taking ( DOSPERT ) scale for adult populations", "type" : "article-journal", "volume" : "1" }, "uris" : [ "http://www.mendeley.com/documents/?uuid=c37897e6-56be-4f85-94fa-6c96331a3394" ] } ], "mendeley" : { "formattedCitation" : "(Blais and Weber 2006)", "plainTextFormattedCitation" : "(Blais and Weber 2006)", "previouslyFormattedCitation" : "[7]"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(Blais and Weber 2006)</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Walking home alone at night in an unsafe area of town</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0.673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"ISBN" : "1930-2975", "ISSN" : "19302975", "abstract" : "This paper proposes a revised version of the original Domain-Specific Risk-Taking (DOSPERT) scale developed by Weber, Blais, and Betz (2002) that is shorter and applicable to a broader range of ages, cultures, and educational levels. It also provides a French translation of the revised scale. Using multilevel modeling, we investigated the risk-return relationship between apparent risk taking and risk perception in 5 risk domains. The results replicate previously noted differences in reported degree of risk taking and risk perception at the mean level of analysis. The multilevel modeling shows, more interestingly, that within-participants variation in risk taking across the 5 content domains of the scale was about 7 times as large as between-participants variation. We discuss the implications of our findings in terms of the person-situation", "author" : [ { "dropping-particle" : "", "family" : "Blais", "given" : "Ann-ren\u00e9e", "non-dropping-particle" : "", "parse-names" : false, "suffix" : "" }, { "dropping-particle" : "", "family" : "Weber", "given" : "Elke U", "non-dropping-particle" : "", "parse-names" : false, "suffix" : "" } ], "container-title" : "Judgement and Decision Making", "id" : "ITEM-1", "issue" : "1", "issued" : { "date-parts" : [ [ "2006" ] ] }, "page" : "33-47", "title" : "A Domain-Specific Risk-Taking ( DOSPERT ) scale for adult populations", "type" : "article-journal", "volume" : "1" }, "uris" : [ "http://www.mendeley.com/documents/?uuid=c37897e6-56be-4f85-94fa-6c96331a3394" ] } ], "mendeley" : { "formattedCitation" : "(Blais and Weber 2006)", "plainTextFormattedCitation" : "(Blais and Weber 2006)", "previouslyFormattedCitation" : "[7]"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(Blais and Weber 2006)</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Engaging in unprotected sex</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0.659</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"ISBN" : "1930-2975", "ISSN" : "19302975", "abstract" : "This paper proposes a revised version of the original Domain-Specific Risk-Taking (DOSPERT) scale developed by Weber, Blais, and Betz (2002) that is shorter and applicable to a broader range of ages, cultures, and educational levels. It also provides a French translation of the revised scale. Using multilevel modeling, we investigated the risk-return relationship between apparent risk taking and risk perception in 5 risk domains. The results replicate previously noted differences in reported degree of risk taking and risk perception at the mean level of analysis. The multilevel modeling shows, more interestingly, that within-participants variation in risk taking across the 5 content domains of the scale was about 7 times as large as between-participants variation. We discuss the implications of our findings in terms of the person-situation", "author" : [ { "dropping-particle" : "", "family" : "Blais", "given" : "Ann-ren\u00e9e", "non-dropping-particle" : "", "parse-names" : false, "suffix" : "" }, { "dropping-particle" : "", "family" : "Weber", "given" : "Elke U", "non-dropping-particle" : "", "parse-names" : false, "suffix" : "" } ], "container-title" : "Judgement and Decision Making", "id" : "ITEM-1", "issue" : "1", "issued" : { "date-parts" : [ [ "2006" ] ] }, "page" : "33-47", "title" : "A Domain-Specific Risk-Taking ( DOSPERT ) scale for adult populations", "type" : "article-journal", "volume" : "1" }, "uris" : [ "http://www.mendeley.com/documents/?uuid=c37897e6-56be-4f85-94fa-6c96331a3394" ] } ], "mendeley" : { "formattedCitation" : "(Blais and Weber 2006)", "plainTextFormattedCitation" : "(Blais and Weber 2006)", "previouslyFormattedCitation" : "[7]"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(Blais and Weber 2006)</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Buying a ‘legal high’ substance for your own use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0.653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"ISBN" : "1930-2975", "ISSN" : "19302975", "abstract" : "This paper proposes a revised version of the original Domain-Specific Risk-Taking (DOSPERT) scale developed by Weber, Blais, and Betz (2002) that is shorter and applicable to a broader range of ages, cultures, and educational levels. It also provides a French translation of the revised scale. Using multilevel modeling, we investigated the risk-return relationship between apparent risk taking and risk perception in 5 risk domains. The results replicate previously noted differences in reported degree of risk taking and risk perception at the mean level of analysis. The multilevel modeling shows, more interestingly, that within-participants variation in risk taking across the 5 content domains of the scale was about 7 times as large as between-participants variation. We discuss the implications of our findings in terms of the person-situation", "author" : [ { "dropping-particle" : "", "family" : "Blais", "given" : "Ann-ren\u00e9e", "non-dropping-particle" : "", "parse-names" : false, "suffix" : "" }, { "dropping-particle" : "", "family" : "Weber", "given" : "Elke U", "non-dropping-particle" : "", "parse-names" : false, "suffix" : "" } ], "container-title" : "Judgement and Decision Making", "id" : "ITEM-1", "issue" : "1", "issued" : { "date-parts" : [ [ "2006" ] ] }, "page" : "33-47", "title" : "A Domain-Specific Risk-Taking ( DOSPERT ) scale for adult populations", "type" : "article-journal", "volume" : "1" }, "uris" : [ "http://www.mendeley.com/documents/?uuid=c37897e6-56be-4f85-94fa-6c96331a3394" ] } ], "mendeley" : { "formattedCitation" : "(Blais and Weber 2006)", "plainTextFormattedCitation" : "(Blais and Weber 2006)", "previouslyFormattedCitation" : "[7]"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(Blais and Weber 2006)</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b/>
                <w:sz w:val="16"/>
                <w:szCs w:val="16"/>
              </w:rPr>
            </w:pPr>
            <w:r w:rsidRPr="00FD752A">
              <w:rPr>
                <w:rFonts w:ascii="Arial" w:hAnsi="Arial" w:cs="Arial"/>
                <w:sz w:val="16"/>
                <w:szCs w:val="16"/>
              </w:rPr>
              <w:t>Sunbathing without sunscreen</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0.612</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"ISBN" : "1930-2975", "ISSN" : "19302975", "abstract" : "This paper proposes a revised version of the original Domain-Specific Risk-Taking (DOSPERT) scale developed by Weber, Blais, and Betz (2002) that is shorter and applicable to a broader range of ages, cultures, and educational levels. It also provides a French translation of the revised scale. Using multilevel modeling, we investigated the risk-return relationship between apparent risk taking and risk perception in 5 risk domains. The results replicate previously noted differences in reported degree of risk taking and risk perception at the mean level of analysis. The multilevel modeling shows, more interestingly, that within-participants variation in risk taking across the 5 content domains of the scale was about 7 times as large as between-participants variation. We discuss the implications of our findings in terms of the person-situation", "author" : [ { "dropping-particle" : "", "family" : "Blais", "given" : "Ann-ren\u00e9e", "non-dropping-particle" : "", "parse-names" : false, "suffix" : "" }, { "dropping-particle" : "", "family" : "Weber", "given" : "Elke U", "non-dropping-particle" : "", "parse-names" : false, "suffix" : "" } ], "container-title" : "Judgement and Decision Making", "id" : "ITEM-1", "issue" : "1", "issued" : { "date-parts" : [ [ "2006" ] ] }, "page" : "33-47", "title" : "A Domain-Specific Risk-Taking ( DOSPERT ) scale for adult populations", "type" : "article-journal", "volume" : "1" }, "uris" : [ "http://www.mendeley.com/documents/?uuid=c37897e6-56be-4f85-94fa-6c96331a3394" ] } ], "mendeley" : { "formattedCitation" : "(Blais and Weber 2006)", "plainTextFormattedCitation" : "(Blais and Weber 2006)", "previouslyFormattedCitation" : "[7]"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(Blais and Weber 2006)</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Drinking five or more units of alcohol in a single evening</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0.604</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"ISBN" : "1930-2975", "ISSN" : "19302975", "abstract" : "This paper proposes a revised version of the original Domain-Specific Risk-Taking (DOSPERT) scale developed by Weber, Blais, and Betz (2002) that is shorter and applicable to a broader range of ages, cultures, and educational levels. It also provides a French translation of the revised scale. Using multilevel modeling, we investigated the risk-return relationship between apparent risk taking and risk perception in 5 risk domains. The results replicate previously noted differences in reported degree of risk taking and risk perception at the mean level of analysis. The multilevel modeling shows, more interestingly, that within-participants variation in risk taking across the 5 content domains of the scale was about 7 times as large as between-participants variation. We discuss the implications of our findings in terms of the person-situation", "author" : [ { "dropping-particle" : "", "family" : "Blais", "given" : "Ann-ren\u00e9e", "non-dropping-particle" : "", "parse-names" : false, "suffix" : "" }, { "dropping-particle" : "", "family" : "Weber", "given" : "Elke U", "non-dropping-particle" : "", "parse-names" : false, "suffix" : "" } ], "container-title" : "Judgement and Decision Making", "id" : "ITEM-1", "issue" : "1", "issued" : { "date-parts" : [ [ "2006" ] ] }, "page" : "33-47", "title" : "A Domain-Specific Risk-Taking ( DOSPERT ) scale for adult populations", "type" : "article-journal", "volume" : "1" }, "uris" : [ "http://www.mendeley.com/documents/?uuid=c37897e6-56be-4f85-94fa-6c96331a3394" ] } ], "mendeley" : { "formattedCitation" : "(Blais and Weber 2006)", "plainTextFormattedCitation" : "(Blais and Weber 2006)", "previouslyFormattedCitation" : "[7]"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(Blais and Weber 2006)</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0.713</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b/>
                <w:i/>
                <w:sz w:val="16"/>
                <w:szCs w:val="16"/>
              </w:rPr>
            </w:pPr>
            <w:r w:rsidRPr="00FD752A">
              <w:rPr>
                <w:rFonts w:ascii="Arial" w:hAnsi="Arial" w:cs="Arial"/>
                <w:b/>
                <w:i/>
                <w:sz w:val="16"/>
                <w:szCs w:val="16"/>
              </w:rPr>
              <w:t>Trust in the integrity of government and multinational companies regarding GM:</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the UK government to provide accurate information on GM food products</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0.786</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lastRenderedPageBreak/>
              <w:t>I trust the UK government to set up an appropriate legal framework for the production of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0.777</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b/>
                <w:sz w:val="16"/>
                <w:szCs w:val="16"/>
              </w:rPr>
            </w:pPr>
            <w:r w:rsidRPr="00FD752A">
              <w:rPr>
                <w:rFonts w:ascii="Arial" w:hAnsi="Arial" w:cs="Arial"/>
                <w:sz w:val="16"/>
                <w:szCs w:val="16"/>
              </w:rPr>
              <w:t>I trust the UK Government to tell the truth about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0.753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b/>
                <w:i/>
                <w:sz w:val="16"/>
                <w:szCs w:val="16"/>
              </w:rPr>
            </w:pPr>
            <w:r w:rsidRPr="00FD752A">
              <w:rPr>
                <w:rFonts w:ascii="Arial" w:hAnsi="Arial" w:cs="Arial"/>
                <w:sz w:val="16"/>
                <w:szCs w:val="16"/>
              </w:rPr>
              <w:t>I trust multinational companies to develop GM food responsibly</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0.729</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multinational companies to provide accurate information on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0.683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research organisations to develop GM food responsibly</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0.585</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0.917</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sz w:val="16"/>
                <w:szCs w:val="16"/>
              </w:rPr>
            </w:pPr>
            <w:r w:rsidRPr="00FD752A">
              <w:rPr>
                <w:rFonts w:ascii="Arial" w:hAnsi="Arial" w:cs="Arial"/>
                <w:b/>
                <w:i/>
                <w:sz w:val="16"/>
                <w:szCs w:val="16"/>
              </w:rPr>
              <w:t>Trust in the information about GM from universities, medical professionals, NGOs and campaign groups:</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universities to provide accurate information on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0.801</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"id" : "ITEM-2",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"ITEM-2", "issued" : { "date-parts" : [ [ "2005" ] ] }, "title" : "Risk Perceptions, Social Interactions and the Influence of Information on Social Attitudes to Agricultural Biotechnology", "type" : "report" }, "uris" : [ "http://www.mendeley.com/documents/?uuid=0fe3e42e-9983-477f-a80c-337f05eb593f" ] } ], "mendeley" : { "formattedCitation" : "(Gaskell et al. 2010; Veeman et al. 2005)", "plainTextFormattedCitation" : "(Gaskell et al. 2010; Veeman et al. 2005)", "previouslyFormattedCitation" : "[8,9]"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 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medical professionals to give accurate information about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0.710</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charities (such as  Oxfam) to provide accurate information on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0.668</w:t>
            </w:r>
          </w:p>
        </w:tc>
        <w:tc>
          <w:tcPr>
            <w:tcW w:w="1326" w:type="pct"/>
            <w:vAlign w:val="center"/>
          </w:tcPr>
          <w:p w:rsidR="00775580" w:rsidRPr="006D063A" w:rsidRDefault="00775580" w:rsidP="00345312">
            <w:pPr>
              <w:jc w:val="center"/>
              <w:rPr>
                <w:rFonts w:ascii="Arial" w:hAnsi="Arial" w:cs="Arial"/>
                <w:sz w:val="16"/>
                <w:szCs w:val="16"/>
              </w:rPr>
            </w:pPr>
            <w:r w:rsidRPr="006D063A">
              <w:rPr>
                <w:rFonts w:ascii="Arial" w:hAnsi="Arial" w:cs="Arial"/>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scientists to tell the truth about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0.657</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campaign groups (such as Friends of the Earth or Greenpeace) to provide accurate information on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0.593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GM research funded by charities (such as Bill and Melinda Gates Foundation)</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0.564</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0.823</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b/>
                <w:i/>
                <w:sz w:val="16"/>
                <w:szCs w:val="16"/>
              </w:rPr>
            </w:pPr>
            <w:r w:rsidRPr="00FD752A">
              <w:rPr>
                <w:rFonts w:ascii="Arial" w:hAnsi="Arial" w:cs="Arial"/>
                <w:b/>
                <w:i/>
                <w:sz w:val="16"/>
                <w:szCs w:val="16"/>
              </w:rPr>
              <w:t>Trust in the information about GM from media sources and friends:</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newspapers to be an accurate source of information about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0.808</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the television to provide accurate information about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0.778</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the radio to provide accurate information about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0.765</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the media to be an accurate source of information on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0.726</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the internet to be an accurate source of information about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0.721</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trust friends to give good advice about GM food</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0.657</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0.887</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sz w:val="16"/>
                <w:szCs w:val="16"/>
              </w:rPr>
            </w:pPr>
            <w:r w:rsidRPr="00FD752A">
              <w:rPr>
                <w:rFonts w:ascii="Arial" w:hAnsi="Arial" w:cs="Arial"/>
                <w:b/>
                <w:i/>
                <w:sz w:val="16"/>
                <w:szCs w:val="16"/>
              </w:rPr>
              <w:t>Emotional dislike of GM-food:</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GM food could damage future generations</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0.861</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GM food could harm nature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0.838</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"10.2777/23393", "ISBN" : "9789279168789", "abstract" : "This is the seventh in a series of Eurobarometer surveys on life sciences and biotechnology conducted in 1991, 1993, 1996, 1999, 2002, 2005 and 2010. This latest survey, carried out in February 2010, was based on a representative sample of 30,800 respondents from the 27 Member States, plus Croatia, Iceland, Norway, Switzerland and Turkey. Issues such as regenerative medicine, production of Genetically Modified Organisms (GMOs, both transgenic and cisgenic), biobanks, biofuels and other innovations such as nanotechnology and synthetic biology, in addition to broader issues such as the governance of science and the engagement of citizens, were investigated. These surveys provide an indication of the distribution of opinions and attitudes in the public at large and evidence of changes in these perceptions over time. To ensure the continuing independence and high reputation of this series of surveys, the Commission charged a team of social scientists throughout Europe with designing the questionnaire and analysing the responses", "author" : [ { "dropping-particle" : "", "family" : "Gaskell", "given" : "George", "non-dropping-particle" : "", "parse-names" : false, "suffix" : "" }, { "dropping-particle" : "", "family" : "Stares", "given" : "Sally", "non-dropping-particle" : "", "parse-names" : false, "suffix" : "" }, { "dropping-particle" : "", "family" : "Allansdottir", "given" : "Agnes", "non-dropping-particle" : "", "parse-names" : false, "suffix" : "" }, { "dropping-particle" : "", "family" : "Allum", "given" : "Nick", "non-dropping-particle" : "", "parse-names" : false, "suffix" : "" } ], "id" : "ITEM-1", "issued" : { "date-parts" : [ [ "2010" ] ] }, "number-of-pages" : "1-172", "title" : "Europeans and Biotechnology in 2010 - Winds of change?", "type" : "report" }, "uris" : [ "http://www.mendeley.com/documents/?uuid=f64b110b-b6fe-44be-86f5-b9a42a92f036" ] } ], "mendeley" : { "formattedCitation" : "(Gaskell et al. 2010)", "plainTextFormattedCitation" : "(Gaskell et al. 2010)", "previouslyFormattedCitation" : "[9]"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(Gaskell et al. 2010)</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GM food is unnatural</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0.810</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"id" : "ITEM-2",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"ITEM-2", "issued" : { "date-parts" : [ [ "2005" ] ] }, "title" : "Risk Perceptions, Social Interactions and the Influence of Information on Social Attitudes to Agricultural Biotechnology", "type" : "report" }, "uris" : [ "http://www.mendeley.com/documents/?uuid=0fe3e42e-9983-477f-a80c-337f05eb593f" ] } ], "mendeley" : { "formattedCitation" : "(Castell et al. 2014; Veeman et al. 2005)", "plainTextFormattedCitation" : "(Castell et al. 2014; Veeman et al. 2005)", "previouslyFormattedCitation" : "[6,8]"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 Veeman et al. 2005)</w:t>
            </w:r>
            <w:r>
              <w:rPr>
                <w:rFonts w:ascii="Arial" w:hAnsi="Arial" w:cs="Arial"/>
                <w:sz w:val="16"/>
                <w:szCs w:val="16"/>
              </w:rPr>
              <w:fldChar w:fldCharType="end"/>
            </w:r>
            <w:r>
              <w:rPr>
                <w:rFonts w:ascii="Arial" w:hAnsi="Arial" w:cs="Arial"/>
                <w:sz w:val="16"/>
                <w:szCs w:val="16"/>
              </w:rPr>
              <w:t xml:space="preserve"> </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GM food is alien</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0.773</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GM food is immoral</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0.766</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"10.1006/appe.1999.0267", "ISBN" : "0195-6663", "ISSN" : "0195-6663", "PMID" : "10625527", "abstract" : "The objective of this research was to gain insight into consumers&gt; attitudes towards genetic modification in food production. With means-end chain theory as the theoretical basis, laddering interviews were conducted with 400 consumers in Denmark, Germany, the United Kingdom and Italy. Perceived risks and benefits of genetic modification in foods were investigated using beer and yoghurt as examples. German and Danish responses revealed more complex cognitive structures than did the results from the United Kingdom and Italy. In all four countries, however, applying genetic modification was associated with unnaturalness and low trustworthiness of the resulting products, independently of whether the genetically modified material was traceable in the product. Moral considerations were voiced as well, as were a number of other consequences that were perceived to conflict with both individual and social values.", "author" : [ { "dropping-particle" : "", "family" : "Bredahl", "given" : "L", "non-dropping-particle" : "", "parse-names" : false, "suffix" : "" } ], "container-title" : "Appetite", "id" : "ITEM-1", "issue" : "3", "issued" : { "date-parts" : [ [ "1999" ] ] }, "page" : "343-60", "title" : "Consumers' cognitions with regard to genetically modified foods. Results of a qualitative study in four countries.", "type" : "article-journal", "volume" : "33" }, "uris" : [ "http://www.mendeley.com/documents/?uuid=72e4da8d-3e79-478b-9c3e-07fc5686296a" ] } ], "mendeley" : { "formattedCitation" : "(Bredahl 1999)", "plainTextFormattedCitation" : "(Bredahl 1999)", "previouslyFormattedCitation" : "[10]"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(Bredahl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GM food is unnecessary</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0.708</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"id" : "ITEM-2", "itemData" : { "DOI" : "10.1006/appe.1999.0267", "ISBN" : "0195-6663", "ISSN" : "0195-6663", "PMID" : "10625527", "abstract" : "The objective of this research was to gain insight into consumers&gt; attitudes towards genetic modification in food production. With means-end chain theory as the theoretical basis, laddering interviews were conducted with 400 consumers in Denmark, Germany, the United Kingdom and Italy. Perceived risks and benefits of genetic modification in foods were investigated using beer and yoghurt as examples. German and Danish responses revealed more complex cognitive structures than did the results from the United Kingdom and Italy. In all four countries, however, applying genetic modification was associated with unnaturalness and low trustworthiness of the resulting products, independently of whether the genetically modified material was traceable in the product. Moral considerations were voiced as well, as were a number of other consequences that were perceived to conflict with both individual and social values.", "author" : [ { "dropping-particle" : "", "family" : "Bredahl", "given" : "L", "non-dropping-particle" : "", "parse-names" : false, "suffix" : "" } ], "container-title" : "Appetite", "id" : "ITEM-2", "issue" : "3", "issued" : { "date-parts" : [ [ "1999" ] ] }, "page" : "343-60", "title" : "Consumers' cognitions with regard to genetically modified foods. Results of a qualitative study in four countries.", "type" : "article-journal", "volume" : "33" }, "uris" : [ "http://www.mendeley.com/documents/?uuid=72e4da8d-3e79-478b-9c3e-07fc5686296a" ] } ], "mendeley" : { "formattedCitation" : "(Bredahl 1999; Veeman et al. 2005)", "plainTextFormattedCitation" : "(Bredahl 1999; Veeman et al. 2005)", "previouslyFormattedCitation" : "[8,10]"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(Bredahl 1999; 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Using GM technology to produce food will only benefit multinational corporations</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0.678</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"DOI" : "10.1006/appe.1999.0267", "ISBN" : "0195-6663", "ISSN" : "0195-6663", "PMID" : "10625527", "abstract" : "The objective of this research was to gain insight into consumers&gt; attitudes towards genetic modification in food production. With means-end chain theory as the theoretical basis, laddering interviews were conducted with 400 consumers in Denmark, Germany, the United Kingdom and Italy. Perceived risks and benefits of genetic modification in foods were investigated using beer and yoghurt as examples. German and Danish responses revealed more complex cognitive structures than did the results from the United Kingdom and Italy. In all four countries, however, applying genetic modification was associated with unnaturalness and low trustworthiness of the resulting products, independently of whether the genetically modified material was traceable in the product. Moral considerations were voiced as well, as were a number of other consequences that were perceived to conflict with both individual and social values.", "author" : [ { "dropping-particle" : "", "family" : "Bredahl", "given" : "L", "non-dropping-particle" : "", "parse-names" : false, "suffix" : "" } ], "container-title" : "Appetite", "id" : "ITEM-1", "issue" : "3", "issued" : { "date-parts" : [ [ "1999" ] ] }, "page" : "343-60", "title" : "Consumers' cognitions with regard to genetically modified foods. Results of a qualitative study in four countries.", "type" : "article-journal", "volume" : "33" }, "uris" : [ "http://www.mendeley.com/documents/?uuid=72e4da8d-3e79-478b-9c3e-07fc5686296a" ] } ], "mendeley" : { "formattedCitation" : "(Bredahl 1999)", "plainTextFormattedCitation" : "(Bredahl 1999)", "previouslyFormattedCitation" : "[10]"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(Bredahl 1999)</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0.897</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sz w:val="16"/>
                <w:szCs w:val="16"/>
              </w:rPr>
            </w:pPr>
            <w:r w:rsidRPr="00FD752A">
              <w:rPr>
                <w:rFonts w:ascii="Arial" w:hAnsi="Arial" w:cs="Arial"/>
                <w:b/>
                <w:i/>
                <w:sz w:val="16"/>
                <w:szCs w:val="16"/>
              </w:rPr>
              <w:t xml:space="preserve">GM </w:t>
            </w:r>
            <w:proofErr w:type="spellStart"/>
            <w:r w:rsidRPr="00FD752A">
              <w:rPr>
                <w:rFonts w:ascii="Arial" w:hAnsi="Arial" w:cs="Arial"/>
                <w:b/>
                <w:i/>
                <w:sz w:val="16"/>
                <w:szCs w:val="16"/>
              </w:rPr>
              <w:t>agri</w:t>
            </w:r>
            <w:proofErr w:type="spellEnd"/>
            <w:r w:rsidRPr="00FD752A">
              <w:rPr>
                <w:rFonts w:ascii="Arial" w:hAnsi="Arial" w:cs="Arial"/>
                <w:b/>
                <w:i/>
                <w:sz w:val="16"/>
                <w:szCs w:val="16"/>
              </w:rPr>
              <w:t>-food can be eco-friendly:</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themeColor="text1"/>
                <w:sz w:val="16"/>
                <w:szCs w:val="16"/>
              </w:rPr>
              <w:t>GM food could reduce the use of insecticides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0.830</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themeColor="text1"/>
                <w:sz w:val="16"/>
                <w:szCs w:val="16"/>
              </w:rPr>
              <w:t>GM technology could reduce the need for factory farming of animals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0.806</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themeColor="text1"/>
                <w:sz w:val="16"/>
                <w:szCs w:val="16"/>
              </w:rPr>
              <w:t>GM food could reduce world hunger</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0.787</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(Castell et al. 2014)</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themeColor="text1"/>
                <w:sz w:val="16"/>
                <w:szCs w:val="16"/>
              </w:rPr>
            </w:pPr>
            <w:r w:rsidRPr="00FD752A">
              <w:rPr>
                <w:rFonts w:ascii="Arial" w:hAnsi="Arial" w:cs="Arial"/>
                <w:sz w:val="16"/>
                <w:szCs w:val="16"/>
              </w:rPr>
              <w:t>Cronbach’s reliability coefficient:  0.760</w:t>
            </w:r>
          </w:p>
        </w:tc>
        <w:tc>
          <w:tcPr>
            <w:tcW w:w="1326" w:type="pct"/>
            <w:vAlign w:val="center"/>
          </w:tcPr>
          <w:p w:rsidR="00775580" w:rsidRPr="00FD752A" w:rsidRDefault="00775580" w:rsidP="00345312">
            <w:pPr>
              <w:jc w:val="center"/>
              <w:rPr>
                <w:rFonts w:ascii="Arial" w:hAnsi="Arial" w:cs="Arial"/>
                <w:color w:val="000000"/>
                <w:sz w:val="16"/>
                <w:szCs w:val="16"/>
              </w:rPr>
            </w:pPr>
          </w:p>
        </w:tc>
        <w:tc>
          <w:tcPr>
            <w:tcW w:w="1326" w:type="pct"/>
            <w:vAlign w:val="center"/>
          </w:tcPr>
          <w:p w:rsidR="00775580" w:rsidRPr="006D063A" w:rsidRDefault="00775580" w:rsidP="00345312">
            <w:pPr>
              <w:jc w:val="center"/>
              <w:rPr>
                <w:rFonts w:ascii="Arial" w:hAnsi="Arial" w:cs="Arial"/>
                <w:color w:val="000000"/>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i/>
                <w:color w:val="000000" w:themeColor="text1"/>
                <w:sz w:val="16"/>
                <w:szCs w:val="16"/>
              </w:rPr>
            </w:pPr>
            <w:r w:rsidRPr="00FD752A">
              <w:rPr>
                <w:rFonts w:ascii="Arial" w:hAnsi="Arial" w:cs="Arial"/>
                <w:b/>
                <w:i/>
                <w:color w:val="000000" w:themeColor="text1"/>
                <w:sz w:val="16"/>
                <w:szCs w:val="16"/>
              </w:rPr>
              <w:lastRenderedPageBreak/>
              <w:t>Benefits-to-risks rating:</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Using GM technology to produce food can provide benefits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0.760</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GM-derived food will be risky for human consumption</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-0.741</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(Castell et al. 2014)</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Feeding animals with GM crops will lead to poorer animal health</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-0.737</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Eating meat and dairy products from GM-fed animals will be detrimental to human health</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-0.732</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may be used to produce food that is environmentally friendly</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0.728</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GM-derived food will increase the risk of illness or disability</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-0.688</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may be used to produce food with improved nutrient content (e.g., greater vitamin content or less fat)</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0.683</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 xml:space="preserve">GM technology may be used to produce food crops that need less chemicals (such as </w:t>
            </w:r>
            <w:proofErr w:type="spellStart"/>
            <w:r w:rsidRPr="00FD752A">
              <w:rPr>
                <w:rFonts w:ascii="Arial" w:hAnsi="Arial" w:cs="Arial"/>
                <w:color w:val="000000"/>
                <w:sz w:val="16"/>
                <w:szCs w:val="16"/>
              </w:rPr>
              <w:t>weedkillers</w:t>
            </w:r>
            <w:proofErr w:type="spellEnd"/>
            <w:r w:rsidRPr="00FD752A">
              <w:rPr>
                <w:rFonts w:ascii="Arial" w:hAnsi="Arial" w:cs="Arial"/>
                <w:color w:val="000000"/>
                <w:sz w:val="16"/>
                <w:szCs w:val="16"/>
              </w:rPr>
              <w:t>)</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0.673</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crops will lead to increased use of chemicals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-0.672</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Using GM technology to produce food will harm the environment (plants or animals)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-0.671</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"Purpose - In explaining the mechanisms that explicate individuals\u2019 acceptance of Genetically Modified (GM) food, one mechanism that has been largely ignored in the growing body of current research lies in the influence of \"meta (wider) attitudes\" such as the general attitudes towards science. This article draws upon survey evidence from Spain to examine the causal relationship between attitudes towards science and attitudes towards GM food.  It employs structural equation modelling and explores this association by using sub-samples made of regional groups that have GM agriculture. Findings - Our results suggest specific behavioural mechanisms in explaining GM consumer attitudes involving attitudes towards science whilst medical and food applications appear to have no (or mild) significant connection in the formation of attitudes towards GM food. We find significant influence from age and previously characterized attitude in the formation of structural models. Practical implications - Policy implication of a better understanding of the behavioural mechanisms behind the acceptance of GM food. Originality/value - This article puts forward several hypotheses on the influence of general meta-attitudes (towards science and technology) underpinning behavioural explanations for consumer judgments of acceptance towards GM food", "author" : [ { "dropping-particle" : "", "family" : "Costa-Font", "given" : "M", "non-dropping-particle" : "", "parse-names" : false, "suffix" : "" }, { "dropping-particle" : "", "family" : "Gil", "given" : "J M", "non-dropping-particle" : "", "parse-names" : false, "suffix" : "" } ], "container-title" : "British Food Journal", "id" : "ITEM-1", "issued" : { "date-parts" : [ [ "2012" ] ] }, "page" : "1463-1485", "title" : "Meta-attitudes and the local formation of consumer judgements towards genetically modified foods", "type" : "article-journal", "volume" : "114" }, "uris" : [ "http://www.mendeley.com/documents/?uuid=37073e23-4167-4471-8a73-b05d79d3971b" ] } ], "mendeley" : { "formattedCitation" : "(Costa-Font and Gil 2012)", "plainTextFormattedCitation" : "(Costa-Font and Gil 2012)", "previouslyFormattedCitation" : "[2]"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(Costa-Font and Gil 2012)</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GM-derived food is less nutritious than the equivalent non-GM food</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-0.650</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"id" : "ITEM-2", "itemData" : { "DOI" : "10.1006/appe.1999.0267", "ISBN" : "0195-6663", "ISSN" : "0195-6663", "PMID" : "10625527", "abstract" : "The objective of this research was to gain insight into consumers&gt; attitudes towards genetic modification in food production. With means-end chain theory as the theoretical basis, laddering interviews were conducted with 400 consumers in Denmark, Germany, the United Kingdom and Italy. Perceived risks and benefits of genetic modification in foods were investigated using beer and yoghurt as examples. German and Danish responses revealed more complex cognitive structures than did the results from the United Kingdom and Italy. In all four countries, however, applying genetic modification was associated with unnaturalness and low trustworthiness of the resulting products, independently of whether the genetically modified material was traceable in the product. Moral considerations were voiced as well, as were a number of other consequences that were perceived to conflict with both individual and social values.", "author" : [ { "dropping-particle" : "", "family" : "Bredahl", "given" : "L", "non-dropping-particle" : "", "parse-names" : false, "suffix" : "" } ], "container-title" : "Appetite", "id" : "ITEM-2", "issue" : "3", "issued" : { "date-parts" : [ [ "1999" ] ] }, "page" : "343-60", "title" : "Consumers' cognitions with regard to genetically modified foods. Results of a qualitative study in four countries.", "type" : "article-journal", "volume" : "33" }, "uris" : [ "http://www.mendeley.com/documents/?uuid=72e4da8d-3e79-478b-9c3e-07fc5686296a" ] } ], "mendeley" : { "formattedCitation" : "(Bredahl 1999; Castell et al. 2014)", "plainTextFormattedCitation" : "(Bredahl 1999; Castell et al. 2014)", "previouslyFormattedCitation" : "[6,10]"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(Bredahl 1999; 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crops may increase world food production</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0.640</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(Castell et al. 2014)</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GM-derived food will cause food allergies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-0.629</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may have health benefits for farmers through reduced chemical exposure</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0.628</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may be used to produce food that does not need additives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0.627</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may be used to remove levels of toxins and allergens in food</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0.619</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could be used to make food taste better</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0.597</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may be used to produce food crops which are drought resistant</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0.588</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Using GM technology to produce food involves substantial risks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-0.586</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may be used to increase food choice</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0.570</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technology may be used to produce cheaper food</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0.531</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plants will invade natural habitats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-0.442</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Using GM technology to produce food has unknown long-term consequences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-0.340</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GM crops will pass modified genes to non-GM crops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-0.318</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"mendeley" : { "formattedCitation" : "(Castell et al. 2014)", "plainTextFormattedCitation" : "(Castell et al. 2014)", "previouslyFormattedCitation" : "[6]"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w:t>
            </w:r>
            <w:r>
              <w:rPr>
                <w:rFonts w:ascii="Arial" w:hAnsi="Arial" w:cs="Arial"/>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sz w:val="16"/>
                <w:szCs w:val="16"/>
              </w:rPr>
              <w:t>Cronbach’s reliability coefficient:  0.930</w:t>
            </w:r>
          </w:p>
        </w:tc>
        <w:tc>
          <w:tcPr>
            <w:tcW w:w="1326" w:type="pct"/>
            <w:vAlign w:val="center"/>
          </w:tcPr>
          <w:p w:rsidR="00775580" w:rsidRPr="00FD752A" w:rsidRDefault="00775580" w:rsidP="00345312">
            <w:pPr>
              <w:jc w:val="center"/>
              <w:rPr>
                <w:rFonts w:ascii="Arial" w:hAnsi="Arial" w:cs="Arial"/>
                <w:color w:val="000000"/>
                <w:sz w:val="16"/>
                <w:szCs w:val="16"/>
              </w:rPr>
            </w:pPr>
          </w:p>
        </w:tc>
        <w:tc>
          <w:tcPr>
            <w:tcW w:w="1326" w:type="pct"/>
            <w:vAlign w:val="center"/>
          </w:tcPr>
          <w:p w:rsidR="00775580" w:rsidRPr="006D063A" w:rsidRDefault="00775580" w:rsidP="00345312">
            <w:pPr>
              <w:jc w:val="center"/>
              <w:rPr>
                <w:rFonts w:ascii="Arial" w:hAnsi="Arial" w:cs="Arial"/>
                <w:color w:val="000000"/>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b/>
                <w:i/>
                <w:color w:val="000000" w:themeColor="text1"/>
                <w:sz w:val="16"/>
                <w:szCs w:val="16"/>
              </w:rPr>
            </w:pPr>
            <w:r w:rsidRPr="00FD752A">
              <w:rPr>
                <w:rFonts w:ascii="Arial" w:hAnsi="Arial" w:cs="Arial"/>
                <w:b/>
                <w:i/>
                <w:color w:val="000000" w:themeColor="text1"/>
                <w:sz w:val="16"/>
                <w:szCs w:val="16"/>
              </w:rPr>
              <w:t>Acceptance of GM-</w:t>
            </w:r>
            <w:proofErr w:type="spellStart"/>
            <w:r w:rsidRPr="00FD752A">
              <w:rPr>
                <w:rFonts w:ascii="Arial" w:hAnsi="Arial" w:cs="Arial"/>
                <w:b/>
                <w:i/>
                <w:color w:val="000000" w:themeColor="text1"/>
                <w:sz w:val="16"/>
                <w:szCs w:val="16"/>
              </w:rPr>
              <w:t>agri</w:t>
            </w:r>
            <w:proofErr w:type="spellEnd"/>
            <w:r w:rsidRPr="00FD752A">
              <w:rPr>
                <w:rFonts w:ascii="Arial" w:hAnsi="Arial" w:cs="Arial"/>
                <w:b/>
                <w:i/>
                <w:color w:val="000000" w:themeColor="text1"/>
                <w:sz w:val="16"/>
                <w:szCs w:val="16"/>
              </w:rPr>
              <w:t>-medical applications:</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am in favour of GM plants and crops for human consumption</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0.931</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am in favour of feeding meat and dairy animals with feed containing GM ingredients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0.898</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(Veeman et al. 2005)</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am not in favour of applying GM technology in food production</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-0.803</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color w:val="000000"/>
                <w:sz w:val="16"/>
                <w:szCs w:val="16"/>
              </w:rPr>
              <w:t>I am in favour of applying gene technology in areas other than food production (e.g., medical applications)</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0.754</w:t>
            </w:r>
          </w:p>
        </w:tc>
        <w:tc>
          <w:tcPr>
            <w:tcW w:w="1326" w:type="pct"/>
            <w:vAlign w:val="center"/>
          </w:tcPr>
          <w:p w:rsidR="00775580" w:rsidRPr="006D063A" w:rsidRDefault="00775580" w:rsidP="00345312">
            <w:pPr>
              <w:jc w:val="center"/>
              <w:rPr>
                <w:rFonts w:ascii="Arial" w:hAnsi="Arial" w:cs="Arial"/>
                <w:color w:val="000000"/>
                <w:sz w:val="16"/>
                <w:szCs w:val="16"/>
              </w:rPr>
            </w:pPr>
            <w:r>
              <w:rPr>
                <w:rFonts w:ascii="Arial" w:hAnsi="Arial" w:cs="Arial"/>
                <w:sz w:val="16"/>
                <w:szCs w:val="16"/>
              </w:rPr>
              <w:t xml:space="preserve">Adapted from: </w:t>
            </w:r>
            <w:r>
              <w:rPr>
                <w:rFonts w:ascii="Arial" w:hAnsi="Arial" w:cs="Arial"/>
                <w:color w:val="000000"/>
                <w:sz w:val="16"/>
                <w:szCs w:val="16"/>
              </w:rPr>
              <w:fldChar w:fldCharType="begin" w:fldLock="1"/>
            </w:r>
            <w:r w:rsidR="00F738A2">
              <w:rPr>
                <w:rFonts w:ascii="Arial" w:hAnsi="Arial" w:cs="Arial"/>
                <w:color w:val="000000"/>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color w:val="000000"/>
                <w:sz w:val="16"/>
                <w:szCs w:val="16"/>
              </w:rPr>
              <w:fldChar w:fldCharType="separate"/>
            </w:r>
            <w:r w:rsidR="00F738A2" w:rsidRPr="00F738A2">
              <w:rPr>
                <w:rFonts w:ascii="Arial" w:hAnsi="Arial" w:cs="Arial"/>
                <w:noProof/>
                <w:color w:val="000000"/>
                <w:sz w:val="16"/>
                <w:szCs w:val="16"/>
              </w:rPr>
              <w:t>(Veeman et al. 2005)</w:t>
            </w:r>
            <w:r>
              <w:rPr>
                <w:rFonts w:ascii="Arial" w:hAnsi="Arial" w:cs="Arial"/>
                <w:color w:val="000000"/>
                <w:sz w:val="16"/>
                <w:szCs w:val="16"/>
              </w:rPr>
              <w:fldChar w:fldCharType="end"/>
            </w:r>
          </w:p>
        </w:tc>
      </w:tr>
      <w:tr w:rsidR="00775580" w:rsidRPr="00FD752A" w:rsidTr="00345312">
        <w:trPr>
          <w:trHeight w:val="283"/>
        </w:trPr>
        <w:tc>
          <w:tcPr>
            <w:tcW w:w="2348" w:type="pct"/>
            <w:vAlign w:val="center"/>
          </w:tcPr>
          <w:p w:rsidR="00775580" w:rsidRPr="00FD752A" w:rsidRDefault="00775580" w:rsidP="00345312">
            <w:pPr>
              <w:rPr>
                <w:rFonts w:ascii="Arial" w:hAnsi="Arial" w:cs="Arial"/>
                <w:color w:val="000000"/>
                <w:sz w:val="16"/>
                <w:szCs w:val="16"/>
              </w:rPr>
            </w:pPr>
            <w:r w:rsidRPr="00FD752A">
              <w:rPr>
                <w:rFonts w:ascii="Arial" w:hAnsi="Arial" w:cs="Arial"/>
                <w:sz w:val="16"/>
                <w:szCs w:val="16"/>
              </w:rPr>
              <w:t>Cronbach’s reliability coefficient:  0.869</w:t>
            </w:r>
          </w:p>
        </w:tc>
        <w:tc>
          <w:tcPr>
            <w:tcW w:w="1326" w:type="pct"/>
            <w:vAlign w:val="center"/>
          </w:tcPr>
          <w:p w:rsidR="00775580" w:rsidRPr="00FD752A" w:rsidRDefault="00775580" w:rsidP="00345312">
            <w:pPr>
              <w:jc w:val="center"/>
              <w:rPr>
                <w:rFonts w:ascii="Arial" w:hAnsi="Arial" w:cs="Arial"/>
                <w:color w:val="000000"/>
                <w:sz w:val="16"/>
                <w:szCs w:val="16"/>
              </w:rPr>
            </w:pPr>
          </w:p>
        </w:tc>
        <w:tc>
          <w:tcPr>
            <w:tcW w:w="1326" w:type="pct"/>
            <w:vAlign w:val="center"/>
          </w:tcPr>
          <w:p w:rsidR="00775580" w:rsidRPr="006D063A" w:rsidRDefault="00775580" w:rsidP="00345312">
            <w:pPr>
              <w:jc w:val="center"/>
              <w:rPr>
                <w:rFonts w:ascii="Arial" w:hAnsi="Arial" w:cs="Arial"/>
                <w:color w:val="000000"/>
                <w:sz w:val="16"/>
                <w:szCs w:val="16"/>
              </w:rPr>
            </w:pPr>
          </w:p>
        </w:tc>
      </w:tr>
      <w:tr w:rsidR="00775580" w:rsidRPr="00FD752A" w:rsidTr="00345312">
        <w:trPr>
          <w:trHeight w:val="283"/>
        </w:trPr>
        <w:tc>
          <w:tcPr>
            <w:tcW w:w="2348" w:type="pct"/>
            <w:vAlign w:val="center"/>
          </w:tcPr>
          <w:p w:rsidR="00775580" w:rsidRPr="00FD752A" w:rsidRDefault="00775580" w:rsidP="00775580">
            <w:pPr>
              <w:pStyle w:val="ListParagraph"/>
              <w:numPr>
                <w:ilvl w:val="0"/>
                <w:numId w:val="7"/>
              </w:numPr>
              <w:rPr>
                <w:rFonts w:ascii="Arial" w:hAnsi="Arial" w:cs="Arial"/>
                <w:b/>
                <w:i/>
                <w:color w:val="000000" w:themeColor="text1"/>
                <w:sz w:val="16"/>
                <w:szCs w:val="16"/>
              </w:rPr>
            </w:pPr>
            <w:r w:rsidRPr="00FD752A">
              <w:rPr>
                <w:rFonts w:ascii="Arial" w:hAnsi="Arial" w:cs="Arial"/>
                <w:b/>
                <w:i/>
                <w:color w:val="000000" w:themeColor="text1"/>
                <w:sz w:val="16"/>
                <w:szCs w:val="16"/>
              </w:rPr>
              <w:t>Personal acceptance of GM:</w:t>
            </w:r>
          </w:p>
        </w:tc>
        <w:tc>
          <w:tcPr>
            <w:tcW w:w="1326" w:type="pct"/>
            <w:vAlign w:val="center"/>
          </w:tcPr>
          <w:p w:rsidR="00775580" w:rsidRPr="00FD752A" w:rsidRDefault="00775580" w:rsidP="00345312">
            <w:pPr>
              <w:jc w:val="center"/>
              <w:rPr>
                <w:rFonts w:ascii="Arial" w:hAnsi="Arial" w:cs="Arial"/>
                <w:sz w:val="16"/>
                <w:szCs w:val="16"/>
              </w:rPr>
            </w:pPr>
          </w:p>
        </w:tc>
        <w:tc>
          <w:tcPr>
            <w:tcW w:w="1326" w:type="pct"/>
            <w:vAlign w:val="center"/>
          </w:tcPr>
          <w:p w:rsidR="00775580" w:rsidRPr="006D063A" w:rsidRDefault="00775580" w:rsidP="00345312">
            <w:pPr>
              <w:jc w:val="center"/>
              <w:rPr>
                <w:rFonts w:ascii="Arial" w:hAnsi="Arial" w:cs="Arial"/>
                <w:sz w:val="16"/>
                <w:szCs w:val="16"/>
              </w:rPr>
            </w:pP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am happy for GM food to be grown in the UK</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0.954</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am happy for GM food to be sold in the UK</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0.953</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am willing to eat GM food</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0.932</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am happy to eat cheese made with milk produced by cows fed a GM diet</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0.913</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lastRenderedPageBreak/>
              <w:t>I am happy for GM food to be grown elsewhere in Europe</w:t>
            </w:r>
          </w:p>
        </w:tc>
        <w:tc>
          <w:tcPr>
            <w:tcW w:w="1326" w:type="pct"/>
            <w:vAlign w:val="center"/>
          </w:tcPr>
          <w:p w:rsidR="00775580" w:rsidRPr="00FD752A" w:rsidRDefault="00775580" w:rsidP="00345312">
            <w:pPr>
              <w:jc w:val="center"/>
              <w:rPr>
                <w:rFonts w:ascii="Arial" w:hAnsi="Arial" w:cs="Arial"/>
                <w:color w:val="000000"/>
                <w:sz w:val="16"/>
                <w:szCs w:val="16"/>
              </w:rPr>
            </w:pPr>
            <w:r w:rsidRPr="00FD752A">
              <w:rPr>
                <w:rFonts w:ascii="Arial" w:hAnsi="Arial" w:cs="Arial"/>
                <w:color w:val="000000"/>
                <w:sz w:val="16"/>
                <w:szCs w:val="16"/>
              </w:rPr>
              <w:t>0.896</w:t>
            </w:r>
          </w:p>
        </w:tc>
        <w:tc>
          <w:tcPr>
            <w:tcW w:w="1326" w:type="pct"/>
            <w:vAlign w:val="center"/>
          </w:tcPr>
          <w:p w:rsidR="00775580" w:rsidRPr="006D063A" w:rsidRDefault="00775580" w:rsidP="00345312">
            <w:pPr>
              <w:jc w:val="center"/>
              <w:rPr>
                <w:rFonts w:ascii="Arial" w:hAnsi="Arial" w:cs="Arial"/>
                <w:color w:val="000000"/>
                <w:sz w:val="16"/>
                <w:szCs w:val="16"/>
              </w:rPr>
            </w:pPr>
            <w:r w:rsidRPr="006D063A">
              <w:rPr>
                <w:rFonts w:ascii="Arial" w:hAnsi="Arial" w:cs="Arial"/>
                <w:color w:val="000000"/>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I am happy for GM food to be grown outside Europe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0.868</w:t>
            </w:r>
          </w:p>
        </w:tc>
        <w:tc>
          <w:tcPr>
            <w:tcW w:w="1326" w:type="pct"/>
            <w:vAlign w:val="center"/>
          </w:tcPr>
          <w:p w:rsidR="00775580" w:rsidRPr="006D063A" w:rsidRDefault="00775580" w:rsidP="00345312">
            <w:pPr>
              <w:jc w:val="center"/>
              <w:rPr>
                <w:rFonts w:ascii="Arial" w:hAnsi="Arial" w:cs="Arial"/>
                <w:sz w:val="16"/>
                <w:szCs w:val="16"/>
              </w:rPr>
            </w:pPr>
            <w:r w:rsidRPr="006D063A">
              <w:rPr>
                <w:rFonts w:ascii="Arial" w:hAnsi="Arial" w:cs="Arial"/>
                <w:sz w:val="16"/>
                <w:szCs w:val="16"/>
              </w:rPr>
              <w:t>D</w:t>
            </w:r>
          </w:p>
        </w:tc>
      </w:tr>
      <w:tr w:rsidR="00775580" w:rsidRPr="00FD752A" w:rsidTr="00345312">
        <w:trPr>
          <w:trHeight w:val="283"/>
        </w:trPr>
        <w:tc>
          <w:tcPr>
            <w:tcW w:w="2348" w:type="pct"/>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The idea of GM food worries me</w:t>
            </w:r>
          </w:p>
        </w:tc>
        <w:tc>
          <w:tcPr>
            <w:tcW w:w="1326" w:type="pct"/>
            <w:vAlign w:val="center"/>
          </w:tcPr>
          <w:p w:rsidR="00775580" w:rsidRPr="00FD752A" w:rsidRDefault="00775580" w:rsidP="00345312">
            <w:pPr>
              <w:jc w:val="center"/>
              <w:rPr>
                <w:rFonts w:ascii="Arial" w:hAnsi="Arial" w:cs="Arial"/>
                <w:sz w:val="16"/>
                <w:szCs w:val="16"/>
              </w:rPr>
            </w:pPr>
            <w:r w:rsidRPr="00FD752A">
              <w:rPr>
                <w:rFonts w:ascii="Arial" w:hAnsi="Arial" w:cs="Arial"/>
                <w:sz w:val="16"/>
                <w:szCs w:val="16"/>
              </w:rPr>
              <w:t>-0.789</w:t>
            </w:r>
          </w:p>
        </w:tc>
        <w:tc>
          <w:tcPr>
            <w:tcW w:w="1326" w:type="pct"/>
            <w:vAlign w:val="center"/>
          </w:tcPr>
          <w:p w:rsidR="00775580" w:rsidRPr="006D063A" w:rsidRDefault="00775580" w:rsidP="00345312">
            <w:pPr>
              <w:jc w:val="center"/>
              <w:rPr>
                <w:rFonts w:ascii="Arial" w:hAnsi="Arial" w:cs="Arial"/>
                <w:sz w:val="16"/>
                <w:szCs w:val="16"/>
              </w:rPr>
            </w:pPr>
            <w:r>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"Purpose - In explaining the mechanisms that explicate individuals\u2019 acceptance of Genetically Modified (GM) food, one mechanism that has been largely ignored in the growing body of current research lies in the influence of \"meta (wider) attitudes\" such as the general attitudes towards science. This article draws upon survey evidence from Spain to examine the causal relationship between attitudes towards science and attitudes towards GM food.  It employs structural equation modelling and explores this association by using sub-samples made of regional groups that have GM agriculture. Findings - Our results suggest specific behavioural mechanisms in explaining GM consumer attitudes involving attitudes towards science whilst medical and food applications appear to have no (or mild) significant connection in the formation of attitudes towards GM food. We find significant influence from age and previously characterized attitude in the formation of structural models. Practical implications - Policy implication of a better understanding of the behavioural mechanisms behind the acceptance of GM food. Originality/value - This article puts forward several hypotheses on the influence of general meta-attitudes (towards science and technology) underpinning behavioural explanations for consumer judgments of acceptance towards GM food", "author" : [ { "dropping-particle" : "", "family" : "Costa-Font", "given" : "M", "non-dropping-particle" : "", "parse-names" : false, "suffix" : "" }, { "dropping-particle" : "", "family" : "Gil", "given" : "J M", "non-dropping-particle" : "", "parse-names" : false, "suffix" : "" } ], "container-title" : "British Food Journal", "id" : "ITEM-1", "issued" : { "date-parts" : [ [ "2012" ] ] }, "page" : "1463-1485", "title" : "Meta-attitudes and the local formation of consumer judgements towards genetically modified foods", "type" : "article-journal", "volume" : "114" }, "uris" : [ "http://www.mendeley.com/documents/?uuid=37073e23-4167-4471-8a73-b05d79d3971b" ] } ], "mendeley" : { "formattedCitation" : "(Costa-Font and Gil 2012)", "plainTextFormattedCitation" : "(Costa-Font and Gil 2012)", "previouslyFormattedCitation" : "[2]"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(Costa-Font and Gil 2012)</w:t>
            </w:r>
            <w:r>
              <w:rPr>
                <w:rFonts w:ascii="Arial" w:hAnsi="Arial" w:cs="Arial"/>
                <w:sz w:val="16"/>
                <w:szCs w:val="16"/>
              </w:rPr>
              <w:fldChar w:fldCharType="end"/>
            </w:r>
          </w:p>
        </w:tc>
      </w:tr>
      <w:tr w:rsidR="00775580" w:rsidRPr="00FD752A" w:rsidTr="00345312">
        <w:trPr>
          <w:trHeight w:val="283"/>
        </w:trPr>
        <w:tc>
          <w:tcPr>
            <w:tcW w:w="2348" w:type="pct"/>
            <w:tcBorders>
              <w:bottom w:val="single" w:sz="4" w:space="0" w:color="auto"/>
            </w:tcBorders>
            <w:vAlign w:val="center"/>
          </w:tcPr>
          <w:p w:rsidR="00775580" w:rsidRPr="00FD752A" w:rsidRDefault="00775580" w:rsidP="00345312">
            <w:pPr>
              <w:rPr>
                <w:rFonts w:ascii="Arial" w:hAnsi="Arial" w:cs="Arial"/>
                <w:sz w:val="16"/>
                <w:szCs w:val="16"/>
              </w:rPr>
            </w:pPr>
            <w:r w:rsidRPr="00FD752A">
              <w:rPr>
                <w:rFonts w:ascii="Arial" w:hAnsi="Arial" w:cs="Arial"/>
                <w:sz w:val="16"/>
                <w:szCs w:val="16"/>
              </w:rPr>
              <w:t>Cronbach’s reliability coefficient:  0.961</w:t>
            </w:r>
          </w:p>
        </w:tc>
        <w:tc>
          <w:tcPr>
            <w:tcW w:w="1326" w:type="pct"/>
            <w:tcBorders>
              <w:bottom w:val="single" w:sz="4" w:space="0" w:color="auto"/>
            </w:tcBorders>
            <w:vAlign w:val="center"/>
          </w:tcPr>
          <w:p w:rsidR="00775580" w:rsidRPr="00FD752A" w:rsidRDefault="00775580" w:rsidP="00345312">
            <w:pPr>
              <w:jc w:val="center"/>
              <w:rPr>
                <w:rFonts w:ascii="Arial" w:hAnsi="Arial" w:cs="Arial"/>
                <w:sz w:val="16"/>
                <w:szCs w:val="16"/>
              </w:rPr>
            </w:pPr>
          </w:p>
        </w:tc>
        <w:tc>
          <w:tcPr>
            <w:tcW w:w="1326" w:type="pct"/>
            <w:tcBorders>
              <w:bottom w:val="single" w:sz="4" w:space="0" w:color="auto"/>
            </w:tcBorders>
            <w:vAlign w:val="center"/>
          </w:tcPr>
          <w:p w:rsidR="00775580" w:rsidRPr="006D063A" w:rsidRDefault="00775580" w:rsidP="00345312">
            <w:pPr>
              <w:jc w:val="center"/>
              <w:rPr>
                <w:rFonts w:ascii="Arial" w:hAnsi="Arial" w:cs="Arial"/>
                <w:sz w:val="16"/>
                <w:szCs w:val="16"/>
              </w:rPr>
            </w:pPr>
          </w:p>
        </w:tc>
      </w:tr>
    </w:tbl>
    <w:p w:rsidR="00775580" w:rsidRPr="00F23840" w:rsidRDefault="00775580" w:rsidP="00775580">
      <w:pPr>
        <w:rPr>
          <w:rFonts w:ascii="Arial" w:hAnsi="Arial" w:cs="Arial"/>
          <w:sz w:val="16"/>
          <w:szCs w:val="16"/>
        </w:rPr>
      </w:pPr>
      <w:r w:rsidRPr="00F23840">
        <w:rPr>
          <w:rFonts w:ascii="Arial" w:hAnsi="Arial" w:cs="Arial"/>
          <w:sz w:val="16"/>
          <w:szCs w:val="16"/>
        </w:rPr>
        <w:t>D = Developed during the research process</w:t>
      </w:r>
    </w:p>
    <w:p w:rsidR="00775580" w:rsidRDefault="00775580" w:rsidP="00775580">
      <w:pPr>
        <w:spacing w:after="0" w:line="480" w:lineRule="auto"/>
        <w:rPr>
          <w:rFonts w:ascii="Arial" w:hAnsi="Arial" w:cs="Arial"/>
          <w:b/>
          <w:sz w:val="20"/>
          <w:szCs w:val="20"/>
        </w:rPr>
      </w:pPr>
    </w:p>
    <w:p w:rsidR="00775580" w:rsidRPr="00FD752A" w:rsidRDefault="00775580" w:rsidP="0052730F">
      <w:pPr>
        <w:spacing w:after="0" w:line="480" w:lineRule="auto"/>
        <w:rPr>
          <w:rFonts w:ascii="Arial" w:hAnsi="Arial" w:cs="Arial"/>
          <w:sz w:val="20"/>
          <w:szCs w:val="20"/>
        </w:rPr>
      </w:pPr>
      <w:r w:rsidRPr="00443051">
        <w:rPr>
          <w:rFonts w:ascii="Arial" w:hAnsi="Arial" w:cs="Arial"/>
          <w:sz w:val="20"/>
          <w:szCs w:val="20"/>
        </w:rPr>
        <w:t xml:space="preserve">Table </w:t>
      </w:r>
      <w:r>
        <w:rPr>
          <w:rFonts w:ascii="Arial" w:hAnsi="Arial" w:cs="Arial"/>
          <w:sz w:val="20"/>
          <w:szCs w:val="20"/>
        </w:rPr>
        <w:t>A2</w:t>
      </w:r>
      <w:r w:rsidRPr="00443051">
        <w:rPr>
          <w:rFonts w:ascii="Arial" w:hAnsi="Arial" w:cs="Arial"/>
          <w:sz w:val="20"/>
          <w:szCs w:val="20"/>
        </w:rPr>
        <w:t>:</w:t>
      </w:r>
      <w:r w:rsidRPr="00FD752A">
        <w:rPr>
          <w:rFonts w:ascii="Arial" w:hAnsi="Arial" w:cs="Arial"/>
          <w:sz w:val="20"/>
          <w:szCs w:val="20"/>
        </w:rPr>
        <w:t xml:space="preserve"> </w:t>
      </w:r>
      <w:r w:rsidR="00345312">
        <w:rPr>
          <w:rFonts w:ascii="Arial" w:hAnsi="Arial" w:cs="Arial"/>
          <w:sz w:val="20"/>
          <w:szCs w:val="20"/>
        </w:rPr>
        <w:t>Knowledge of the GM-debate</w:t>
      </w:r>
      <w:r w:rsidRPr="00FD752A">
        <w:rPr>
          <w:rFonts w:ascii="Arial" w:hAnsi="Arial" w:cs="Arial"/>
          <w:sz w:val="20"/>
          <w:szCs w:val="20"/>
        </w:rPr>
        <w:t xml:space="preserve"> questions and source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9"/>
        <w:gridCol w:w="3893"/>
      </w:tblGrid>
      <w:tr w:rsidR="00775580" w:rsidRPr="00745571" w:rsidTr="00345312">
        <w:tc>
          <w:tcPr>
            <w:tcW w:w="5349" w:type="dxa"/>
            <w:tcBorders>
              <w:top w:val="double" w:sz="4" w:space="0" w:color="auto"/>
              <w:bottom w:val="single" w:sz="4" w:space="0" w:color="auto"/>
            </w:tcBorders>
            <w:vAlign w:val="center"/>
          </w:tcPr>
          <w:p w:rsidR="00775580" w:rsidRPr="00745571" w:rsidRDefault="00345312" w:rsidP="00345312">
            <w:pPr>
              <w:rPr>
                <w:rFonts w:ascii="Arial" w:hAnsi="Arial" w:cs="Arial"/>
                <w:b/>
                <w:sz w:val="16"/>
                <w:szCs w:val="16"/>
              </w:rPr>
            </w:pPr>
            <w:r>
              <w:rPr>
                <w:rFonts w:ascii="Arial" w:hAnsi="Arial" w:cs="Arial"/>
                <w:b/>
                <w:sz w:val="16"/>
                <w:szCs w:val="16"/>
              </w:rPr>
              <w:t>Knowledge of the GM-debate</w:t>
            </w:r>
          </w:p>
        </w:tc>
        <w:tc>
          <w:tcPr>
            <w:tcW w:w="3893" w:type="dxa"/>
            <w:tcBorders>
              <w:top w:val="double" w:sz="4" w:space="0" w:color="auto"/>
              <w:bottom w:val="single" w:sz="4" w:space="0" w:color="auto"/>
            </w:tcBorders>
            <w:vAlign w:val="center"/>
          </w:tcPr>
          <w:p w:rsidR="00775580" w:rsidRPr="003470AF" w:rsidRDefault="00775580" w:rsidP="00345312">
            <w:pPr>
              <w:jc w:val="center"/>
              <w:rPr>
                <w:rFonts w:ascii="Arial" w:hAnsi="Arial" w:cs="Arial"/>
                <w:sz w:val="16"/>
                <w:szCs w:val="16"/>
              </w:rPr>
            </w:pPr>
            <w:r w:rsidRPr="003470AF">
              <w:rPr>
                <w:rFonts w:ascii="Arial" w:hAnsi="Arial" w:cs="Arial"/>
                <w:b/>
                <w:sz w:val="16"/>
                <w:szCs w:val="16"/>
              </w:rPr>
              <w:t>Source:</w:t>
            </w:r>
          </w:p>
        </w:tc>
      </w:tr>
      <w:tr w:rsidR="00775580" w:rsidRPr="00745571" w:rsidTr="00345312">
        <w:trPr>
          <w:trHeight w:val="283"/>
        </w:trPr>
        <w:tc>
          <w:tcPr>
            <w:tcW w:w="5349" w:type="dxa"/>
            <w:tcBorders>
              <w:top w:val="single" w:sz="4" w:space="0" w:color="auto"/>
            </w:tcBorders>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Genetic modification can only be applied to plants, but not to animals</w:t>
            </w:r>
          </w:p>
        </w:tc>
        <w:tc>
          <w:tcPr>
            <w:tcW w:w="3893" w:type="dxa"/>
            <w:tcBorders>
              <w:top w:val="single" w:sz="4" w:space="0" w:color="auto"/>
            </w:tcBorders>
            <w:vAlign w:val="center"/>
          </w:tcPr>
          <w:p w:rsidR="00775580" w:rsidRPr="003470AF"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By eating a genetically modified food, a person's genes will also become modified</w:t>
            </w:r>
          </w:p>
        </w:tc>
        <w:tc>
          <w:tcPr>
            <w:tcW w:w="3893" w:type="dxa"/>
            <w:vAlign w:val="center"/>
          </w:tcPr>
          <w:p w:rsidR="00775580" w:rsidRPr="003470AF"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Components of ordinary food can alter the structure of human genes</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Genetic modification is used for the production of insulin for diabetics</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Genetic modification is used to make vaccines</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Genetically modification can be used to prevent smallpox</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Genetically modified crops are currently grown in the UK for human consumption</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Meat and dairy products from animals fed on a diet containing genetically modified ingredients are sold in UK supermarkets</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Conventional crop breeding alters the genes in plants</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Genetically modified food undergoes rigorous testing in the UK</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Genetic modification was invented by Charles Darwin in 19</w:t>
            </w:r>
            <w:r w:rsidRPr="00745571">
              <w:rPr>
                <w:rFonts w:ascii="Arial" w:hAnsi="Arial" w:cs="Arial"/>
                <w:sz w:val="16"/>
                <w:szCs w:val="16"/>
                <w:vertAlign w:val="superscript"/>
              </w:rPr>
              <w:t>th</w:t>
            </w:r>
            <w:r w:rsidRPr="00745571">
              <w:rPr>
                <w:rFonts w:ascii="Arial" w:hAnsi="Arial" w:cs="Arial"/>
                <w:sz w:val="16"/>
                <w:szCs w:val="16"/>
              </w:rPr>
              <w:t xml:space="preserve"> Century</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Golden Rice is a genetically modified food product</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Ordinary tomatoes do not have genes</w:t>
            </w:r>
          </w:p>
        </w:tc>
        <w:tc>
          <w:tcPr>
            <w:tcW w:w="3893" w:type="dxa"/>
            <w:vAlign w:val="center"/>
          </w:tcPr>
          <w:p w:rsidR="00775580" w:rsidRPr="003470AF" w:rsidRDefault="00775580" w:rsidP="00345312">
            <w:pPr>
              <w:jc w:val="center"/>
              <w:rPr>
                <w:rFonts w:ascii="Arial" w:hAnsi="Arial" w:cs="Arial"/>
                <w:sz w:val="16"/>
                <w:szCs w:val="16"/>
              </w:rPr>
            </w:pP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"INRA (Europe) - Ecosa", "given" : "", "non-dropping-particle" : "", "parse-names" : false, "suffix" : "" } ], "id" : "ITEM-1", "issue" : "March", "issued" : { "date-parts" : [ [ "2000" ] ] }, "number-of-pages" : "94", "title" : "The Europeans and Biotechnology: Eurobarometer 52.1", "type" : "report" }, "uris" : [ "http://www.mendeley.com/documents/?uuid=8b31bb15-8d2c-4673-b10b-30b9202abaac" ] } ], "mendeley" : { "formattedCitation" : "(INRA (Europe) - Ecosa 2000)", "plainTextFormattedCitation" : "(INRA (Europe) - Ecosa 2000)", "previouslyFormattedCitation" : "[11]"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(INRA (Europe) - Ecosa 2000)</w:t>
            </w:r>
            <w:r>
              <w:rPr>
                <w:rFonts w:ascii="Arial" w:hAnsi="Arial" w:cs="Arial"/>
                <w:sz w:val="16"/>
                <w:szCs w:val="16"/>
              </w:rPr>
              <w:fldChar w:fldCharType="end"/>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The UK Government fund scientists to develop genetic modification technology</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Animal genes can be added to plants</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"INRA (Europe) - Ecosa", "given" : "", "non-dropping-particle" : "", "parse-names" : false, "suffix" : "" } ], "id" : "ITEM-1", "issue" : "March", "issued" : { "date-parts" : [ [ "2000" ] ] }, "number-of-pages" : "94", "title" : "The Europeans and Biotechnology: Eurobarometer 52.1", "type" : "report" }, "uris" : [ "http://www.mendeley.com/documents/?uuid=8b31bb15-8d2c-4673-b10b-30b9202abaac" ] } ], "mendeley" : { "formattedCitation" : "(INRA (Europe) - Ecosa 2000)", "plainTextFormattedCitation" : "(INRA (Europe) - Ecosa 2000)", "previouslyFormattedCitation" : "[11]"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(INRA (Europe) - Ecosa 2000)</w:t>
            </w:r>
            <w:r>
              <w:rPr>
                <w:rFonts w:ascii="Arial" w:hAnsi="Arial" w:cs="Arial"/>
                <w:sz w:val="16"/>
                <w:szCs w:val="16"/>
              </w:rPr>
              <w:fldChar w:fldCharType="end"/>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Genes code for proteins that are essential for life</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Nearly all of human gene sequences are identical to those of bacteria</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"id" : "ITEM-2", "itemData" : { "author" : [ { "dropping-particle" : "", "family" : "INRA (Europe) - Ecosa", "given" : "", "non-dropping-particle" : "", "parse-names" : false, "suffix" : "" } ], "id" : "ITEM-2", "issue" : "March", "issued" : { "date-parts" : [ [ "2000" ] ] }, "number-of-pages" : "94", "title" : "The Europeans and Biotechnology: Eurobarometer 52.1", "type" : "report" }, "uris" : [ "http://www.mendeley.com/documents/?uuid=8b31bb15-8d2c-4673-b10b-30b9202abaac" ] } ], "mendeley" : { "formattedCitation" : "(Castell et al. 2014; INRA (Europe) - Ecosa 2000)", "plainTextFormattedCitation" : "(Castell et al. 2014; INRA (Europe) - Ecosa 2000)", "previouslyFormattedCitation" : "[6,11]"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 INRA (Europe) - Ecosa 2000)</w:t>
            </w:r>
            <w:r>
              <w:rPr>
                <w:rFonts w:ascii="Arial" w:hAnsi="Arial" w:cs="Arial"/>
                <w:sz w:val="16"/>
                <w:szCs w:val="16"/>
              </w:rPr>
              <w:fldChar w:fldCharType="end"/>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Monsanto is the only company that sells genetically modified crops</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 xml:space="preserve">Pharmaceutical drugs can be made by plants through genetic modification </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All genetically modified products worldwide are funded by multinational corporations</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D</w:t>
            </w:r>
          </w:p>
        </w:tc>
      </w:tr>
      <w:tr w:rsidR="00775580" w:rsidRPr="00745571" w:rsidTr="00345312">
        <w:trPr>
          <w:trHeight w:val="283"/>
        </w:trPr>
        <w:tc>
          <w:tcPr>
            <w:tcW w:w="5349" w:type="dxa"/>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Genetically modified soya is the most widely grown GM crop</w:t>
            </w:r>
          </w:p>
        </w:tc>
        <w:tc>
          <w:tcPr>
            <w:tcW w:w="3893" w:type="dxa"/>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Adapted from:</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"ITEM-1", "issued" : { "date-parts" : [ [ "2005" ] ] }, "title" : "Risk Perceptions, Social Interactions and the Influence of Information on Social Attitudes to Agricultural Biotechnology", "type" : "report" }, "uris" : [ "http://www.mendeley.com/documents/?uuid=0fe3e42e-9983-477f-a80c-337f05eb593f" ] } ], "mendeley" : { "formattedCitation" : "(Veeman et al. 2005)", "plainTextFormattedCitation" : "(Veeman et al. 2005)", "previouslyFormattedCitation" : "[8]"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(Veeman et al. 2005)</w:t>
            </w:r>
            <w:r>
              <w:rPr>
                <w:rFonts w:ascii="Arial" w:hAnsi="Arial" w:cs="Arial"/>
                <w:sz w:val="16"/>
                <w:szCs w:val="16"/>
              </w:rPr>
              <w:fldChar w:fldCharType="end"/>
            </w:r>
          </w:p>
        </w:tc>
      </w:tr>
      <w:tr w:rsidR="00775580" w:rsidRPr="00745571" w:rsidTr="00345312">
        <w:trPr>
          <w:trHeight w:val="283"/>
        </w:trPr>
        <w:tc>
          <w:tcPr>
            <w:tcW w:w="5349" w:type="dxa"/>
            <w:tcBorders>
              <w:bottom w:val="single" w:sz="4" w:space="0" w:color="auto"/>
            </w:tcBorders>
            <w:vAlign w:val="center"/>
          </w:tcPr>
          <w:p w:rsidR="00775580" w:rsidRPr="00745571" w:rsidRDefault="00775580" w:rsidP="00345312">
            <w:pPr>
              <w:rPr>
                <w:rFonts w:ascii="Arial" w:hAnsi="Arial" w:cs="Arial"/>
                <w:sz w:val="16"/>
                <w:szCs w:val="16"/>
              </w:rPr>
            </w:pPr>
            <w:r w:rsidRPr="00745571">
              <w:rPr>
                <w:rFonts w:ascii="Arial" w:hAnsi="Arial" w:cs="Arial"/>
                <w:sz w:val="16"/>
                <w:szCs w:val="16"/>
              </w:rPr>
              <w:t>In the UK and Europe genetically modified food products do not need to be labelled</w:t>
            </w:r>
          </w:p>
        </w:tc>
        <w:tc>
          <w:tcPr>
            <w:tcW w:w="3893" w:type="dxa"/>
            <w:tcBorders>
              <w:bottom w:val="single" w:sz="4" w:space="0" w:color="auto"/>
            </w:tcBorders>
            <w:vAlign w:val="center"/>
          </w:tcPr>
          <w:p w:rsidR="00775580" w:rsidRPr="003470AF" w:rsidRDefault="00775580" w:rsidP="00345312">
            <w:pPr>
              <w:jc w:val="center"/>
              <w:rPr>
                <w:rFonts w:ascii="Arial" w:hAnsi="Arial" w:cs="Arial"/>
                <w:sz w:val="16"/>
                <w:szCs w:val="16"/>
              </w:rPr>
            </w:pPr>
            <w:r w:rsidRPr="003470AF">
              <w:rPr>
                <w:rFonts w:ascii="Arial" w:hAnsi="Arial" w:cs="Arial"/>
                <w:sz w:val="16"/>
                <w:szCs w:val="16"/>
              </w:rPr>
              <w:t xml:space="preserve">Adapted from: </w:t>
            </w:r>
            <w:r>
              <w:rPr>
                <w:rFonts w:ascii="Arial" w:hAnsi="Arial" w:cs="Arial"/>
                <w:sz w:val="16"/>
                <w:szCs w:val="16"/>
              </w:rPr>
              <w:fldChar w:fldCharType="begin" w:fldLock="1"/>
            </w:r>
            <w:r w:rsidR="00F738A2">
              <w:rPr>
                <w:rFonts w:ascii="Arial" w:hAnsi="Arial" w:cs="Arial"/>
                <w:sz w:val="16"/>
                <w:szCs w:val="16"/>
              </w:rPr>
              <w:instrText>ADDIN CSL_CITATION { "citationItems" : [ { "id" : "ITEM-1", "itemData" : { "abstract" : "s of the internationa m/terms. \u00a9 Ipsos M Scie ew, n al quality standard ORI 2014. nce for Market Researc 201 ch, ISO 20252:2012 4 1 2,", "author" : [ { "dropping-particle" : "", "family" : "Castell", "given" : "Sarah", "non-dropping-particle" : "", "parse-names" : false, "suffix" : "" }, { "dropping-particle" : "", "family" : "Charlton", "given" : "Anne", "non-dropping-particle" : "", "parse-names" : false, "suffix" : "" }, { "dropping-particle" : "", "family" : "Clemence", "given" : "Michael", "non-dropping-particle" : "", "parse-names" : false, "suffix" : "" }, { "dropping-particle" : "", "family" : "Pettigrew", "given" : "Nick", "non-dropping-particle" : "", "parse-names" : false, "suffix" : "" }, { "dropping-particle" : "", "family" : "Pope", "given" : "Sarah", "non-dropping-particle" : "", "parse-names" : false, "suffix" : "" }, { "dropping-particle" : "", "family" : "Quigley", "given" : "Anna", "non-dropping-particle" : "", "parse-names" : false, "suffix" : "" }, { "dropping-particle" : "", "family" : "Navin Shah", "given" : "Jayesh", "non-dropping-particle" : "", "parse-names" : false, "suffix" : "" }, { "dropping-particle" : "", "family" : "Silman", "given" : "Tim", "non-dropping-particle" : "", "parse-names" : false, "suffix" : "" } ], "container-title" : "Ipsos MORI", "id" : "ITEM-1", "issued" : { "date-parts" : [ [ "2014" ] ] }, "number-of-pages" : "202", "title" : "Public Attitudes to Science 2014", "type" : "report" }, "uris" : [ "http://www.mendeley.com/documents/?uuid=f86d4e33-7e24-4de5-ab35-5ff90d40f18f" ] }, { "id" : "ITEM-2", "itemData" : { "author" : [ { "dropping-particle" : "", "family" : "Veeman", "given" : "M", "non-dropping-particle" : "", "parse-names" : false, "suffix" : "" }, { "dropping-particle" : "", "family" : "Adamowicz", "given" : "W", "non-dropping-particle" : "", "parse-names" : false, "suffix" : "" }, { "dropping-particle" : "", "family" : "Hu", "given" : "W", "non-dropping-particle" : "", "parse-names" : false, "suffix" : "" } ], "container-title" : "Rural Economy Project Report #05-02", "id" : "ITEM-2", "issued" : { "date-parts" : [ [ "2005" ] ] }, "title" : "Risk Perceptions, Social Interactions and the Influence of Information on Social Attitudes to Agricultural Biotechnology", "type" : "report" }, "uris" : [ "http://www.mendeley.com/documents/?uuid=0fe3e42e-9983-477f-a80c-337f05eb593f" ] } ], "mendeley" : { "formattedCitation" : "(Castell et al. 2014; Veeman et al. 2005)", "plainTextFormattedCitation" : "(Castell et al. 2014; Veeman et al. 2005)", "previouslyFormattedCitation" : "[6,8]" }, "properties" : { "noteIndex" : 0 }, "schema" : "https://github.com/citation-style-language/schema/raw/master/csl-citation.json" }</w:instrText>
            </w:r>
            <w:r>
              <w:rPr>
                <w:rFonts w:ascii="Arial" w:hAnsi="Arial" w:cs="Arial"/>
                <w:sz w:val="16"/>
                <w:szCs w:val="16"/>
              </w:rPr>
              <w:fldChar w:fldCharType="separate"/>
            </w:r>
            <w:r w:rsidR="00F738A2" w:rsidRPr="00F738A2">
              <w:rPr>
                <w:rFonts w:ascii="Arial" w:hAnsi="Arial" w:cs="Arial"/>
                <w:noProof/>
                <w:sz w:val="16"/>
                <w:szCs w:val="16"/>
              </w:rPr>
              <w:t>(Castell et al. 2014; Veeman et al. 2005)</w:t>
            </w:r>
            <w:r>
              <w:rPr>
                <w:rFonts w:ascii="Arial" w:hAnsi="Arial" w:cs="Arial"/>
                <w:sz w:val="16"/>
                <w:szCs w:val="16"/>
              </w:rPr>
              <w:fldChar w:fldCharType="end"/>
            </w:r>
          </w:p>
        </w:tc>
      </w:tr>
    </w:tbl>
    <w:p w:rsidR="00775580" w:rsidRPr="00F23840" w:rsidRDefault="00775580" w:rsidP="00775580">
      <w:pPr>
        <w:rPr>
          <w:rFonts w:ascii="Arial" w:hAnsi="Arial" w:cs="Arial"/>
          <w:sz w:val="16"/>
          <w:szCs w:val="16"/>
        </w:rPr>
      </w:pPr>
      <w:r w:rsidRPr="00F23840">
        <w:rPr>
          <w:rFonts w:ascii="Arial" w:hAnsi="Arial" w:cs="Arial"/>
          <w:sz w:val="16"/>
          <w:szCs w:val="16"/>
        </w:rPr>
        <w:t>D = Developed during the research process</w:t>
      </w:r>
    </w:p>
    <w:p w:rsidR="00025A91" w:rsidRDefault="00025A91"/>
    <w:p w:rsidR="00414955" w:rsidRDefault="00414955"/>
    <w:p w:rsidR="00414955" w:rsidRDefault="00414955">
      <w:r>
        <w:object w:dxaOrig="9438" w:dyaOrig="9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5pt;height:436.2pt" o:ole="">
            <v:imagedata r:id="rId8" o:title=""/>
          </v:shape>
          <o:OLEObject Type="Embed" ProgID="Visio.Drawing.11" ShapeID="_x0000_i1025" DrawAspect="Content" ObjectID="_1449023913" r:id="rId9"/>
        </w:object>
      </w:r>
    </w:p>
    <w:p w:rsidR="00414955" w:rsidRDefault="00414955" w:rsidP="00414955">
      <w:pPr>
        <w:spacing w:line="480" w:lineRule="auto"/>
        <w:jc w:val="center"/>
      </w:pPr>
    </w:p>
    <w:p w:rsidR="00414955" w:rsidRPr="00414955" w:rsidRDefault="00414955" w:rsidP="0052730F">
      <w:pPr>
        <w:spacing w:line="480" w:lineRule="auto"/>
      </w:pPr>
      <w:r>
        <w:rPr>
          <w:rFonts w:ascii="Arial" w:hAnsi="Arial" w:cs="Arial"/>
          <w:sz w:val="20"/>
          <w:szCs w:val="20"/>
        </w:rPr>
        <w:t>Figure 1A</w:t>
      </w:r>
      <w:r w:rsidRPr="0096772F">
        <w:rPr>
          <w:rFonts w:ascii="Arial" w:hAnsi="Arial" w:cs="Arial"/>
          <w:sz w:val="20"/>
          <w:szCs w:val="20"/>
        </w:rPr>
        <w:t xml:space="preserve">: </w:t>
      </w:r>
      <w:r w:rsidRPr="009D61CE">
        <w:rPr>
          <w:rFonts w:ascii="Arial" w:hAnsi="Arial" w:cs="Arial"/>
          <w:sz w:val="20"/>
          <w:szCs w:val="20"/>
        </w:rPr>
        <w:t xml:space="preserve">Results of the mediation analysis for the effect of </w:t>
      </w:r>
      <w:r>
        <w:rPr>
          <w:rFonts w:ascii="Arial" w:hAnsi="Arial" w:cs="Arial"/>
          <w:sz w:val="20"/>
          <w:szCs w:val="20"/>
        </w:rPr>
        <w:t xml:space="preserve">food </w:t>
      </w:r>
      <w:proofErr w:type="spellStart"/>
      <w:r>
        <w:rPr>
          <w:rFonts w:ascii="Arial" w:hAnsi="Arial" w:cs="Arial"/>
          <w:sz w:val="20"/>
          <w:szCs w:val="20"/>
        </w:rPr>
        <w:t>neophobia</w:t>
      </w:r>
      <w:proofErr w:type="spellEnd"/>
      <w:r>
        <w:rPr>
          <w:rFonts w:ascii="Arial" w:hAnsi="Arial" w:cs="Arial"/>
          <w:sz w:val="20"/>
          <w:szCs w:val="20"/>
        </w:rPr>
        <w:t xml:space="preserve"> </w:t>
      </w:r>
      <w:r w:rsidRPr="009D61CE">
        <w:rPr>
          <w:rFonts w:ascii="Arial" w:hAnsi="Arial" w:cs="Arial"/>
          <w:sz w:val="20"/>
          <w:szCs w:val="20"/>
        </w:rPr>
        <w:t>on personal acceptance of GM-food.</w:t>
      </w:r>
      <w:r>
        <w:rPr>
          <w:rFonts w:ascii="Arial" w:hAnsi="Arial" w:cs="Arial"/>
          <w:sz w:val="20"/>
          <w:szCs w:val="20"/>
        </w:rPr>
        <w:t xml:space="preserve"> </w:t>
      </w:r>
      <w:r w:rsidRPr="009D61CE">
        <w:rPr>
          <w:rFonts w:ascii="Arial" w:hAnsi="Arial" w:cs="Arial"/>
          <w:sz w:val="20"/>
          <w:szCs w:val="20"/>
        </w:rPr>
        <w:t>A) Shows the total effect.</w:t>
      </w:r>
      <w:r>
        <w:rPr>
          <w:rFonts w:ascii="Arial" w:hAnsi="Arial" w:cs="Arial"/>
          <w:sz w:val="20"/>
          <w:szCs w:val="20"/>
        </w:rPr>
        <w:t xml:space="preserve"> </w:t>
      </w:r>
      <w:r w:rsidRPr="009D61CE">
        <w:rPr>
          <w:rFonts w:ascii="Arial" w:hAnsi="Arial" w:cs="Arial"/>
          <w:sz w:val="20"/>
          <w:szCs w:val="20"/>
        </w:rPr>
        <w:t xml:space="preserve">B) Shows the model with emotional dislike of GM-food, GM </w:t>
      </w:r>
      <w:proofErr w:type="spellStart"/>
      <w:r w:rsidRPr="009D61CE">
        <w:rPr>
          <w:rFonts w:ascii="Arial" w:hAnsi="Arial" w:cs="Arial"/>
          <w:sz w:val="20"/>
          <w:szCs w:val="20"/>
        </w:rPr>
        <w:t>agri</w:t>
      </w:r>
      <w:proofErr w:type="spellEnd"/>
      <w:r w:rsidRPr="009D61CE">
        <w:rPr>
          <w:rFonts w:ascii="Arial" w:hAnsi="Arial" w:cs="Arial"/>
          <w:sz w:val="20"/>
          <w:szCs w:val="20"/>
        </w:rPr>
        <w:t xml:space="preserve">-food can be eco-friendly, benefits-to-risks rating of GM-food and trust in the integrity of government and MNCs regarding GM as mediator variables. Both A and B pathways are adjusted for belief in the sanctity of food, effect of </w:t>
      </w:r>
      <w:r>
        <w:rPr>
          <w:rFonts w:ascii="Arial" w:hAnsi="Arial" w:cs="Arial"/>
          <w:sz w:val="20"/>
          <w:szCs w:val="20"/>
        </w:rPr>
        <w:t>science has benefited the world</w:t>
      </w:r>
      <w:r w:rsidRPr="009D61CE">
        <w:rPr>
          <w:rFonts w:ascii="Arial" w:hAnsi="Arial" w:cs="Arial"/>
          <w:sz w:val="20"/>
          <w:szCs w:val="20"/>
        </w:rPr>
        <w:t xml:space="preserve"> and investment in science is important for the future. ***</w:t>
      </w:r>
      <w:proofErr w:type="gramStart"/>
      <w:r w:rsidRPr="009D61CE">
        <w:rPr>
          <w:rFonts w:ascii="Arial" w:hAnsi="Arial" w:cs="Arial"/>
          <w:i/>
          <w:sz w:val="20"/>
          <w:szCs w:val="20"/>
        </w:rPr>
        <w:t>p</w:t>
      </w:r>
      <w:proofErr w:type="gramEnd"/>
      <w:r w:rsidRPr="009D61CE">
        <w:rPr>
          <w:rFonts w:ascii="Arial" w:hAnsi="Arial" w:cs="Arial"/>
          <w:i/>
          <w:sz w:val="20"/>
          <w:szCs w:val="20"/>
        </w:rPr>
        <w:t xml:space="preserve"> </w:t>
      </w:r>
      <w:r w:rsidRPr="009D61CE">
        <w:rPr>
          <w:rFonts w:ascii="Arial" w:hAnsi="Arial" w:cs="Arial"/>
          <w:sz w:val="20"/>
          <w:szCs w:val="20"/>
        </w:rPr>
        <w:t xml:space="preserve">&lt; </w:t>
      </w:r>
      <w:r w:rsidR="0052730F">
        <w:rPr>
          <w:rFonts w:ascii="Arial" w:hAnsi="Arial" w:cs="Arial"/>
          <w:sz w:val="20"/>
          <w:szCs w:val="20"/>
        </w:rPr>
        <w:t>0</w:t>
      </w:r>
      <w:r w:rsidRPr="009D61CE">
        <w:rPr>
          <w:rFonts w:ascii="Arial" w:hAnsi="Arial" w:cs="Arial"/>
          <w:sz w:val="20"/>
          <w:szCs w:val="20"/>
        </w:rPr>
        <w:t>.001,**</w:t>
      </w:r>
      <w:r w:rsidRPr="009D61CE">
        <w:rPr>
          <w:rFonts w:ascii="Arial" w:hAnsi="Arial" w:cs="Arial"/>
          <w:i/>
          <w:sz w:val="20"/>
          <w:szCs w:val="20"/>
        </w:rPr>
        <w:t xml:space="preserve">p </w:t>
      </w:r>
      <w:r w:rsidRPr="009D61CE">
        <w:rPr>
          <w:rFonts w:ascii="Arial" w:hAnsi="Arial" w:cs="Arial"/>
          <w:sz w:val="20"/>
          <w:szCs w:val="20"/>
        </w:rPr>
        <w:t xml:space="preserve">&lt; </w:t>
      </w:r>
      <w:r w:rsidR="0052730F">
        <w:rPr>
          <w:rFonts w:ascii="Arial" w:hAnsi="Arial" w:cs="Arial"/>
          <w:sz w:val="20"/>
          <w:szCs w:val="20"/>
        </w:rPr>
        <w:t>0</w:t>
      </w:r>
      <w:r w:rsidRPr="009D61CE">
        <w:rPr>
          <w:rFonts w:ascii="Arial" w:hAnsi="Arial" w:cs="Arial"/>
          <w:sz w:val="20"/>
          <w:szCs w:val="20"/>
        </w:rPr>
        <w:t>.01, *</w:t>
      </w:r>
      <w:r w:rsidRPr="009D61CE">
        <w:rPr>
          <w:rFonts w:ascii="Arial" w:hAnsi="Arial" w:cs="Arial"/>
          <w:i/>
          <w:sz w:val="20"/>
          <w:szCs w:val="20"/>
        </w:rPr>
        <w:t xml:space="preserve">p </w:t>
      </w:r>
      <w:r w:rsidRPr="009D61CE">
        <w:rPr>
          <w:rFonts w:ascii="Arial" w:hAnsi="Arial" w:cs="Arial"/>
          <w:sz w:val="20"/>
          <w:szCs w:val="20"/>
        </w:rPr>
        <w:t xml:space="preserve">&lt; </w:t>
      </w:r>
      <w:r w:rsidR="0052730F">
        <w:rPr>
          <w:rFonts w:ascii="Arial" w:hAnsi="Arial" w:cs="Arial"/>
          <w:sz w:val="20"/>
          <w:szCs w:val="20"/>
        </w:rPr>
        <w:t>0</w:t>
      </w:r>
      <w:r w:rsidRPr="009D61CE">
        <w:rPr>
          <w:rFonts w:ascii="Arial" w:hAnsi="Arial" w:cs="Arial"/>
          <w:sz w:val="20"/>
          <w:szCs w:val="20"/>
        </w:rPr>
        <w:t>.05</w:t>
      </w:r>
    </w:p>
    <w:p w:rsidR="00414955" w:rsidRDefault="00414955"/>
    <w:p w:rsidR="00414955" w:rsidRDefault="00775580" w:rsidP="00414955">
      <w:pPr>
        <w:spacing w:line="480" w:lineRule="auto"/>
        <w:jc w:val="center"/>
      </w:pPr>
      <w:r>
        <w:object w:dxaOrig="9438" w:dyaOrig="9126">
          <v:shape id="_x0000_i1026" type="#_x0000_t75" style="width:451.25pt;height:436.2pt" o:ole="">
            <v:imagedata r:id="rId10" o:title=""/>
          </v:shape>
          <o:OLEObject Type="Embed" ProgID="Visio.Drawing.11" ShapeID="_x0000_i1026" DrawAspect="Content" ObjectID="_1449023914" r:id="rId11"/>
        </w:object>
      </w:r>
    </w:p>
    <w:p w:rsidR="00414955" w:rsidRPr="00414955" w:rsidRDefault="00414955" w:rsidP="0052730F">
      <w:pPr>
        <w:spacing w:line="480" w:lineRule="auto"/>
      </w:pPr>
      <w:r>
        <w:rPr>
          <w:rFonts w:ascii="Arial" w:hAnsi="Arial" w:cs="Arial"/>
          <w:sz w:val="20"/>
          <w:szCs w:val="20"/>
        </w:rPr>
        <w:t>Figure 2A</w:t>
      </w:r>
      <w:r w:rsidRPr="0096772F">
        <w:rPr>
          <w:rFonts w:ascii="Arial" w:hAnsi="Arial" w:cs="Arial"/>
          <w:sz w:val="20"/>
          <w:szCs w:val="20"/>
        </w:rPr>
        <w:t xml:space="preserve">: </w:t>
      </w:r>
      <w:r w:rsidRPr="009D61CE">
        <w:rPr>
          <w:rFonts w:ascii="Arial" w:hAnsi="Arial" w:cs="Arial"/>
          <w:sz w:val="20"/>
          <w:szCs w:val="20"/>
        </w:rPr>
        <w:t xml:space="preserve">Results of the mediation analysis for the effect of </w:t>
      </w:r>
      <w:r>
        <w:rPr>
          <w:rFonts w:ascii="Arial" w:hAnsi="Arial" w:cs="Arial"/>
          <w:sz w:val="20"/>
          <w:szCs w:val="20"/>
        </w:rPr>
        <w:t xml:space="preserve">science has benefited the world </w:t>
      </w:r>
      <w:r w:rsidRPr="009D61CE">
        <w:rPr>
          <w:rFonts w:ascii="Arial" w:hAnsi="Arial" w:cs="Arial"/>
          <w:sz w:val="20"/>
          <w:szCs w:val="20"/>
        </w:rPr>
        <w:t>on personal acceptance of GM-food.</w:t>
      </w:r>
      <w:r>
        <w:rPr>
          <w:rFonts w:ascii="Arial" w:hAnsi="Arial" w:cs="Arial"/>
          <w:sz w:val="20"/>
          <w:szCs w:val="20"/>
        </w:rPr>
        <w:t xml:space="preserve"> </w:t>
      </w:r>
      <w:r w:rsidRPr="009D61CE">
        <w:rPr>
          <w:rFonts w:ascii="Arial" w:hAnsi="Arial" w:cs="Arial"/>
          <w:sz w:val="20"/>
          <w:szCs w:val="20"/>
        </w:rPr>
        <w:t>A) Shows the total effect.</w:t>
      </w:r>
      <w:r>
        <w:rPr>
          <w:rFonts w:ascii="Arial" w:hAnsi="Arial" w:cs="Arial"/>
          <w:sz w:val="20"/>
          <w:szCs w:val="20"/>
        </w:rPr>
        <w:t xml:space="preserve"> </w:t>
      </w:r>
      <w:r w:rsidRPr="009D61CE">
        <w:rPr>
          <w:rFonts w:ascii="Arial" w:hAnsi="Arial" w:cs="Arial"/>
          <w:sz w:val="20"/>
          <w:szCs w:val="20"/>
        </w:rPr>
        <w:t xml:space="preserve">B) Shows the model with emotional dislike of GM-food, GM </w:t>
      </w:r>
      <w:proofErr w:type="spellStart"/>
      <w:r w:rsidRPr="009D61CE">
        <w:rPr>
          <w:rFonts w:ascii="Arial" w:hAnsi="Arial" w:cs="Arial"/>
          <w:sz w:val="20"/>
          <w:szCs w:val="20"/>
        </w:rPr>
        <w:t>agri</w:t>
      </w:r>
      <w:proofErr w:type="spellEnd"/>
      <w:r w:rsidRPr="009D61CE">
        <w:rPr>
          <w:rFonts w:ascii="Arial" w:hAnsi="Arial" w:cs="Arial"/>
          <w:sz w:val="20"/>
          <w:szCs w:val="20"/>
        </w:rPr>
        <w:t xml:space="preserve">-food can be eco-friendly, benefits-to-risks rating of GM-food and trust in the integrity of government and MNCs regarding GM as mediator variables. Both A and B pathways are adjusted for belief in the sanctity of food, food </w:t>
      </w:r>
      <w:proofErr w:type="spellStart"/>
      <w:r w:rsidRPr="009D61CE">
        <w:rPr>
          <w:rFonts w:ascii="Arial" w:hAnsi="Arial" w:cs="Arial"/>
          <w:sz w:val="20"/>
          <w:szCs w:val="20"/>
        </w:rPr>
        <w:t>neophobia</w:t>
      </w:r>
      <w:proofErr w:type="spellEnd"/>
      <w:r w:rsidRPr="009D61CE">
        <w:rPr>
          <w:rFonts w:ascii="Arial" w:hAnsi="Arial" w:cs="Arial"/>
          <w:sz w:val="20"/>
          <w:szCs w:val="20"/>
        </w:rPr>
        <w:t xml:space="preserve"> and investment in science is important for the future. ***</w:t>
      </w:r>
      <w:proofErr w:type="gramStart"/>
      <w:r w:rsidRPr="009D61CE">
        <w:rPr>
          <w:rFonts w:ascii="Arial" w:hAnsi="Arial" w:cs="Arial"/>
          <w:i/>
          <w:sz w:val="20"/>
          <w:szCs w:val="20"/>
        </w:rPr>
        <w:t>p</w:t>
      </w:r>
      <w:proofErr w:type="gramEnd"/>
      <w:r w:rsidRPr="009D61CE">
        <w:rPr>
          <w:rFonts w:ascii="Arial" w:hAnsi="Arial" w:cs="Arial"/>
          <w:i/>
          <w:sz w:val="20"/>
          <w:szCs w:val="20"/>
        </w:rPr>
        <w:t xml:space="preserve"> </w:t>
      </w:r>
      <w:r w:rsidRPr="009D61CE">
        <w:rPr>
          <w:rFonts w:ascii="Arial" w:hAnsi="Arial" w:cs="Arial"/>
          <w:sz w:val="20"/>
          <w:szCs w:val="20"/>
        </w:rPr>
        <w:t xml:space="preserve">&lt; </w:t>
      </w:r>
      <w:r w:rsidR="0052730F">
        <w:rPr>
          <w:rFonts w:ascii="Arial" w:hAnsi="Arial" w:cs="Arial"/>
          <w:sz w:val="20"/>
          <w:szCs w:val="20"/>
        </w:rPr>
        <w:t>0</w:t>
      </w:r>
      <w:r w:rsidRPr="009D61CE">
        <w:rPr>
          <w:rFonts w:ascii="Arial" w:hAnsi="Arial" w:cs="Arial"/>
          <w:sz w:val="20"/>
          <w:szCs w:val="20"/>
        </w:rPr>
        <w:t>.001,**</w:t>
      </w:r>
      <w:r w:rsidRPr="009D61CE">
        <w:rPr>
          <w:rFonts w:ascii="Arial" w:hAnsi="Arial" w:cs="Arial"/>
          <w:i/>
          <w:sz w:val="20"/>
          <w:szCs w:val="20"/>
        </w:rPr>
        <w:t xml:space="preserve">p </w:t>
      </w:r>
      <w:r w:rsidRPr="009D61CE">
        <w:rPr>
          <w:rFonts w:ascii="Arial" w:hAnsi="Arial" w:cs="Arial"/>
          <w:sz w:val="20"/>
          <w:szCs w:val="20"/>
        </w:rPr>
        <w:t xml:space="preserve">&lt; </w:t>
      </w:r>
      <w:r w:rsidR="0052730F">
        <w:rPr>
          <w:rFonts w:ascii="Arial" w:hAnsi="Arial" w:cs="Arial"/>
          <w:sz w:val="20"/>
          <w:szCs w:val="20"/>
        </w:rPr>
        <w:t>0</w:t>
      </w:r>
      <w:r w:rsidRPr="009D61CE">
        <w:rPr>
          <w:rFonts w:ascii="Arial" w:hAnsi="Arial" w:cs="Arial"/>
          <w:sz w:val="20"/>
          <w:szCs w:val="20"/>
        </w:rPr>
        <w:t>.01, *</w:t>
      </w:r>
      <w:r w:rsidRPr="009D61CE">
        <w:rPr>
          <w:rFonts w:ascii="Arial" w:hAnsi="Arial" w:cs="Arial"/>
          <w:i/>
          <w:sz w:val="20"/>
          <w:szCs w:val="20"/>
        </w:rPr>
        <w:t xml:space="preserve">p </w:t>
      </w:r>
      <w:r w:rsidRPr="009D61CE">
        <w:rPr>
          <w:rFonts w:ascii="Arial" w:hAnsi="Arial" w:cs="Arial"/>
          <w:sz w:val="20"/>
          <w:szCs w:val="20"/>
        </w:rPr>
        <w:t xml:space="preserve">&lt; </w:t>
      </w:r>
      <w:r w:rsidR="0052730F">
        <w:rPr>
          <w:rFonts w:ascii="Arial" w:hAnsi="Arial" w:cs="Arial"/>
          <w:sz w:val="20"/>
          <w:szCs w:val="20"/>
        </w:rPr>
        <w:t>0</w:t>
      </w:r>
      <w:r w:rsidRPr="009D61CE">
        <w:rPr>
          <w:rFonts w:ascii="Arial" w:hAnsi="Arial" w:cs="Arial"/>
          <w:sz w:val="20"/>
          <w:szCs w:val="20"/>
        </w:rPr>
        <w:t>.05</w:t>
      </w:r>
    </w:p>
    <w:p w:rsidR="00345312" w:rsidRDefault="00345312"/>
    <w:p w:rsidR="00345312" w:rsidRDefault="00345312"/>
    <w:p w:rsidR="00345312" w:rsidRDefault="00345312"/>
    <w:p w:rsidR="00345312" w:rsidRPr="008A2998" w:rsidRDefault="0052730F" w:rsidP="0052730F">
      <w:pPr>
        <w:spacing w:line="480" w:lineRule="auto"/>
        <w:rPr>
          <w:rFonts w:ascii="Times New Roman" w:hAnsi="Times New Roman" w:cs="Times New Roman"/>
          <w:b/>
          <w:sz w:val="24"/>
          <w:szCs w:val="24"/>
        </w:rPr>
      </w:pPr>
      <w:r w:rsidRPr="008A2998">
        <w:rPr>
          <w:rFonts w:ascii="Times New Roman" w:hAnsi="Times New Roman" w:cs="Times New Roman"/>
          <w:b/>
          <w:sz w:val="24"/>
          <w:szCs w:val="24"/>
        </w:rPr>
        <w:t>References</w:t>
      </w:r>
    </w:p>
    <w:p w:rsidR="00F738A2" w:rsidRPr="00F738A2" w:rsidRDefault="0034531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345312">
        <w:fldChar w:fldCharType="begin" w:fldLock="1"/>
      </w:r>
      <w:r w:rsidRPr="00345312">
        <w:instrText xml:space="preserve">ADDIN Mendeley Bibliography CSL_BIBLIOGRAPHY </w:instrText>
      </w:r>
      <w:r w:rsidRPr="00345312">
        <w:fldChar w:fldCharType="separate"/>
      </w:r>
      <w:r w:rsidR="00F738A2" w:rsidRPr="00F738A2">
        <w:rPr>
          <w:rFonts w:ascii="Times New Roman" w:hAnsi="Times New Roman" w:cs="Times New Roman"/>
          <w:noProof/>
          <w:sz w:val="24"/>
          <w:szCs w:val="24"/>
        </w:rPr>
        <w:t xml:space="preserve">Blais, A., &amp; Weber, E. U. (2006). A Domain-Specific Risk-Taking ( DOSPERT ) scale for adult populations. </w:t>
      </w:r>
      <w:r w:rsidR="00F738A2" w:rsidRPr="00F738A2">
        <w:rPr>
          <w:rFonts w:ascii="Times New Roman" w:hAnsi="Times New Roman" w:cs="Times New Roman"/>
          <w:i/>
          <w:iCs/>
          <w:noProof/>
          <w:sz w:val="24"/>
          <w:szCs w:val="24"/>
        </w:rPr>
        <w:t>Judgement and Decision Making</w:t>
      </w:r>
      <w:r w:rsidR="00F738A2" w:rsidRPr="00F738A2">
        <w:rPr>
          <w:rFonts w:ascii="Times New Roman" w:hAnsi="Times New Roman" w:cs="Times New Roman"/>
          <w:noProof/>
          <w:sz w:val="24"/>
          <w:szCs w:val="24"/>
        </w:rPr>
        <w:t xml:space="preserve">, </w:t>
      </w:r>
      <w:r w:rsidR="00F738A2" w:rsidRPr="00F738A2">
        <w:rPr>
          <w:rFonts w:ascii="Times New Roman" w:hAnsi="Times New Roman" w:cs="Times New Roman"/>
          <w:i/>
          <w:iCs/>
          <w:noProof/>
          <w:sz w:val="24"/>
          <w:szCs w:val="24"/>
        </w:rPr>
        <w:t>1</w:t>
      </w:r>
      <w:r w:rsidR="00F738A2" w:rsidRPr="00F738A2">
        <w:rPr>
          <w:rFonts w:ascii="Times New Roman" w:hAnsi="Times New Roman" w:cs="Times New Roman"/>
          <w:noProof/>
          <w:sz w:val="24"/>
          <w:szCs w:val="24"/>
        </w:rPr>
        <w:t>(1), 33–47.</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t xml:space="preserve">Bredahl, L. (1999). Consumers’ cognitions with regard to genetically modified foods. Results of a qualitative study in four countries. </w:t>
      </w:r>
      <w:r w:rsidRPr="00F738A2">
        <w:rPr>
          <w:rFonts w:ascii="Times New Roman" w:hAnsi="Times New Roman" w:cs="Times New Roman"/>
          <w:i/>
          <w:iCs/>
          <w:noProof/>
          <w:sz w:val="24"/>
          <w:szCs w:val="24"/>
        </w:rPr>
        <w:t>Appetite</w:t>
      </w:r>
      <w:r w:rsidRPr="00F738A2">
        <w:rPr>
          <w:rFonts w:ascii="Times New Roman" w:hAnsi="Times New Roman" w:cs="Times New Roman"/>
          <w:noProof/>
          <w:sz w:val="24"/>
          <w:szCs w:val="24"/>
        </w:rPr>
        <w:t xml:space="preserve">, </w:t>
      </w:r>
      <w:r w:rsidRPr="00F738A2">
        <w:rPr>
          <w:rFonts w:ascii="Times New Roman" w:hAnsi="Times New Roman" w:cs="Times New Roman"/>
          <w:i/>
          <w:iCs/>
          <w:noProof/>
          <w:sz w:val="24"/>
          <w:szCs w:val="24"/>
        </w:rPr>
        <w:t>33</w:t>
      </w:r>
      <w:r w:rsidRPr="00F738A2">
        <w:rPr>
          <w:rFonts w:ascii="Times New Roman" w:hAnsi="Times New Roman" w:cs="Times New Roman"/>
          <w:noProof/>
          <w:sz w:val="24"/>
          <w:szCs w:val="24"/>
        </w:rPr>
        <w:t xml:space="preserve">(3), 343–60. </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t xml:space="preserve">Castell, S., Charlton, A., Clemence, M., Pettigrew, N., Pope, S., Quigley, A., et al. (2014). </w:t>
      </w:r>
      <w:r w:rsidRPr="00F738A2">
        <w:rPr>
          <w:rFonts w:ascii="Times New Roman" w:hAnsi="Times New Roman" w:cs="Times New Roman"/>
          <w:i/>
          <w:iCs/>
          <w:noProof/>
          <w:sz w:val="24"/>
          <w:szCs w:val="24"/>
        </w:rPr>
        <w:t>Public Attitudes to Science 2014</w:t>
      </w:r>
      <w:r w:rsidRPr="00F738A2">
        <w:rPr>
          <w:rFonts w:ascii="Times New Roman" w:hAnsi="Times New Roman" w:cs="Times New Roman"/>
          <w:noProof/>
          <w:sz w:val="24"/>
          <w:szCs w:val="24"/>
        </w:rPr>
        <w:t xml:space="preserve">. </w:t>
      </w:r>
      <w:r w:rsidRPr="00F738A2">
        <w:rPr>
          <w:rFonts w:ascii="Times New Roman" w:hAnsi="Times New Roman" w:cs="Times New Roman"/>
          <w:i/>
          <w:iCs/>
          <w:noProof/>
          <w:sz w:val="24"/>
          <w:szCs w:val="24"/>
        </w:rPr>
        <w:t>Ipsos MORI</w:t>
      </w:r>
      <w:r w:rsidRPr="00F738A2">
        <w:rPr>
          <w:rFonts w:ascii="Times New Roman" w:hAnsi="Times New Roman" w:cs="Times New Roman"/>
          <w:noProof/>
          <w:sz w:val="24"/>
          <w:szCs w:val="24"/>
        </w:rPr>
        <w:t>. http://www.ipsos-mori.com/Assets/Docs/Polls/pas-2014-main-report.pdf</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t xml:space="preserve">Costa-Font, M., &amp; Gil, J. M. (2012). Meta-attitudes and the local formation of consumer judgements towards genetically modified foods. </w:t>
      </w:r>
      <w:r w:rsidRPr="00F738A2">
        <w:rPr>
          <w:rFonts w:ascii="Times New Roman" w:hAnsi="Times New Roman" w:cs="Times New Roman"/>
          <w:i/>
          <w:iCs/>
          <w:noProof/>
          <w:sz w:val="24"/>
          <w:szCs w:val="24"/>
        </w:rPr>
        <w:t>British Food Journal</w:t>
      </w:r>
      <w:r w:rsidRPr="00F738A2">
        <w:rPr>
          <w:rFonts w:ascii="Times New Roman" w:hAnsi="Times New Roman" w:cs="Times New Roman"/>
          <w:noProof/>
          <w:sz w:val="24"/>
          <w:szCs w:val="24"/>
        </w:rPr>
        <w:t xml:space="preserve">, </w:t>
      </w:r>
      <w:r w:rsidRPr="00F738A2">
        <w:rPr>
          <w:rFonts w:ascii="Times New Roman" w:hAnsi="Times New Roman" w:cs="Times New Roman"/>
          <w:i/>
          <w:iCs/>
          <w:noProof/>
          <w:sz w:val="24"/>
          <w:szCs w:val="24"/>
        </w:rPr>
        <w:t>114</w:t>
      </w:r>
      <w:r w:rsidRPr="00F738A2">
        <w:rPr>
          <w:rFonts w:ascii="Times New Roman" w:hAnsi="Times New Roman" w:cs="Times New Roman"/>
          <w:noProof/>
          <w:sz w:val="24"/>
          <w:szCs w:val="24"/>
        </w:rPr>
        <w:t>, 1463–1485.</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t xml:space="preserve">Francis, L. J., &amp; Greer, J. E. (1999). Measuring Attitude Towards Science Among Secondary School Students: the affective domain. </w:t>
      </w:r>
      <w:r w:rsidRPr="00F738A2">
        <w:rPr>
          <w:rFonts w:ascii="Times New Roman" w:hAnsi="Times New Roman" w:cs="Times New Roman"/>
          <w:i/>
          <w:iCs/>
          <w:noProof/>
          <w:sz w:val="24"/>
          <w:szCs w:val="24"/>
        </w:rPr>
        <w:t>Research in Science &amp; Technological Education</w:t>
      </w:r>
      <w:r w:rsidRPr="00F738A2">
        <w:rPr>
          <w:rFonts w:ascii="Times New Roman" w:hAnsi="Times New Roman" w:cs="Times New Roman"/>
          <w:noProof/>
          <w:sz w:val="24"/>
          <w:szCs w:val="24"/>
        </w:rPr>
        <w:t xml:space="preserve">, </w:t>
      </w:r>
      <w:r w:rsidRPr="00F738A2">
        <w:rPr>
          <w:rFonts w:ascii="Times New Roman" w:hAnsi="Times New Roman" w:cs="Times New Roman"/>
          <w:i/>
          <w:iCs/>
          <w:noProof/>
          <w:sz w:val="24"/>
          <w:szCs w:val="24"/>
        </w:rPr>
        <w:t>17</w:t>
      </w:r>
      <w:r w:rsidRPr="00F738A2">
        <w:rPr>
          <w:rFonts w:ascii="Times New Roman" w:hAnsi="Times New Roman" w:cs="Times New Roman"/>
          <w:noProof/>
          <w:sz w:val="24"/>
          <w:szCs w:val="24"/>
        </w:rPr>
        <w:t xml:space="preserve">(2), 219–226. </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t xml:space="preserve">Gaskell, G., Stares, S., Allansdottir, A., &amp; Allum, N. (2010). </w:t>
      </w:r>
      <w:r w:rsidRPr="00F738A2">
        <w:rPr>
          <w:rFonts w:ascii="Times New Roman" w:hAnsi="Times New Roman" w:cs="Times New Roman"/>
          <w:i/>
          <w:iCs/>
          <w:noProof/>
          <w:sz w:val="24"/>
          <w:szCs w:val="24"/>
        </w:rPr>
        <w:t>Europeans and Biotechnology in 2010 - Winds of change?</w:t>
      </w:r>
      <w:r w:rsidRPr="00F738A2">
        <w:rPr>
          <w:rFonts w:ascii="Times New Roman" w:hAnsi="Times New Roman" w:cs="Times New Roman"/>
          <w:noProof/>
          <w:sz w:val="24"/>
          <w:szCs w:val="24"/>
        </w:rPr>
        <w:t xml:space="preserve"> </w:t>
      </w:r>
      <w:r w:rsidRPr="007D09A3">
        <w:rPr>
          <w:rFonts w:ascii="Times New Roman" w:hAnsi="Times New Roman" w:cs="Times New Roman"/>
          <w:i/>
          <w:noProof/>
          <w:sz w:val="24"/>
          <w:szCs w:val="24"/>
        </w:rPr>
        <w:t>A report to the European Commission's Directorate-General for Research</w:t>
      </w:r>
      <w:r>
        <w:rPr>
          <w:rFonts w:ascii="Times New Roman" w:hAnsi="Times New Roman" w:cs="Times New Roman"/>
          <w:i/>
          <w:noProof/>
          <w:sz w:val="24"/>
          <w:szCs w:val="24"/>
        </w:rPr>
        <w:t xml:space="preserve">. </w:t>
      </w:r>
      <w:r>
        <w:rPr>
          <w:rFonts w:ascii="Times New Roman" w:hAnsi="Times New Roman" w:cs="Times New Roman"/>
          <w:noProof/>
          <w:sz w:val="24"/>
          <w:szCs w:val="24"/>
        </w:rPr>
        <w:t xml:space="preserve"> http</w:t>
      </w:r>
      <w:r w:rsidRPr="007D09A3">
        <w:rPr>
          <w:rFonts w:ascii="Times New Roman" w:hAnsi="Times New Roman" w:cs="Times New Roman"/>
          <w:noProof/>
          <w:sz w:val="24"/>
          <w:szCs w:val="24"/>
        </w:rPr>
        <w:t>:// ec.europa.eu/public_opinion/archives/ebs/ebs_341_winds_en.pdf.</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t xml:space="preserve">INRA (Europe) - Ecosa. (2000). </w:t>
      </w:r>
      <w:r w:rsidRPr="00F738A2">
        <w:rPr>
          <w:rFonts w:ascii="Times New Roman" w:hAnsi="Times New Roman" w:cs="Times New Roman"/>
          <w:i/>
          <w:iCs/>
          <w:noProof/>
          <w:sz w:val="24"/>
          <w:szCs w:val="24"/>
        </w:rPr>
        <w:t>The Europeans and Biotechnology: Eurobarometer 52.1</w:t>
      </w:r>
      <w:r w:rsidRPr="00F738A2">
        <w:rPr>
          <w:rFonts w:ascii="Times New Roman" w:hAnsi="Times New Roman" w:cs="Times New Roman"/>
          <w:noProof/>
          <w:sz w:val="24"/>
          <w:szCs w:val="24"/>
        </w:rPr>
        <w:t>.</w:t>
      </w:r>
      <w:r w:rsidRPr="00F738A2">
        <w:rPr>
          <w:color w:val="000000"/>
          <w:sz w:val="27"/>
          <w:szCs w:val="27"/>
        </w:rPr>
        <w:t xml:space="preserve"> </w:t>
      </w:r>
      <w:r w:rsidRPr="00F738A2">
        <w:rPr>
          <w:rFonts w:ascii="Times New Roman" w:hAnsi="Times New Roman" w:cs="Times New Roman"/>
          <w:color w:val="000000"/>
          <w:sz w:val="24"/>
          <w:szCs w:val="24"/>
        </w:rPr>
        <w:t>https://ec.europa.eu/research/pdf/eurobarometer-en.pdf.</w:t>
      </w:r>
    </w:p>
    <w:p w:rsid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t xml:space="preserve">Pliner, P., &amp; Hobden, K. (1992). Development of a Scale to Measure Neophobia in Humans the Trait of Food. </w:t>
      </w:r>
      <w:r w:rsidRPr="00F738A2">
        <w:rPr>
          <w:rFonts w:ascii="Times New Roman" w:hAnsi="Times New Roman" w:cs="Times New Roman"/>
          <w:i/>
          <w:iCs/>
          <w:noProof/>
          <w:sz w:val="24"/>
          <w:szCs w:val="24"/>
        </w:rPr>
        <w:t>Appetite</w:t>
      </w:r>
      <w:r w:rsidRPr="00F738A2">
        <w:rPr>
          <w:rFonts w:ascii="Times New Roman" w:hAnsi="Times New Roman" w:cs="Times New Roman"/>
          <w:noProof/>
          <w:sz w:val="24"/>
          <w:szCs w:val="24"/>
        </w:rPr>
        <w:t>, (19), 105–120.</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lastRenderedPageBreak/>
        <w:t xml:space="preserve">Roininen, K., Lähteenmäki, L., &amp; Tuorila, H. (1999). Quantification of consumer attitudes to health and hedonic characteristics of foods. </w:t>
      </w:r>
      <w:r w:rsidRPr="00F738A2">
        <w:rPr>
          <w:rFonts w:ascii="Times New Roman" w:hAnsi="Times New Roman" w:cs="Times New Roman"/>
          <w:i/>
          <w:iCs/>
          <w:noProof/>
          <w:sz w:val="24"/>
          <w:szCs w:val="24"/>
        </w:rPr>
        <w:t>Appetite</w:t>
      </w:r>
      <w:r w:rsidRPr="00F738A2">
        <w:rPr>
          <w:rFonts w:ascii="Times New Roman" w:hAnsi="Times New Roman" w:cs="Times New Roman"/>
          <w:noProof/>
          <w:sz w:val="24"/>
          <w:szCs w:val="24"/>
        </w:rPr>
        <w:t xml:space="preserve">, </w:t>
      </w:r>
      <w:r w:rsidRPr="00F738A2">
        <w:rPr>
          <w:rFonts w:ascii="Times New Roman" w:hAnsi="Times New Roman" w:cs="Times New Roman"/>
          <w:i/>
          <w:iCs/>
          <w:noProof/>
          <w:sz w:val="24"/>
          <w:szCs w:val="24"/>
        </w:rPr>
        <w:t>33</w:t>
      </w:r>
      <w:r w:rsidRPr="00F738A2">
        <w:rPr>
          <w:rFonts w:ascii="Times New Roman" w:hAnsi="Times New Roman" w:cs="Times New Roman"/>
          <w:noProof/>
          <w:sz w:val="24"/>
          <w:szCs w:val="24"/>
        </w:rPr>
        <w:t xml:space="preserve">(1), 71–88. </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szCs w:val="24"/>
        </w:rPr>
      </w:pPr>
      <w:r w:rsidRPr="00F738A2">
        <w:rPr>
          <w:rFonts w:ascii="Times New Roman" w:hAnsi="Times New Roman" w:cs="Times New Roman"/>
          <w:noProof/>
          <w:sz w:val="24"/>
          <w:szCs w:val="24"/>
        </w:rPr>
        <w:t xml:space="preserve">Veeman, M., Adamowicz, W., &amp; Hu, W. (2005). </w:t>
      </w:r>
      <w:r w:rsidRPr="00F738A2">
        <w:rPr>
          <w:rFonts w:ascii="Times New Roman" w:hAnsi="Times New Roman" w:cs="Times New Roman"/>
          <w:i/>
          <w:iCs/>
          <w:noProof/>
          <w:sz w:val="24"/>
          <w:szCs w:val="24"/>
        </w:rPr>
        <w:t>Risk Perceptions, Social Interactions and the Influence of Information on Social Attitudes to Agricultural Biotechnology</w:t>
      </w:r>
      <w:r w:rsidRPr="00F738A2">
        <w:rPr>
          <w:rFonts w:ascii="Times New Roman" w:hAnsi="Times New Roman" w:cs="Times New Roman"/>
          <w:noProof/>
          <w:sz w:val="24"/>
          <w:szCs w:val="24"/>
        </w:rPr>
        <w:t xml:space="preserve">. </w:t>
      </w:r>
      <w:r w:rsidRPr="00F738A2">
        <w:rPr>
          <w:rFonts w:ascii="Times New Roman" w:hAnsi="Times New Roman" w:cs="Times New Roman"/>
          <w:i/>
          <w:iCs/>
          <w:noProof/>
          <w:sz w:val="24"/>
          <w:szCs w:val="24"/>
        </w:rPr>
        <w:t>Rural Economy Project Report #05-02</w:t>
      </w:r>
      <w:r w:rsidRPr="00F738A2">
        <w:rPr>
          <w:rFonts w:ascii="Times New Roman" w:hAnsi="Times New Roman" w:cs="Times New Roman"/>
          <w:noProof/>
          <w:sz w:val="24"/>
          <w:szCs w:val="24"/>
        </w:rPr>
        <w:t>.</w:t>
      </w:r>
      <w:r w:rsidRPr="00F738A2">
        <w:rPr>
          <w:rFonts w:ascii="Times New Roman" w:hAnsi="Times New Roman" w:cs="Times New Roman"/>
          <w:color w:val="000000"/>
          <w:sz w:val="24"/>
          <w:szCs w:val="24"/>
        </w:rPr>
        <w:t xml:space="preserve"> http://ageconsearch.umn.edu/bitstream/24052/1/pr050002.pdf</w:t>
      </w:r>
    </w:p>
    <w:p w:rsidR="00F738A2" w:rsidRPr="00F738A2" w:rsidRDefault="00F738A2" w:rsidP="00F738A2">
      <w:pPr>
        <w:widowControl w:val="0"/>
        <w:autoSpaceDE w:val="0"/>
        <w:autoSpaceDN w:val="0"/>
        <w:adjustRightInd w:val="0"/>
        <w:spacing w:before="100" w:after="100" w:line="480" w:lineRule="auto"/>
        <w:ind w:left="480" w:hanging="480"/>
        <w:rPr>
          <w:rFonts w:ascii="Times New Roman" w:hAnsi="Times New Roman" w:cs="Times New Roman"/>
          <w:noProof/>
          <w:sz w:val="24"/>
        </w:rPr>
      </w:pPr>
      <w:r w:rsidRPr="00F738A2">
        <w:rPr>
          <w:rFonts w:ascii="Times New Roman" w:hAnsi="Times New Roman" w:cs="Times New Roman"/>
          <w:noProof/>
          <w:sz w:val="24"/>
          <w:szCs w:val="24"/>
        </w:rPr>
        <w:t xml:space="preserve">Whitmarsh, L., Seyfang, G., &amp; O’Neill, S. (2011). Public engagement with carbon and climate change: To what extent is the public “carbon capable”? </w:t>
      </w:r>
      <w:r w:rsidRPr="00F738A2">
        <w:rPr>
          <w:rFonts w:ascii="Times New Roman" w:hAnsi="Times New Roman" w:cs="Times New Roman"/>
          <w:i/>
          <w:iCs/>
          <w:noProof/>
          <w:sz w:val="24"/>
          <w:szCs w:val="24"/>
        </w:rPr>
        <w:t>Global Environmental Change</w:t>
      </w:r>
      <w:r w:rsidRPr="00F738A2">
        <w:rPr>
          <w:rFonts w:ascii="Times New Roman" w:hAnsi="Times New Roman" w:cs="Times New Roman"/>
          <w:noProof/>
          <w:sz w:val="24"/>
          <w:szCs w:val="24"/>
        </w:rPr>
        <w:t xml:space="preserve">, </w:t>
      </w:r>
      <w:r w:rsidRPr="00F738A2">
        <w:rPr>
          <w:rFonts w:ascii="Times New Roman" w:hAnsi="Times New Roman" w:cs="Times New Roman"/>
          <w:i/>
          <w:iCs/>
          <w:noProof/>
          <w:sz w:val="24"/>
          <w:szCs w:val="24"/>
        </w:rPr>
        <w:t>21</w:t>
      </w:r>
      <w:r w:rsidRPr="00F738A2">
        <w:rPr>
          <w:rFonts w:ascii="Times New Roman" w:hAnsi="Times New Roman" w:cs="Times New Roman"/>
          <w:noProof/>
          <w:sz w:val="24"/>
          <w:szCs w:val="24"/>
        </w:rPr>
        <w:t>(1), 56–65.</w:t>
      </w:r>
    </w:p>
    <w:p w:rsidR="00345312" w:rsidRDefault="00345312" w:rsidP="0052730F">
      <w:pPr>
        <w:pStyle w:val="NormalWeb"/>
        <w:spacing w:line="480" w:lineRule="auto"/>
        <w:ind w:left="640" w:hanging="640"/>
        <w:divId w:val="1041856601"/>
      </w:pPr>
      <w:r w:rsidRPr="00345312">
        <w:fldChar w:fldCharType="end"/>
      </w:r>
    </w:p>
    <w:sectPr w:rsidR="00345312" w:rsidSect="002620D7">
      <w:pgSz w:w="12240" w:h="15840" w:code="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AD5"/>
    <w:multiLevelType w:val="hybridMultilevel"/>
    <w:tmpl w:val="F51A8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5A6ACA"/>
    <w:multiLevelType w:val="hybridMultilevel"/>
    <w:tmpl w:val="1FAC8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F502E9"/>
    <w:multiLevelType w:val="hybridMultilevel"/>
    <w:tmpl w:val="B9127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BA7132F"/>
    <w:multiLevelType w:val="hybridMultilevel"/>
    <w:tmpl w:val="32160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EB2501"/>
    <w:multiLevelType w:val="hybridMultilevel"/>
    <w:tmpl w:val="B5EE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3070992"/>
    <w:multiLevelType w:val="multilevel"/>
    <w:tmpl w:val="D10E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EB6AB9"/>
    <w:multiLevelType w:val="hybridMultilevel"/>
    <w:tmpl w:val="FECEDA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3A411397"/>
    <w:multiLevelType w:val="hybridMultilevel"/>
    <w:tmpl w:val="7956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2225D29"/>
    <w:multiLevelType w:val="hybridMultilevel"/>
    <w:tmpl w:val="7660B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943A6A"/>
    <w:multiLevelType w:val="hybridMultilevel"/>
    <w:tmpl w:val="6D0E0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75106C1"/>
    <w:multiLevelType w:val="hybridMultilevel"/>
    <w:tmpl w:val="D1FC3220"/>
    <w:lvl w:ilvl="0" w:tplc="65746D90">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582A09F4"/>
    <w:multiLevelType w:val="hybridMultilevel"/>
    <w:tmpl w:val="FA5E7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3296515"/>
    <w:multiLevelType w:val="hybridMultilevel"/>
    <w:tmpl w:val="889433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70F828BE"/>
    <w:multiLevelType w:val="hybridMultilevel"/>
    <w:tmpl w:val="CAA81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9"/>
  </w:num>
  <w:num w:numId="5">
    <w:abstractNumId w:val="8"/>
  </w:num>
  <w:num w:numId="6">
    <w:abstractNumId w:val="0"/>
  </w:num>
  <w:num w:numId="7">
    <w:abstractNumId w:val="10"/>
  </w:num>
  <w:num w:numId="8">
    <w:abstractNumId w:val="4"/>
  </w:num>
  <w:num w:numId="9">
    <w:abstractNumId w:val="3"/>
  </w:num>
  <w:num w:numId="10">
    <w:abstractNumId w:val="12"/>
  </w:num>
  <w:num w:numId="11">
    <w:abstractNumId w:val="6"/>
  </w:num>
  <w:num w:numId="12">
    <w:abstractNumId w:val="13"/>
  </w:num>
  <w:num w:numId="13">
    <w:abstractNumId w:val="1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580"/>
    <w:rsid w:val="00025A91"/>
    <w:rsid w:val="002620D7"/>
    <w:rsid w:val="002E3C4C"/>
    <w:rsid w:val="00345312"/>
    <w:rsid w:val="00414955"/>
    <w:rsid w:val="0052730F"/>
    <w:rsid w:val="00775580"/>
    <w:rsid w:val="007F7DF9"/>
    <w:rsid w:val="0088617B"/>
    <w:rsid w:val="008A2998"/>
    <w:rsid w:val="00AA4FCE"/>
    <w:rsid w:val="00AB7BFE"/>
    <w:rsid w:val="00CE510F"/>
    <w:rsid w:val="00D777FB"/>
    <w:rsid w:val="00E81513"/>
    <w:rsid w:val="00F32313"/>
    <w:rsid w:val="00F738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580"/>
    <w:rPr>
      <w14:cntxtAlts/>
    </w:rPr>
  </w:style>
  <w:style w:type="paragraph" w:styleId="Heading1">
    <w:name w:val="heading 1"/>
    <w:basedOn w:val="Normal"/>
    <w:next w:val="Normal"/>
    <w:link w:val="Heading1Char"/>
    <w:uiPriority w:val="9"/>
    <w:qFormat/>
    <w:rsid w:val="007755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5580"/>
    <w:pPr>
      <w:keepNext/>
      <w:keepLines/>
      <w:spacing w:before="200" w:after="0" w:line="25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755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580"/>
    <w:rPr>
      <w:rFonts w:asciiTheme="majorHAnsi" w:eastAsiaTheme="majorEastAsia" w:hAnsiTheme="majorHAnsi" w:cstheme="majorBidi"/>
      <w:color w:val="365F91" w:themeColor="accent1" w:themeShade="BF"/>
      <w:sz w:val="32"/>
      <w:szCs w:val="32"/>
      <w14:cntxtAlts/>
    </w:rPr>
  </w:style>
  <w:style w:type="character" w:customStyle="1" w:styleId="Heading2Char">
    <w:name w:val="Heading 2 Char"/>
    <w:basedOn w:val="DefaultParagraphFont"/>
    <w:link w:val="Heading2"/>
    <w:uiPriority w:val="9"/>
    <w:rsid w:val="00775580"/>
    <w:rPr>
      <w:rFonts w:asciiTheme="majorHAnsi" w:eastAsiaTheme="majorEastAsia" w:hAnsiTheme="majorHAnsi" w:cstheme="majorBidi"/>
      <w:b/>
      <w:bCs/>
      <w:color w:val="4F81BD" w:themeColor="accent1"/>
      <w:sz w:val="26"/>
      <w:szCs w:val="26"/>
      <w14:cntxtAlts/>
    </w:rPr>
  </w:style>
  <w:style w:type="character" w:customStyle="1" w:styleId="Heading3Char">
    <w:name w:val="Heading 3 Char"/>
    <w:basedOn w:val="DefaultParagraphFont"/>
    <w:link w:val="Heading3"/>
    <w:uiPriority w:val="9"/>
    <w:rsid w:val="00775580"/>
    <w:rPr>
      <w:rFonts w:asciiTheme="majorHAnsi" w:eastAsiaTheme="majorEastAsia" w:hAnsiTheme="majorHAnsi" w:cstheme="majorBidi"/>
      <w:b/>
      <w:bCs/>
      <w:color w:val="4F81BD" w:themeColor="accent1"/>
      <w14:cntxtAlts/>
    </w:rPr>
  </w:style>
  <w:style w:type="paragraph" w:styleId="ListParagraph">
    <w:name w:val="List Paragraph"/>
    <w:basedOn w:val="Normal"/>
    <w:uiPriority w:val="34"/>
    <w:qFormat/>
    <w:rsid w:val="00775580"/>
    <w:pPr>
      <w:ind w:left="720"/>
      <w:contextualSpacing/>
    </w:pPr>
  </w:style>
  <w:style w:type="paragraph" w:styleId="BalloonText">
    <w:name w:val="Balloon Text"/>
    <w:basedOn w:val="Normal"/>
    <w:link w:val="BalloonTextChar"/>
    <w:uiPriority w:val="99"/>
    <w:semiHidden/>
    <w:unhideWhenUsed/>
    <w:rsid w:val="007755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580"/>
    <w:rPr>
      <w:rFonts w:ascii="Tahoma" w:hAnsi="Tahoma" w:cs="Tahoma"/>
      <w:sz w:val="16"/>
      <w:szCs w:val="16"/>
      <w14:cntxtAlts/>
    </w:rPr>
  </w:style>
  <w:style w:type="table" w:styleId="TableGrid">
    <w:name w:val="Table Grid"/>
    <w:basedOn w:val="TableNormal"/>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7558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EndnoteText">
    <w:name w:val="endnote text"/>
    <w:basedOn w:val="Normal"/>
    <w:link w:val="EndnoteTextChar"/>
    <w:uiPriority w:val="99"/>
    <w:semiHidden/>
    <w:unhideWhenUsed/>
    <w:rsid w:val="007755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5580"/>
    <w:rPr>
      <w:sz w:val="20"/>
      <w:szCs w:val="20"/>
      <w14:cntxtAlts/>
    </w:rPr>
  </w:style>
  <w:style w:type="character" w:styleId="EndnoteReference">
    <w:name w:val="endnote reference"/>
    <w:basedOn w:val="DefaultParagraphFont"/>
    <w:uiPriority w:val="99"/>
    <w:semiHidden/>
    <w:unhideWhenUsed/>
    <w:rsid w:val="00775580"/>
    <w:rPr>
      <w:vertAlign w:val="superscript"/>
    </w:rPr>
  </w:style>
  <w:style w:type="paragraph" w:styleId="FootnoteText">
    <w:name w:val="footnote text"/>
    <w:basedOn w:val="Normal"/>
    <w:link w:val="FootnoteTextChar"/>
    <w:uiPriority w:val="99"/>
    <w:semiHidden/>
    <w:unhideWhenUsed/>
    <w:rsid w:val="007755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5580"/>
    <w:rPr>
      <w:sz w:val="20"/>
      <w:szCs w:val="20"/>
      <w14:cntxtAlts/>
    </w:rPr>
  </w:style>
  <w:style w:type="character" w:styleId="FootnoteReference">
    <w:name w:val="footnote reference"/>
    <w:basedOn w:val="DefaultParagraphFont"/>
    <w:uiPriority w:val="99"/>
    <w:semiHidden/>
    <w:unhideWhenUsed/>
    <w:rsid w:val="00775580"/>
    <w:rPr>
      <w:vertAlign w:val="superscript"/>
    </w:rPr>
  </w:style>
  <w:style w:type="character" w:styleId="CommentReference">
    <w:name w:val="annotation reference"/>
    <w:basedOn w:val="DefaultParagraphFont"/>
    <w:uiPriority w:val="99"/>
    <w:semiHidden/>
    <w:unhideWhenUsed/>
    <w:rsid w:val="00775580"/>
    <w:rPr>
      <w:sz w:val="16"/>
      <w:szCs w:val="16"/>
    </w:rPr>
  </w:style>
  <w:style w:type="paragraph" w:styleId="CommentText">
    <w:name w:val="annotation text"/>
    <w:basedOn w:val="Normal"/>
    <w:link w:val="CommentTextChar"/>
    <w:uiPriority w:val="99"/>
    <w:semiHidden/>
    <w:unhideWhenUsed/>
    <w:rsid w:val="00775580"/>
    <w:pPr>
      <w:spacing w:line="240" w:lineRule="auto"/>
    </w:pPr>
    <w:rPr>
      <w:sz w:val="20"/>
      <w:szCs w:val="20"/>
    </w:rPr>
  </w:style>
  <w:style w:type="character" w:customStyle="1" w:styleId="CommentTextChar">
    <w:name w:val="Comment Text Char"/>
    <w:basedOn w:val="DefaultParagraphFont"/>
    <w:link w:val="CommentText"/>
    <w:uiPriority w:val="99"/>
    <w:semiHidden/>
    <w:rsid w:val="00775580"/>
    <w:rPr>
      <w:sz w:val="20"/>
      <w:szCs w:val="20"/>
      <w14:cntxtAlts/>
    </w:rPr>
  </w:style>
  <w:style w:type="paragraph" w:styleId="CommentSubject">
    <w:name w:val="annotation subject"/>
    <w:basedOn w:val="CommentText"/>
    <w:next w:val="CommentText"/>
    <w:link w:val="CommentSubjectChar"/>
    <w:uiPriority w:val="99"/>
    <w:semiHidden/>
    <w:unhideWhenUsed/>
    <w:rsid w:val="00775580"/>
    <w:rPr>
      <w:b/>
      <w:bCs/>
    </w:rPr>
  </w:style>
  <w:style w:type="character" w:customStyle="1" w:styleId="CommentSubjectChar">
    <w:name w:val="Comment Subject Char"/>
    <w:basedOn w:val="CommentTextChar"/>
    <w:link w:val="CommentSubject"/>
    <w:uiPriority w:val="99"/>
    <w:semiHidden/>
    <w:rsid w:val="00775580"/>
    <w:rPr>
      <w:b/>
      <w:bCs/>
      <w:sz w:val="20"/>
      <w:szCs w:val="20"/>
      <w14:cntxtAlts/>
    </w:rPr>
  </w:style>
  <w:style w:type="character" w:customStyle="1" w:styleId="apple-converted-space">
    <w:name w:val="apple-converted-space"/>
    <w:basedOn w:val="DefaultParagraphFont"/>
    <w:rsid w:val="00775580"/>
  </w:style>
  <w:style w:type="paragraph" w:customStyle="1" w:styleId="Default">
    <w:name w:val="Default"/>
    <w:rsid w:val="0077558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0">
    <w:name w:val="Pa10"/>
    <w:basedOn w:val="Default"/>
    <w:next w:val="Default"/>
    <w:uiPriority w:val="99"/>
    <w:rsid w:val="00775580"/>
    <w:pPr>
      <w:spacing w:line="201" w:lineRule="atLeast"/>
    </w:pPr>
    <w:rPr>
      <w:color w:val="auto"/>
    </w:rPr>
  </w:style>
  <w:style w:type="paragraph" w:styleId="Header">
    <w:name w:val="header"/>
    <w:basedOn w:val="Normal"/>
    <w:link w:val="HeaderChar"/>
    <w:uiPriority w:val="99"/>
    <w:unhideWhenUsed/>
    <w:rsid w:val="007755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580"/>
    <w:rPr>
      <w14:cntxtAlts/>
    </w:rPr>
  </w:style>
  <w:style w:type="paragraph" w:styleId="Footer">
    <w:name w:val="footer"/>
    <w:basedOn w:val="Normal"/>
    <w:link w:val="FooterChar"/>
    <w:uiPriority w:val="99"/>
    <w:unhideWhenUsed/>
    <w:rsid w:val="00775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580"/>
    <w:rPr>
      <w14:cntxtAlts/>
    </w:rPr>
  </w:style>
  <w:style w:type="paragraph" w:styleId="DocumentMap">
    <w:name w:val="Document Map"/>
    <w:basedOn w:val="Normal"/>
    <w:link w:val="DocumentMapChar"/>
    <w:uiPriority w:val="99"/>
    <w:semiHidden/>
    <w:unhideWhenUsed/>
    <w:rsid w:val="0077558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75580"/>
    <w:rPr>
      <w:rFonts w:ascii="Lucida Grande" w:hAnsi="Lucida Grande" w:cs="Lucida Grande"/>
      <w:sz w:val="24"/>
      <w:szCs w:val="24"/>
      <w14:cntxtAlts/>
    </w:rPr>
  </w:style>
  <w:style w:type="paragraph" w:styleId="Title">
    <w:name w:val="Title"/>
    <w:basedOn w:val="Normal"/>
    <w:next w:val="Normal"/>
    <w:link w:val="TitleChar"/>
    <w:uiPriority w:val="10"/>
    <w:qFormat/>
    <w:rsid w:val="00775580"/>
    <w:pPr>
      <w:spacing w:after="0" w:line="240" w:lineRule="auto"/>
      <w:contextualSpacing/>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uiPriority w:val="10"/>
    <w:rsid w:val="00775580"/>
    <w:rPr>
      <w:rFonts w:asciiTheme="majorHAnsi" w:eastAsiaTheme="majorEastAsia" w:hAnsiTheme="majorHAnsi" w:cstheme="majorBidi"/>
      <w:spacing w:val="-10"/>
      <w:kern w:val="28"/>
      <w:sz w:val="40"/>
      <w:szCs w:val="40"/>
      <w14:cntxtAlts/>
    </w:rPr>
  </w:style>
  <w:style w:type="table" w:customStyle="1" w:styleId="TableGrid1">
    <w:name w:val="Table Grid1"/>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75580"/>
    <w:pPr>
      <w:spacing w:after="0" w:line="240" w:lineRule="auto"/>
    </w:pPr>
  </w:style>
  <w:style w:type="character" w:styleId="Emphasis">
    <w:name w:val="Emphasis"/>
    <w:basedOn w:val="DefaultParagraphFont"/>
    <w:uiPriority w:val="20"/>
    <w:qFormat/>
    <w:rsid w:val="00775580"/>
    <w:rPr>
      <w:i/>
      <w:iCs/>
    </w:rPr>
  </w:style>
  <w:style w:type="table" w:customStyle="1" w:styleId="TableGrid7">
    <w:name w:val="Table Grid7"/>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75580"/>
  </w:style>
  <w:style w:type="character" w:styleId="Hyperlink">
    <w:name w:val="Hyperlink"/>
    <w:basedOn w:val="DefaultParagraphFont"/>
    <w:uiPriority w:val="99"/>
    <w:unhideWhenUsed/>
    <w:rsid w:val="00775580"/>
    <w:rPr>
      <w:color w:val="0000FF" w:themeColor="hyperlink"/>
      <w:u w:val="single"/>
    </w:rPr>
  </w:style>
  <w:style w:type="table" w:customStyle="1" w:styleId="TableGrid2">
    <w:name w:val="Table Grid2"/>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Footnote">
    <w:name w:val="A1 Footnote"/>
    <w:basedOn w:val="Normal"/>
    <w:autoRedefine/>
    <w:rsid w:val="0052730F"/>
    <w:pPr>
      <w:framePr w:w="9556" w:wrap="notBeside" w:hAnchor="margin" w:x="1" w:yAlign="bottom" w:anchorLock="1"/>
      <w:widowControl w:val="0"/>
      <w:spacing w:before="240" w:after="120" w:line="240" w:lineRule="auto"/>
      <w:ind w:right="-36"/>
      <w:contextualSpacing/>
      <w:jc w:val="both"/>
    </w:pPr>
    <w:rPr>
      <w:rFonts w:ascii="Times New Roman" w:eastAsia="Times New Roman" w:hAnsi="Times New Roman" w:cs="Times New Roman"/>
      <w:sz w:val="24"/>
      <w:szCs w:val="24"/>
      <w:lang w:eastAsia="en-GB"/>
      <w14:cntxtAlts w14: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580"/>
    <w:rPr>
      <w14:cntxtAlts/>
    </w:rPr>
  </w:style>
  <w:style w:type="paragraph" w:styleId="Heading1">
    <w:name w:val="heading 1"/>
    <w:basedOn w:val="Normal"/>
    <w:next w:val="Normal"/>
    <w:link w:val="Heading1Char"/>
    <w:uiPriority w:val="9"/>
    <w:qFormat/>
    <w:rsid w:val="007755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75580"/>
    <w:pPr>
      <w:keepNext/>
      <w:keepLines/>
      <w:spacing w:before="200" w:after="0" w:line="256"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755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580"/>
    <w:rPr>
      <w:rFonts w:asciiTheme="majorHAnsi" w:eastAsiaTheme="majorEastAsia" w:hAnsiTheme="majorHAnsi" w:cstheme="majorBidi"/>
      <w:color w:val="365F91" w:themeColor="accent1" w:themeShade="BF"/>
      <w:sz w:val="32"/>
      <w:szCs w:val="32"/>
      <w14:cntxtAlts/>
    </w:rPr>
  </w:style>
  <w:style w:type="character" w:customStyle="1" w:styleId="Heading2Char">
    <w:name w:val="Heading 2 Char"/>
    <w:basedOn w:val="DefaultParagraphFont"/>
    <w:link w:val="Heading2"/>
    <w:uiPriority w:val="9"/>
    <w:rsid w:val="00775580"/>
    <w:rPr>
      <w:rFonts w:asciiTheme="majorHAnsi" w:eastAsiaTheme="majorEastAsia" w:hAnsiTheme="majorHAnsi" w:cstheme="majorBidi"/>
      <w:b/>
      <w:bCs/>
      <w:color w:val="4F81BD" w:themeColor="accent1"/>
      <w:sz w:val="26"/>
      <w:szCs w:val="26"/>
      <w14:cntxtAlts/>
    </w:rPr>
  </w:style>
  <w:style w:type="character" w:customStyle="1" w:styleId="Heading3Char">
    <w:name w:val="Heading 3 Char"/>
    <w:basedOn w:val="DefaultParagraphFont"/>
    <w:link w:val="Heading3"/>
    <w:uiPriority w:val="9"/>
    <w:rsid w:val="00775580"/>
    <w:rPr>
      <w:rFonts w:asciiTheme="majorHAnsi" w:eastAsiaTheme="majorEastAsia" w:hAnsiTheme="majorHAnsi" w:cstheme="majorBidi"/>
      <w:b/>
      <w:bCs/>
      <w:color w:val="4F81BD" w:themeColor="accent1"/>
      <w14:cntxtAlts/>
    </w:rPr>
  </w:style>
  <w:style w:type="paragraph" w:styleId="ListParagraph">
    <w:name w:val="List Paragraph"/>
    <w:basedOn w:val="Normal"/>
    <w:uiPriority w:val="34"/>
    <w:qFormat/>
    <w:rsid w:val="00775580"/>
    <w:pPr>
      <w:ind w:left="720"/>
      <w:contextualSpacing/>
    </w:pPr>
  </w:style>
  <w:style w:type="paragraph" w:styleId="BalloonText">
    <w:name w:val="Balloon Text"/>
    <w:basedOn w:val="Normal"/>
    <w:link w:val="BalloonTextChar"/>
    <w:uiPriority w:val="99"/>
    <w:semiHidden/>
    <w:unhideWhenUsed/>
    <w:rsid w:val="007755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5580"/>
    <w:rPr>
      <w:rFonts w:ascii="Tahoma" w:hAnsi="Tahoma" w:cs="Tahoma"/>
      <w:sz w:val="16"/>
      <w:szCs w:val="16"/>
      <w14:cntxtAlts/>
    </w:rPr>
  </w:style>
  <w:style w:type="table" w:styleId="TableGrid">
    <w:name w:val="Table Grid"/>
    <w:basedOn w:val="TableNormal"/>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75580"/>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EndnoteText">
    <w:name w:val="endnote text"/>
    <w:basedOn w:val="Normal"/>
    <w:link w:val="EndnoteTextChar"/>
    <w:uiPriority w:val="99"/>
    <w:semiHidden/>
    <w:unhideWhenUsed/>
    <w:rsid w:val="0077558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5580"/>
    <w:rPr>
      <w:sz w:val="20"/>
      <w:szCs w:val="20"/>
      <w14:cntxtAlts/>
    </w:rPr>
  </w:style>
  <w:style w:type="character" w:styleId="EndnoteReference">
    <w:name w:val="endnote reference"/>
    <w:basedOn w:val="DefaultParagraphFont"/>
    <w:uiPriority w:val="99"/>
    <w:semiHidden/>
    <w:unhideWhenUsed/>
    <w:rsid w:val="00775580"/>
    <w:rPr>
      <w:vertAlign w:val="superscript"/>
    </w:rPr>
  </w:style>
  <w:style w:type="paragraph" w:styleId="FootnoteText">
    <w:name w:val="footnote text"/>
    <w:basedOn w:val="Normal"/>
    <w:link w:val="FootnoteTextChar"/>
    <w:uiPriority w:val="99"/>
    <w:semiHidden/>
    <w:unhideWhenUsed/>
    <w:rsid w:val="0077558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5580"/>
    <w:rPr>
      <w:sz w:val="20"/>
      <w:szCs w:val="20"/>
      <w14:cntxtAlts/>
    </w:rPr>
  </w:style>
  <w:style w:type="character" w:styleId="FootnoteReference">
    <w:name w:val="footnote reference"/>
    <w:basedOn w:val="DefaultParagraphFont"/>
    <w:uiPriority w:val="99"/>
    <w:semiHidden/>
    <w:unhideWhenUsed/>
    <w:rsid w:val="00775580"/>
    <w:rPr>
      <w:vertAlign w:val="superscript"/>
    </w:rPr>
  </w:style>
  <w:style w:type="character" w:styleId="CommentReference">
    <w:name w:val="annotation reference"/>
    <w:basedOn w:val="DefaultParagraphFont"/>
    <w:uiPriority w:val="99"/>
    <w:semiHidden/>
    <w:unhideWhenUsed/>
    <w:rsid w:val="00775580"/>
    <w:rPr>
      <w:sz w:val="16"/>
      <w:szCs w:val="16"/>
    </w:rPr>
  </w:style>
  <w:style w:type="paragraph" w:styleId="CommentText">
    <w:name w:val="annotation text"/>
    <w:basedOn w:val="Normal"/>
    <w:link w:val="CommentTextChar"/>
    <w:uiPriority w:val="99"/>
    <w:semiHidden/>
    <w:unhideWhenUsed/>
    <w:rsid w:val="00775580"/>
    <w:pPr>
      <w:spacing w:line="240" w:lineRule="auto"/>
    </w:pPr>
    <w:rPr>
      <w:sz w:val="20"/>
      <w:szCs w:val="20"/>
    </w:rPr>
  </w:style>
  <w:style w:type="character" w:customStyle="1" w:styleId="CommentTextChar">
    <w:name w:val="Comment Text Char"/>
    <w:basedOn w:val="DefaultParagraphFont"/>
    <w:link w:val="CommentText"/>
    <w:uiPriority w:val="99"/>
    <w:semiHidden/>
    <w:rsid w:val="00775580"/>
    <w:rPr>
      <w:sz w:val="20"/>
      <w:szCs w:val="20"/>
      <w14:cntxtAlts/>
    </w:rPr>
  </w:style>
  <w:style w:type="paragraph" w:styleId="CommentSubject">
    <w:name w:val="annotation subject"/>
    <w:basedOn w:val="CommentText"/>
    <w:next w:val="CommentText"/>
    <w:link w:val="CommentSubjectChar"/>
    <w:uiPriority w:val="99"/>
    <w:semiHidden/>
    <w:unhideWhenUsed/>
    <w:rsid w:val="00775580"/>
    <w:rPr>
      <w:b/>
      <w:bCs/>
    </w:rPr>
  </w:style>
  <w:style w:type="character" w:customStyle="1" w:styleId="CommentSubjectChar">
    <w:name w:val="Comment Subject Char"/>
    <w:basedOn w:val="CommentTextChar"/>
    <w:link w:val="CommentSubject"/>
    <w:uiPriority w:val="99"/>
    <w:semiHidden/>
    <w:rsid w:val="00775580"/>
    <w:rPr>
      <w:b/>
      <w:bCs/>
      <w:sz w:val="20"/>
      <w:szCs w:val="20"/>
      <w14:cntxtAlts/>
    </w:rPr>
  </w:style>
  <w:style w:type="character" w:customStyle="1" w:styleId="apple-converted-space">
    <w:name w:val="apple-converted-space"/>
    <w:basedOn w:val="DefaultParagraphFont"/>
    <w:rsid w:val="00775580"/>
  </w:style>
  <w:style w:type="paragraph" w:customStyle="1" w:styleId="Default">
    <w:name w:val="Default"/>
    <w:rsid w:val="0077558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10">
    <w:name w:val="Pa10"/>
    <w:basedOn w:val="Default"/>
    <w:next w:val="Default"/>
    <w:uiPriority w:val="99"/>
    <w:rsid w:val="00775580"/>
    <w:pPr>
      <w:spacing w:line="201" w:lineRule="atLeast"/>
    </w:pPr>
    <w:rPr>
      <w:color w:val="auto"/>
    </w:rPr>
  </w:style>
  <w:style w:type="paragraph" w:styleId="Header">
    <w:name w:val="header"/>
    <w:basedOn w:val="Normal"/>
    <w:link w:val="HeaderChar"/>
    <w:uiPriority w:val="99"/>
    <w:unhideWhenUsed/>
    <w:rsid w:val="007755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5580"/>
    <w:rPr>
      <w14:cntxtAlts/>
    </w:rPr>
  </w:style>
  <w:style w:type="paragraph" w:styleId="Footer">
    <w:name w:val="footer"/>
    <w:basedOn w:val="Normal"/>
    <w:link w:val="FooterChar"/>
    <w:uiPriority w:val="99"/>
    <w:unhideWhenUsed/>
    <w:rsid w:val="007755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5580"/>
    <w:rPr>
      <w14:cntxtAlts/>
    </w:rPr>
  </w:style>
  <w:style w:type="paragraph" w:styleId="DocumentMap">
    <w:name w:val="Document Map"/>
    <w:basedOn w:val="Normal"/>
    <w:link w:val="DocumentMapChar"/>
    <w:uiPriority w:val="99"/>
    <w:semiHidden/>
    <w:unhideWhenUsed/>
    <w:rsid w:val="0077558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775580"/>
    <w:rPr>
      <w:rFonts w:ascii="Lucida Grande" w:hAnsi="Lucida Grande" w:cs="Lucida Grande"/>
      <w:sz w:val="24"/>
      <w:szCs w:val="24"/>
      <w14:cntxtAlts/>
    </w:rPr>
  </w:style>
  <w:style w:type="paragraph" w:styleId="Title">
    <w:name w:val="Title"/>
    <w:basedOn w:val="Normal"/>
    <w:next w:val="Normal"/>
    <w:link w:val="TitleChar"/>
    <w:uiPriority w:val="10"/>
    <w:qFormat/>
    <w:rsid w:val="00775580"/>
    <w:pPr>
      <w:spacing w:after="0" w:line="240" w:lineRule="auto"/>
      <w:contextualSpacing/>
    </w:pPr>
    <w:rPr>
      <w:rFonts w:asciiTheme="majorHAnsi" w:eastAsiaTheme="majorEastAsia" w:hAnsiTheme="majorHAnsi" w:cstheme="majorBidi"/>
      <w:spacing w:val="-10"/>
      <w:kern w:val="28"/>
      <w:sz w:val="40"/>
      <w:szCs w:val="40"/>
    </w:rPr>
  </w:style>
  <w:style w:type="character" w:customStyle="1" w:styleId="TitleChar">
    <w:name w:val="Title Char"/>
    <w:basedOn w:val="DefaultParagraphFont"/>
    <w:link w:val="Title"/>
    <w:uiPriority w:val="10"/>
    <w:rsid w:val="00775580"/>
    <w:rPr>
      <w:rFonts w:asciiTheme="majorHAnsi" w:eastAsiaTheme="majorEastAsia" w:hAnsiTheme="majorHAnsi" w:cstheme="majorBidi"/>
      <w:spacing w:val="-10"/>
      <w:kern w:val="28"/>
      <w:sz w:val="40"/>
      <w:szCs w:val="40"/>
      <w14:cntxtAlts/>
    </w:rPr>
  </w:style>
  <w:style w:type="table" w:customStyle="1" w:styleId="TableGrid1">
    <w:name w:val="Table Grid1"/>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75580"/>
    <w:pPr>
      <w:spacing w:after="0" w:line="240" w:lineRule="auto"/>
    </w:pPr>
  </w:style>
  <w:style w:type="character" w:styleId="Emphasis">
    <w:name w:val="Emphasis"/>
    <w:basedOn w:val="DefaultParagraphFont"/>
    <w:uiPriority w:val="20"/>
    <w:qFormat/>
    <w:rsid w:val="00775580"/>
    <w:rPr>
      <w:i/>
      <w:iCs/>
    </w:rPr>
  </w:style>
  <w:style w:type="table" w:customStyle="1" w:styleId="TableGrid7">
    <w:name w:val="Table Grid7"/>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775580"/>
  </w:style>
  <w:style w:type="character" w:styleId="Hyperlink">
    <w:name w:val="Hyperlink"/>
    <w:basedOn w:val="DefaultParagraphFont"/>
    <w:uiPriority w:val="99"/>
    <w:unhideWhenUsed/>
    <w:rsid w:val="00775580"/>
    <w:rPr>
      <w:color w:val="0000FF" w:themeColor="hyperlink"/>
      <w:u w:val="single"/>
    </w:rPr>
  </w:style>
  <w:style w:type="table" w:customStyle="1" w:styleId="TableGrid2">
    <w:name w:val="Table Grid2"/>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75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1Footnote">
    <w:name w:val="A1 Footnote"/>
    <w:basedOn w:val="Normal"/>
    <w:autoRedefine/>
    <w:rsid w:val="0052730F"/>
    <w:pPr>
      <w:framePr w:w="9556" w:wrap="notBeside" w:hAnchor="margin" w:x="1" w:yAlign="bottom" w:anchorLock="1"/>
      <w:widowControl w:val="0"/>
      <w:spacing w:before="240" w:after="120" w:line="240" w:lineRule="auto"/>
      <w:ind w:right="-36"/>
      <w:contextualSpacing/>
      <w:jc w:val="both"/>
    </w:pPr>
    <w:rPr>
      <w:rFonts w:ascii="Times New Roman" w:eastAsia="Times New Roman" w:hAnsi="Times New Roman" w:cs="Times New Roman"/>
      <w:sz w:val="24"/>
      <w:szCs w:val="24"/>
      <w:lang w:eastAsia="en-GB"/>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143432">
      <w:bodyDiv w:val="1"/>
      <w:marLeft w:val="0"/>
      <w:marRight w:val="0"/>
      <w:marTop w:val="0"/>
      <w:marBottom w:val="0"/>
      <w:divBdr>
        <w:top w:val="none" w:sz="0" w:space="0" w:color="auto"/>
        <w:left w:val="none" w:sz="0" w:space="0" w:color="auto"/>
        <w:bottom w:val="none" w:sz="0" w:space="0" w:color="auto"/>
        <w:right w:val="none" w:sz="0" w:space="0" w:color="auto"/>
      </w:divBdr>
    </w:div>
    <w:div w:id="754594464">
      <w:bodyDiv w:val="1"/>
      <w:marLeft w:val="0"/>
      <w:marRight w:val="0"/>
      <w:marTop w:val="0"/>
      <w:marBottom w:val="0"/>
      <w:divBdr>
        <w:top w:val="none" w:sz="0" w:space="0" w:color="auto"/>
        <w:left w:val="none" w:sz="0" w:space="0" w:color="auto"/>
        <w:bottom w:val="none" w:sz="0" w:space="0" w:color="auto"/>
        <w:right w:val="none" w:sz="0" w:space="0" w:color="auto"/>
      </w:divBdr>
      <w:divsChild>
        <w:div w:id="1041856601">
          <w:marLeft w:val="0"/>
          <w:marRight w:val="0"/>
          <w:marTop w:val="0"/>
          <w:marBottom w:val="0"/>
          <w:divBdr>
            <w:top w:val="none" w:sz="0" w:space="0" w:color="auto"/>
            <w:left w:val="none" w:sz="0" w:space="0" w:color="auto"/>
            <w:bottom w:val="none" w:sz="0" w:space="0" w:color="auto"/>
            <w:right w:val="none" w:sz="0" w:space="0" w:color="auto"/>
          </w:divBdr>
          <w:divsChild>
            <w:div w:id="19539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oleObject" Target="embeddings/oleObject2.bin"/><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margo.barker@shu.ac.uk" TargetMode="External"/><Relationship Id="rId8" Type="http://schemas.openxmlformats.org/officeDocument/2006/relationships/image" Target="media/image1.emf"/><Relationship Id="rId9" Type="http://schemas.openxmlformats.org/officeDocument/2006/relationships/oleObject" Target="embeddings/oleObject1.bin"/><Relationship Id="rId10"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8EF10-ECDC-0649-AF03-0B2C5D099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32148</Words>
  <Characters>183245</Characters>
  <Application>Microsoft Macintosh Word</Application>
  <DocSecurity>0</DocSecurity>
  <Lines>1527</Lines>
  <Paragraphs>429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Mallinson</dc:creator>
  <cp:lastModifiedBy>Margo Barker</cp:lastModifiedBy>
  <cp:revision>2</cp:revision>
  <dcterms:created xsi:type="dcterms:W3CDTF">2017-12-19T05:52:00Z</dcterms:created>
  <dcterms:modified xsi:type="dcterms:W3CDTF">2017-12-19T05:52:00Z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ljmallinson1@sheffield.ac.uk@www.mendeley.com</vt:lpwstr>
  </property>
  <property fmtid="{D5CDD505-2E9C-101B-9397-08002B2CF9AE}" pid="4" name="Mendeley Citation Style_1">
    <vt:lpwstr>http://www.zotero.org/styles/food-security</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http://www.zotero.org/styles/food-security</vt:lpwstr>
  </property>
  <property fmtid="{D5CDD505-2E9C-101B-9397-08002B2CF9AE}" pid="14" name="Mendeley Recent Style Name 4_1">
    <vt:lpwstr>Food Security</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http://www.zotero.org/styles/royal-society-open-science</vt:lpwstr>
  </property>
  <property fmtid="{D5CDD505-2E9C-101B-9397-08002B2CF9AE}" pid="22" name="Mendeley Recent Style Name 8_1">
    <vt:lpwstr>Royal Society Open Science</vt:lpwstr>
  </property>
  <property fmtid="{D5CDD505-2E9C-101B-9397-08002B2CF9AE}" pid="23" name="Mendeley Recent Style Id 9_1">
    <vt:lpwstr>http://www.zotero.org/styles/science</vt:lpwstr>
  </property>
  <property fmtid="{D5CDD505-2E9C-101B-9397-08002B2CF9AE}" pid="24" name="Mendeley Recent Style Name 9_1">
    <vt:lpwstr>Science</vt:lpwstr>
  </property>
</Properties>
</file>