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CCC" w:rsidRDefault="00737CCC" w:rsidP="00737CCC">
      <w:pPr>
        <w:pStyle w:val="CommentText"/>
        <w:jc w:val="center"/>
        <w:rPr>
          <w:rFonts w:ascii="Times New Roman" w:hAnsi="Times New Roman" w:cs="Times New Roman"/>
        </w:rPr>
      </w:pPr>
      <w:bookmarkStart w:id="0" w:name="_Hlk18918998"/>
      <w:bookmarkStart w:id="1" w:name="_GoBack"/>
      <w:r>
        <w:rPr>
          <w:rFonts w:ascii="Times New Roman" w:hAnsi="Times New Roman" w:cs="Times New Roman"/>
          <w:b/>
        </w:rPr>
        <w:t>A model-based exploration of farm-household livelihood and nutrition indicators to guide nutrition-sensitive agriculture interventions</w:t>
      </w:r>
    </w:p>
    <w:bookmarkEnd w:id="0"/>
    <w:p w:rsidR="00737CCC" w:rsidRDefault="00737CCC" w:rsidP="00737CCC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Natalia Estrada Carmona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1,2*</w:t>
      </w:r>
      <w:r>
        <w:rPr>
          <w:rFonts w:ascii="Times New Roman" w:hAnsi="Times New Roman" w:cs="Times New Roman"/>
          <w:sz w:val="20"/>
          <w:szCs w:val="20"/>
        </w:rPr>
        <w:t>, Jessica E. Raneri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2,4</w:t>
      </w:r>
      <w:r>
        <w:rPr>
          <w:rFonts w:ascii="Times New Roman" w:hAnsi="Times New Roman" w:cs="Times New Roman"/>
          <w:sz w:val="20"/>
          <w:szCs w:val="20"/>
        </w:rPr>
        <w:t>, Stephanie Alvarez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Carl Timler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Shantonu Abe Chatterjee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Lenora Ditzler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Gina Kennedy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Roseline Remans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Inge Brouwer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Karin Borgonjen-van den Berg</w:t>
      </w:r>
      <w:r>
        <w:rPr>
          <w:rFonts w:ascii="Times New Roman" w:hAnsi="Times New Roman" w:cs="Times New Roman"/>
          <w:color w:val="1F497D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Elise F. Talsma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Jeroen C.J. Groot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1,5,6</w:t>
      </w:r>
    </w:p>
    <w:p w:rsidR="00737CCC" w:rsidRDefault="00737CCC" w:rsidP="00737CC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737CCC" w:rsidRDefault="00737CCC" w:rsidP="00737C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Affiliations: 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Farming Systems Ecology Group, Wageningen University and Research, 6700AK Wageningen, The Netherlands.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fr-FR"/>
        </w:rPr>
        <w:t>2</w:t>
      </w:r>
      <w:r>
        <w:rPr>
          <w:rFonts w:ascii="Times New Roman" w:hAnsi="Times New Roman" w:cs="Times New Roman"/>
          <w:sz w:val="20"/>
          <w:szCs w:val="20"/>
          <w:lang w:val="fr-FR"/>
        </w:rPr>
        <w:t xml:space="preserve"> Bioversity International, Parc Scientifique </w:t>
      </w:r>
      <w:proofErr w:type="spellStart"/>
      <w:r>
        <w:rPr>
          <w:rFonts w:ascii="Times New Roman" w:hAnsi="Times New Roman" w:cs="Times New Roman"/>
          <w:sz w:val="20"/>
          <w:szCs w:val="20"/>
          <w:lang w:val="fr-FR"/>
        </w:rPr>
        <w:t>Agropolis</w:t>
      </w:r>
      <w:proofErr w:type="spellEnd"/>
      <w:r>
        <w:rPr>
          <w:rFonts w:ascii="Times New Roman" w:hAnsi="Times New Roman" w:cs="Times New Roman"/>
          <w:sz w:val="20"/>
          <w:szCs w:val="20"/>
          <w:lang w:val="fr-FR"/>
        </w:rPr>
        <w:t xml:space="preserve"> II, 1990 Boulevard de la </w:t>
      </w:r>
      <w:proofErr w:type="spellStart"/>
      <w:r>
        <w:rPr>
          <w:rFonts w:ascii="Times New Roman" w:hAnsi="Times New Roman" w:cs="Times New Roman"/>
          <w:sz w:val="20"/>
          <w:szCs w:val="20"/>
          <w:lang w:val="fr-FR"/>
        </w:rPr>
        <w:t>Lironde</w:t>
      </w:r>
      <w:proofErr w:type="spellEnd"/>
      <w:r>
        <w:rPr>
          <w:rFonts w:ascii="Times New Roman" w:hAnsi="Times New Roman" w:cs="Times New Roman"/>
          <w:sz w:val="20"/>
          <w:szCs w:val="20"/>
          <w:lang w:val="fr-FR"/>
        </w:rPr>
        <w:t>, 34397 Montpellier, France.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Division of Human Nutrition and Health, Wageningen University and Research, 67000AA Wageningen, The Netherlands. 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>
        <w:rPr>
          <w:rFonts w:ascii="Times New Roman" w:hAnsi="Times New Roman" w:cs="Times New Roman"/>
          <w:sz w:val="20"/>
          <w:szCs w:val="20"/>
        </w:rPr>
        <w:t>Department of Food Safety and Food Quality, Faculty of Bioscience Engineering, Ghent University, 9000 Ghent, Belgium.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 xml:space="preserve">Bioversity International, </w:t>
      </w:r>
      <w:proofErr w:type="spellStart"/>
      <w:r>
        <w:rPr>
          <w:rFonts w:ascii="Times New Roman" w:hAnsi="Times New Roman" w:cs="Times New Roman"/>
          <w:sz w:val="20"/>
          <w:szCs w:val="20"/>
        </w:rPr>
        <w:t>Viale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Tre </w:t>
      </w:r>
      <w:proofErr w:type="spellStart"/>
      <w:r>
        <w:rPr>
          <w:rFonts w:ascii="Times New Roman" w:hAnsi="Times New Roman" w:cs="Times New Roman"/>
          <w:sz w:val="20"/>
          <w:szCs w:val="20"/>
        </w:rPr>
        <w:t>Denari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472/a, 00054 </w:t>
      </w:r>
      <w:proofErr w:type="spellStart"/>
      <w:r>
        <w:rPr>
          <w:rFonts w:ascii="Times New Roman" w:hAnsi="Times New Roman" w:cs="Times New Roman"/>
          <w:sz w:val="20"/>
          <w:szCs w:val="20"/>
        </w:rPr>
        <w:t>Maccarese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(Fiumicino), Italy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6 </w:t>
      </w:r>
      <w:r>
        <w:rPr>
          <w:rFonts w:ascii="Times New Roman" w:hAnsi="Times New Roman" w:cs="Times New Roman"/>
          <w:sz w:val="20"/>
          <w:szCs w:val="20"/>
        </w:rPr>
        <w:t xml:space="preserve">International Maize and Wheat Improvement </w:t>
      </w:r>
      <w:proofErr w:type="spellStart"/>
      <w:r>
        <w:rPr>
          <w:rFonts w:ascii="Times New Roman" w:hAnsi="Times New Roman" w:cs="Times New Roman"/>
          <w:sz w:val="20"/>
          <w:szCs w:val="20"/>
        </w:rPr>
        <w:t>Center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(CIMMYT), Carretera México-Veracruz, Km. 45,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Batán</w:t>
      </w:r>
      <w:proofErr w:type="spellEnd"/>
      <w:r>
        <w:rPr>
          <w:rFonts w:ascii="Times New Roman" w:hAnsi="Times New Roman" w:cs="Times New Roman"/>
          <w:sz w:val="20"/>
          <w:szCs w:val="20"/>
        </w:rPr>
        <w:t>, 56237 Texcoco, México</w:t>
      </w:r>
    </w:p>
    <w:p w:rsidR="00737CCC" w:rsidRDefault="00737CCC" w:rsidP="00737CCC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</w:p>
    <w:p w:rsidR="00737CCC" w:rsidRDefault="00737CCC" w:rsidP="00737C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Corresponding author email: </w:t>
      </w:r>
      <w:hyperlink r:id="rId5" w:history="1">
        <w:r>
          <w:rPr>
            <w:rStyle w:val="Hyperlink"/>
            <w:sz w:val="20"/>
            <w:szCs w:val="20"/>
          </w:rPr>
          <w:t>n.e.carmona@cgiar.org</w:t>
        </w:r>
      </w:hyperlink>
      <w:r>
        <w:rPr>
          <w:rFonts w:ascii="Times New Roman" w:hAnsi="Times New Roman" w:cs="Times New Roman"/>
          <w:sz w:val="20"/>
          <w:szCs w:val="20"/>
        </w:rPr>
        <w:t>; phone: +33(0)4 27 04 04 49; ORCID ID 0000-0003-4329-5470</w:t>
      </w:r>
    </w:p>
    <w:p w:rsidR="00737CCC" w:rsidRDefault="00737CCC" w:rsidP="00737C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7FA6" w:rsidRPr="00DB54CD" w:rsidRDefault="00887FA6" w:rsidP="00887FA6">
      <w:pPr>
        <w:rPr>
          <w:rFonts w:ascii="Times New Roman" w:eastAsia="Times New Roman" w:hAnsi="Times New Roman" w:cs="Times New Roman"/>
          <w:sz w:val="20"/>
          <w:szCs w:val="20"/>
        </w:rPr>
      </w:pPr>
      <w:r w:rsidRPr="00822278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</w:p>
    <w:p w:rsidR="00887FA6" w:rsidRPr="00D8393B" w:rsidRDefault="00887FA6" w:rsidP="00887FA6">
      <w:pPr>
        <w:pStyle w:val="Heading1"/>
        <w:rPr>
          <w:sz w:val="20"/>
          <w:szCs w:val="20"/>
        </w:rPr>
      </w:pPr>
      <w:r w:rsidRPr="00D8393B">
        <w:rPr>
          <w:sz w:val="20"/>
          <w:szCs w:val="20"/>
        </w:rPr>
        <w:t xml:space="preserve">Appendix 3. Modelled diet in Doan </w:t>
      </w:r>
      <w:proofErr w:type="spellStart"/>
      <w:r w:rsidRPr="00D8393B">
        <w:rPr>
          <w:sz w:val="20"/>
          <w:szCs w:val="20"/>
        </w:rPr>
        <w:t>Ket</w:t>
      </w:r>
      <w:proofErr w:type="spellEnd"/>
      <w:r w:rsidRPr="00D8393B">
        <w:rPr>
          <w:sz w:val="20"/>
          <w:szCs w:val="20"/>
        </w:rPr>
        <w:t xml:space="preserve"> Baseline farm</w:t>
      </w:r>
    </w:p>
    <w:p w:rsidR="00887FA6" w:rsidRPr="00D8393B" w:rsidRDefault="00887FA6" w:rsidP="00887FA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FF0000"/>
          <w:sz w:val="20"/>
          <w:szCs w:val="20"/>
        </w:rPr>
      </w:pPr>
      <w:r w:rsidRPr="00D8393B">
        <w:rPr>
          <w:rFonts w:ascii="Times New Roman" w:hAnsi="Times New Roman" w:cs="Times New Roman"/>
          <w:sz w:val="20"/>
          <w:szCs w:val="20"/>
        </w:rPr>
        <w:t xml:space="preserve">The modelled diet in the Baseline farm from the 7-day dietary recall and extrapolated to a yearly consumption follows a similar pattern in the region from the general nutrition survey 2009-2010 (NIN 2012; </w:t>
      </w:r>
      <w:r w:rsidRPr="00D8393B">
        <w:rPr>
          <w:rFonts w:ascii="Times New Roman" w:hAnsi="Times New Roman" w:cs="Times New Roman"/>
          <w:b/>
          <w:bCs/>
          <w:iCs/>
          <w:sz w:val="20"/>
          <w:szCs w:val="20"/>
        </w:rPr>
        <w:t>Fig. A</w:t>
      </w:r>
      <w:r w:rsidRPr="00D8393B">
        <w:rPr>
          <w:rFonts w:ascii="Times New Roman" w:hAnsi="Times New Roman" w:cs="Times New Roman"/>
          <w:b/>
          <w:sz w:val="20"/>
          <w:szCs w:val="20"/>
        </w:rPr>
        <w:t>3</w:t>
      </w:r>
      <w:r w:rsidRPr="00D8393B">
        <w:rPr>
          <w:rFonts w:ascii="Times New Roman" w:hAnsi="Times New Roman" w:cs="Times New Roman"/>
          <w:sz w:val="20"/>
          <w:szCs w:val="20"/>
        </w:rPr>
        <w:t>).  The modelled diet potentially underestimated the consumption of dark green leafy vegetables, eggs and nuts, and seeds whereas potentially overestimated the consumption of the other food groups.</w:t>
      </w:r>
      <w:r w:rsidRPr="00D8393B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p w:rsidR="00887FA6" w:rsidRPr="004B0064" w:rsidRDefault="00887FA6" w:rsidP="00887FA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363D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29A106BD" wp14:editId="218C485E">
            <wp:extent cx="5943612" cy="41148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pendixII_food group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12" cy="411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FA6" w:rsidRPr="00D8393B" w:rsidRDefault="00887FA6" w:rsidP="00887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4A8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Fig. </w:t>
      </w:r>
      <w:r w:rsidRPr="008D7D1A">
        <w:rPr>
          <w:rFonts w:ascii="Times New Roman" w:hAnsi="Times New Roman" w:cs="Times New Roman"/>
          <w:b/>
          <w:bCs/>
          <w:iCs/>
          <w:sz w:val="20"/>
          <w:szCs w:val="20"/>
        </w:rPr>
        <w:t>A</w:t>
      </w:r>
      <w:r w:rsidRPr="008D7D1A">
        <w:rPr>
          <w:rFonts w:ascii="Times New Roman" w:hAnsi="Times New Roman" w:cs="Times New Roman"/>
          <w:b/>
          <w:sz w:val="20"/>
          <w:szCs w:val="20"/>
        </w:rPr>
        <w:t>3</w:t>
      </w:r>
      <w:r w:rsidRPr="008D7D1A">
        <w:rPr>
          <w:rFonts w:ascii="Times New Roman" w:hAnsi="Times New Roman" w:cs="Times New Roman"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>Quantity</w:t>
      </w:r>
      <w:r w:rsidRPr="00F86737">
        <w:rPr>
          <w:rFonts w:ascii="Times New Roman" w:hAnsi="Times New Roman" w:cs="Times New Roman"/>
          <w:iCs/>
          <w:sz w:val="20"/>
          <w:szCs w:val="20"/>
        </w:rPr>
        <w:t xml:space="preserve"> of food set aside for household (HH) consumption per food group from both on- and </w:t>
      </w:r>
      <w:r w:rsidRPr="00F86737">
        <w:rPr>
          <w:rFonts w:ascii="Times New Roman" w:hAnsi="Times New Roman" w:cs="Times New Roman"/>
          <w:iCs/>
          <w:noProof/>
          <w:sz w:val="20"/>
          <w:szCs w:val="20"/>
        </w:rPr>
        <w:t>off-farm</w:t>
      </w:r>
      <w:r w:rsidRPr="00822278">
        <w:rPr>
          <w:rFonts w:ascii="Times New Roman" w:hAnsi="Times New Roman" w:cs="Times New Roman"/>
          <w:iCs/>
          <w:sz w:val="20"/>
          <w:szCs w:val="20"/>
        </w:rPr>
        <w:t xml:space="preserve"> sources. Error bars indicate standard error for each group of alternative farm configurations </w:t>
      </w:r>
      <w:r w:rsidRPr="00DB54CD">
        <w:rPr>
          <w:rFonts w:ascii="Times New Roman" w:hAnsi="Times New Roman" w:cs="Times New Roman"/>
          <w:sz w:val="20"/>
          <w:szCs w:val="20"/>
        </w:rPr>
        <w:t xml:space="preserve">given desirable (+) or undesirable (–) Nutrition (N) or Livelihoods (L) outcomes. </w:t>
      </w:r>
      <w:r w:rsidRPr="00D8393B">
        <w:rPr>
          <w:rFonts w:ascii="Times New Roman" w:hAnsi="Times New Roman" w:cs="Times New Roman"/>
          <w:iCs/>
          <w:sz w:val="20"/>
          <w:szCs w:val="20"/>
        </w:rPr>
        <w:t xml:space="preserve">Black lines indicate the average (maximum and minimum) values consumed in the North Central area and the </w:t>
      </w:r>
      <w:r w:rsidRPr="00D8393B">
        <w:rPr>
          <w:rFonts w:ascii="Times New Roman" w:hAnsi="Times New Roman" w:cs="Times New Roman"/>
          <w:iCs/>
          <w:noProof/>
          <w:sz w:val="20"/>
          <w:szCs w:val="20"/>
        </w:rPr>
        <w:t>central</w:t>
      </w:r>
      <w:r w:rsidRPr="00D8393B">
        <w:rPr>
          <w:rFonts w:ascii="Times New Roman" w:hAnsi="Times New Roman" w:cs="Times New Roman"/>
          <w:iCs/>
          <w:sz w:val="20"/>
          <w:szCs w:val="20"/>
        </w:rPr>
        <w:t xml:space="preserve"> coastal region of Vietnam in 2009-2010 (NIN 2012). </w:t>
      </w:r>
      <w:r w:rsidRPr="00D8393B">
        <w:rPr>
          <w:rFonts w:ascii="Times New Roman" w:hAnsi="Times New Roman" w:cs="Times New Roman"/>
          <w:iCs/>
          <w:noProof/>
          <w:sz w:val="20"/>
          <w:szCs w:val="20"/>
        </w:rPr>
        <w:t>Bf</w:t>
      </w:r>
      <w:r w:rsidRPr="00D8393B">
        <w:rPr>
          <w:rFonts w:ascii="Times New Roman" w:hAnsi="Times New Roman" w:cs="Times New Roman"/>
          <w:iCs/>
          <w:sz w:val="20"/>
          <w:szCs w:val="20"/>
        </w:rPr>
        <w:t xml:space="preserve">: Baseline farm. </w:t>
      </w:r>
    </w:p>
    <w:p w:rsidR="00887FA6" w:rsidRPr="00D8393B" w:rsidRDefault="00887FA6" w:rsidP="00887FA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:rsidR="00887FA6" w:rsidRPr="00D8393B" w:rsidRDefault="00887FA6" w:rsidP="00887FA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D8393B">
        <w:rPr>
          <w:rFonts w:ascii="Times New Roman" w:hAnsi="Times New Roman" w:cs="Times New Roman"/>
          <w:b/>
          <w:sz w:val="20"/>
          <w:szCs w:val="20"/>
        </w:rPr>
        <w:t>References Appendix 3</w:t>
      </w:r>
      <w:r w:rsidRPr="00D8393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87FA6" w:rsidRPr="00DF363D" w:rsidRDefault="00887FA6" w:rsidP="00887FA6">
      <w:pPr>
        <w:widowControl w:val="0"/>
        <w:autoSpaceDE w:val="0"/>
        <w:autoSpaceDN w:val="0"/>
        <w:adjustRightInd w:val="0"/>
        <w:spacing w:after="0" w:line="240" w:lineRule="auto"/>
        <w:ind w:left="432" w:hanging="432"/>
        <w:rPr>
          <w:rFonts w:ascii="Times New Roman" w:hAnsi="Times New Roman" w:cs="Times New Roman"/>
          <w:noProof/>
          <w:sz w:val="20"/>
          <w:szCs w:val="20"/>
        </w:rPr>
      </w:pPr>
      <w:r w:rsidRPr="00DF363D">
        <w:rPr>
          <w:rFonts w:ascii="Times New Roman" w:hAnsi="Times New Roman" w:cs="Times New Roman"/>
          <w:noProof/>
          <w:sz w:val="20"/>
          <w:szCs w:val="20"/>
        </w:rPr>
        <w:t>NIN (2012). Vietnam General Nutrition Survey 2009-2010. General Statistics Office (Viet Nam), Ministry of Health (Vietnam), National Institute of Nutrition (Vietnam), United Nations Children's Fund (UNICEF). https://www.unicef.org/vietnam/resources_21138.html. Accessed 10 January 2018</w:t>
      </w:r>
    </w:p>
    <w:p w:rsidR="00887FA6" w:rsidRPr="00DF363D" w:rsidRDefault="00887FA6" w:rsidP="00887FA6">
      <w:pPr>
        <w:widowControl w:val="0"/>
        <w:autoSpaceDE w:val="0"/>
        <w:autoSpaceDN w:val="0"/>
        <w:adjustRightInd w:val="0"/>
        <w:spacing w:after="0" w:line="240" w:lineRule="auto"/>
        <w:ind w:left="432" w:hanging="432"/>
        <w:rPr>
          <w:rFonts w:ascii="Times New Roman" w:hAnsi="Times New Roman" w:cs="Times New Roman"/>
          <w:noProof/>
          <w:sz w:val="20"/>
          <w:szCs w:val="20"/>
        </w:rPr>
      </w:pPr>
    </w:p>
    <w:bookmarkEnd w:id="1"/>
    <w:p w:rsidR="00A2376B" w:rsidRDefault="00A2376B"/>
    <w:sectPr w:rsidR="00A2376B" w:rsidSect="00887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A6"/>
    <w:rsid w:val="0071285E"/>
    <w:rsid w:val="00737CCC"/>
    <w:rsid w:val="00740E90"/>
    <w:rsid w:val="00887FA6"/>
    <w:rsid w:val="008E52FE"/>
    <w:rsid w:val="00A2376B"/>
    <w:rsid w:val="00D4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56894-D437-4BE3-84B6-EA62B27C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FA6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887F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A6"/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paragraph" w:styleId="ListParagraph">
    <w:name w:val="List Paragraph"/>
    <w:basedOn w:val="Normal"/>
    <w:uiPriority w:val="34"/>
    <w:qFormat/>
    <w:rsid w:val="00887FA6"/>
    <w:pPr>
      <w:ind w:left="720"/>
      <w:contextualSpacing/>
    </w:pPr>
  </w:style>
  <w:style w:type="table" w:styleId="TableGrid">
    <w:name w:val="Table Grid"/>
    <w:basedOn w:val="TableNormal"/>
    <w:uiPriority w:val="39"/>
    <w:rsid w:val="0088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87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7FA6"/>
    <w:rPr>
      <w:sz w:val="20"/>
      <w:szCs w:val="20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87F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7FA6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87FA6"/>
  </w:style>
  <w:style w:type="paragraph" w:styleId="BalloonText">
    <w:name w:val="Balloon Text"/>
    <w:basedOn w:val="Normal"/>
    <w:link w:val="BalloonTextChar"/>
    <w:uiPriority w:val="99"/>
    <w:semiHidden/>
    <w:unhideWhenUsed/>
    <w:rsid w:val="00887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FA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n.e.carmona@cgiar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E546D-0115-423F-871E-C545B13B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Estrada Carmona, Natalia (Bioversity-France)</dc:creator>
  <cp:keywords/>
  <dc:description/>
  <cp:lastModifiedBy>Estrada Carmona, Natalia (Bioversity-France)</cp:lastModifiedBy>
  <cp:revision>5</cp:revision>
  <dcterms:created xsi:type="dcterms:W3CDTF">2019-10-09T22:47:00Z</dcterms:created>
  <dcterms:modified xsi:type="dcterms:W3CDTF">2019-10-10T09:57:00Z</dcterms:modified>
</cp:coreProperties>
</file>