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213" w:rsidRPr="00D443E7" w:rsidRDefault="003D5108" w:rsidP="00D443E7">
      <w:pPr>
        <w:pStyle w:val="Titre2"/>
        <w:rPr>
          <w:rFonts w:ascii="Times New Roman" w:hAnsi="Times New Roman" w:cs="Times New Roman"/>
          <w:sz w:val="22"/>
          <w:lang w:val="en-GB"/>
        </w:rPr>
      </w:pPr>
      <w:r w:rsidRPr="00D443E7">
        <w:rPr>
          <w:rFonts w:ascii="Times New Roman" w:hAnsi="Times New Roman" w:cs="Times New Roman"/>
          <w:lang w:val="en-GB"/>
        </w:rPr>
        <w:t>S</w:t>
      </w:r>
      <w:r w:rsidR="005F4213" w:rsidRPr="00D443E7">
        <w:rPr>
          <w:rFonts w:ascii="Times New Roman" w:hAnsi="Times New Roman" w:cs="Times New Roman"/>
          <w:lang w:val="en-GB"/>
        </w:rPr>
        <w:t>upplementary material</w:t>
      </w:r>
      <w:r w:rsidR="005F4213" w:rsidRPr="00D443E7">
        <w:rPr>
          <w:rFonts w:ascii="Times New Roman" w:hAnsi="Times New Roman" w:cs="Times New Roman"/>
          <w:sz w:val="22"/>
          <w:lang w:val="en-GB"/>
        </w:rPr>
        <w:t xml:space="preserve"> </w:t>
      </w:r>
    </w:p>
    <w:p w:rsidR="005F4213" w:rsidRPr="00D443E7" w:rsidRDefault="00897FD6" w:rsidP="00D443E7">
      <w:pPr>
        <w:pStyle w:val="Titre2"/>
        <w:rPr>
          <w:rFonts w:ascii="Times New Roman" w:hAnsi="Times New Roman" w:cs="Times New Roman"/>
          <w:sz w:val="22"/>
          <w:lang w:val="en-GB"/>
        </w:rPr>
      </w:pPr>
      <w:r w:rsidRPr="00D443E7">
        <w:rPr>
          <w:rFonts w:ascii="Times New Roman" w:hAnsi="Times New Roman" w:cs="Times New Roman"/>
          <w:sz w:val="22"/>
          <w:lang w:val="en-GB"/>
        </w:rPr>
        <w:t xml:space="preserve">S1. </w:t>
      </w:r>
      <w:r w:rsidR="005F4213" w:rsidRPr="00D443E7">
        <w:rPr>
          <w:rFonts w:ascii="Times New Roman" w:hAnsi="Times New Roman" w:cs="Times New Roman"/>
          <w:sz w:val="22"/>
          <w:lang w:val="en-GB"/>
        </w:rPr>
        <w:t>Community-level changes</w:t>
      </w:r>
    </w:p>
    <w:p w:rsidR="005F4213" w:rsidRPr="00D443E7" w:rsidRDefault="005F4213" w:rsidP="00D443E7">
      <w:pPr>
        <w:pStyle w:val="Titre3"/>
        <w:rPr>
          <w:rFonts w:ascii="Times New Roman" w:hAnsi="Times New Roman" w:cs="Times New Roman"/>
          <w:lang w:val="en-GB"/>
        </w:rPr>
      </w:pPr>
      <w:r w:rsidRPr="00D443E7">
        <w:rPr>
          <w:rFonts w:ascii="Times New Roman" w:hAnsi="Times New Roman" w:cs="Times New Roman"/>
          <w:lang w:val="en-GB"/>
        </w:rPr>
        <w:t>Pueblo Libre</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The recent history of Pueblo Libre is closely linked to oil palm. In 1992, the UNODC programme created COCEPU, the central committee of Ucayali palm growers, a cooperative of 270 farmers, to replace coca cultivation with oil palm. At the time, the 50 households in the community were growing subsistence crops such as banana and rice: they cut down forest to reach the 5 ha required to enter the UN project, welcoming a crop that could be transformed into an industrial product with higher value. In the beginning, villagers organised </w:t>
      </w:r>
      <w:r w:rsidRPr="00D443E7">
        <w:rPr>
          <w:rFonts w:ascii="Times New Roman" w:hAnsi="Times New Roman" w:cs="Times New Roman"/>
          <w:i/>
          <w:lang w:val="en-GB"/>
        </w:rPr>
        <w:t>mingas</w:t>
      </w:r>
      <w:r w:rsidRPr="00D443E7">
        <w:rPr>
          <w:rFonts w:ascii="Times New Roman" w:hAnsi="Times New Roman" w:cs="Times New Roman"/>
          <w:lang w:val="en-GB"/>
        </w:rPr>
        <w:t xml:space="preserve"> (traditional communal work groups) to manage homemade crude oil production collectively. The construction of the Oleaginosas Amazónicas (OLAMSA) extraction plant in 1996, owned by COCEPU, with a capacity to handle 6 tons/fresh fruit bunches/hour  </w:t>
      </w:r>
      <w:r w:rsidRPr="00D443E7">
        <w:rPr>
          <w:rFonts w:ascii="Times New Roman" w:hAnsi="Times New Roman" w:cs="Times New Roman"/>
          <w:lang w:val="en-GB"/>
        </w:rPr>
        <w:fldChar w:fldCharType="begin"/>
      </w:r>
      <w:r w:rsidRPr="00D443E7">
        <w:rPr>
          <w:rFonts w:ascii="Times New Roman" w:hAnsi="Times New Roman" w:cs="Times New Roman"/>
          <w:lang w:val="en-GB"/>
        </w:rPr>
        <w:instrText xml:space="preserve"> ADDIN ZOTERO_ITEM CSL_CITATION {"citationID":"amt9n3ltsl","properties":{"formattedCitation":"(Banco Central de Reserva del Per\\uc0\\u250{}, 2012)","plainCitation":"(Banco Central de Reserva del Perú, 2012)","noteIndex":0},"citationItems":[{"id":"vX6M7uoQ/UIvKxyGi","uris":["http://zotero.org/users/local/OA7AdSGL/items/ZDZTL3TY"],"uri":["http://zotero.org/users/local/OA7AdSGL/items/ZDZTL3TY"],"itemData":{"id":15240,"type":"report","title":"Informe Económico y Social Ucayali","collection-title":"Encuentro Económico","publisher":"Banco Central de Reserva del Perú (BCRP)","publisher-place":"Perú","page":"147","event-place":"Perú","author":[{"family":"Banco Central de Reserva del Perú","given":""}],"issued":{"date-parts":[["2012"]]}}}],"schema":"https://github.com/citation-style-language/schema/raw/master/csl-citation.json"} </w:instrText>
      </w:r>
      <w:r w:rsidRPr="00D443E7">
        <w:rPr>
          <w:rFonts w:ascii="Times New Roman" w:hAnsi="Times New Roman" w:cs="Times New Roman"/>
          <w:lang w:val="en-GB"/>
        </w:rPr>
        <w:fldChar w:fldCharType="separate"/>
      </w:r>
      <w:r w:rsidRPr="00D443E7">
        <w:rPr>
          <w:rFonts w:ascii="Times New Roman" w:hAnsi="Times New Roman" w:cs="Times New Roman"/>
          <w:szCs w:val="24"/>
          <w:lang w:val="en-GB"/>
        </w:rPr>
        <w:t>(Banco Central de Reserva del Perú, 2012)</w:t>
      </w:r>
      <w:r w:rsidRPr="00D443E7">
        <w:rPr>
          <w:rFonts w:ascii="Times New Roman" w:hAnsi="Times New Roman" w:cs="Times New Roman"/>
          <w:lang w:val="en-GB"/>
        </w:rPr>
        <w:fldChar w:fldCharType="end"/>
      </w:r>
      <w:r w:rsidRPr="00D443E7">
        <w:rPr>
          <w:rFonts w:ascii="Times New Roman" w:hAnsi="Times New Roman" w:cs="Times New Roman"/>
          <w:lang w:val="en-GB"/>
        </w:rPr>
        <w:t xml:space="preserve">, motivated many to join the association. The high profits made by OLAMSA allowed the company to invest in new extraction plants. In 2015, COCEPU counted about 800 members, managing an area of 6,154 ha of oil palm </w:t>
      </w:r>
      <w:r w:rsidRPr="00D443E7">
        <w:rPr>
          <w:rFonts w:ascii="Times New Roman" w:hAnsi="Times New Roman" w:cs="Times New Roman"/>
          <w:lang w:val="en-GB"/>
        </w:rPr>
        <w:fldChar w:fldCharType="begin"/>
      </w:r>
      <w:r w:rsidRPr="00D443E7">
        <w:rPr>
          <w:rFonts w:ascii="Times New Roman" w:hAnsi="Times New Roman" w:cs="Times New Roman"/>
          <w:lang w:val="en-GB"/>
        </w:rPr>
        <w:instrText xml:space="preserve"> ADDIN ZOTERO_ITEM CSL_CITATION {"citationID":"ipRiag6q","properties":{"formattedCitation":"(Ministerio de Agricultura y Riego, 2016)","plainCitation":"(Ministerio de Agricultura y Riego, 2016)","noteIndex":0},"citationItems":[{"id":"vX6M7uoQ/r0yPJq2g","uris":["http://zotero.org/users/local/OA7AdSGL/items/STU2BFCD"],"uri":["http://zotero.org/users/local/OA7AdSGL/items/STU2BFCD"],"itemData":{"id":15218,"type":"report","title":"Plan Nacional de Desarrollo Sostenible de la Palma Aceitera en el Perú 2016 – 2025.pdf","publisher":"MINAGRI","publisher-place":"Lima, Perú","page":"92","event-place":"Lima, Perú","author":[{"family":"Ministerio de Agricultura y Riego","given":""}],"issued":{"date-parts":[["2016"]]}}}],"schema":"https://github.com/citation-style-language/schema/raw/master/csl-citation.json"} </w:instrText>
      </w:r>
      <w:r w:rsidRPr="00D443E7">
        <w:rPr>
          <w:rFonts w:ascii="Times New Roman" w:hAnsi="Times New Roman" w:cs="Times New Roman"/>
          <w:lang w:val="en-GB"/>
        </w:rPr>
        <w:fldChar w:fldCharType="separate"/>
      </w:r>
      <w:r w:rsidRPr="00D443E7">
        <w:rPr>
          <w:rFonts w:ascii="Times New Roman" w:hAnsi="Times New Roman" w:cs="Times New Roman"/>
          <w:lang w:val="en-GB"/>
        </w:rPr>
        <w:t>(Ministerio de Agricultura y Riego, 2016)</w:t>
      </w:r>
      <w:r w:rsidRPr="00D443E7">
        <w:rPr>
          <w:rFonts w:ascii="Times New Roman" w:hAnsi="Times New Roman" w:cs="Times New Roman"/>
          <w:lang w:val="en-GB"/>
        </w:rPr>
        <w:fldChar w:fldCharType="end"/>
      </w:r>
      <w:r w:rsidRPr="00D443E7">
        <w:rPr>
          <w:rFonts w:ascii="Times New Roman" w:hAnsi="Times New Roman" w:cs="Times New Roman"/>
          <w:lang w:val="en-GB"/>
        </w:rPr>
        <w:t xml:space="preserve">. Associated producers benefit from favourable lending conditions in banks and rural financial institutions. Those who do not belong to an association supply the product to the extraction plant individually. </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Currently, oil palm fruit yields in Pueblo Libre are about 12 ton/ha. Their production cost is about US$70/ha. Farmers see that higher yields can be obtained in recently </w:t>
      </w:r>
      <w:r w:rsidRPr="00D443E7">
        <w:rPr>
          <w:rFonts w:ascii="Times New Roman" w:hAnsi="Times New Roman" w:cs="Times New Roman"/>
          <w:u w:val="single"/>
          <w:lang w:val="en-GB"/>
        </w:rPr>
        <w:t>cut down</w:t>
      </w:r>
      <w:r w:rsidRPr="00D443E7">
        <w:rPr>
          <w:rFonts w:ascii="Times New Roman" w:hAnsi="Times New Roman" w:cs="Times New Roman"/>
          <w:lang w:val="en-GB"/>
        </w:rPr>
        <w:t>? cleared? felled? forests, and also that less fertilizer is required. Kudzu</w:t>
      </w:r>
      <w:r w:rsidRPr="00D443E7">
        <w:rPr>
          <w:rFonts w:ascii="Times New Roman" w:hAnsi="Times New Roman" w:cs="Times New Roman"/>
          <w:i/>
          <w:lang w:val="en-GB"/>
        </w:rPr>
        <w:t xml:space="preserve"> (Pueraria phaseoloides),</w:t>
      </w:r>
      <w:r w:rsidRPr="00D443E7">
        <w:rPr>
          <w:rFonts w:ascii="Times New Roman" w:hAnsi="Times New Roman" w:cs="Times New Roman"/>
          <w:lang w:val="en-GB"/>
        </w:rPr>
        <w:t xml:space="preserve"> is often used as</w:t>
      </w:r>
      <w:r w:rsidRPr="00D443E7">
        <w:rPr>
          <w:rFonts w:ascii="Times New Roman" w:hAnsi="Times New Roman" w:cs="Times New Roman"/>
          <w:i/>
          <w:lang w:val="en-GB"/>
        </w:rPr>
        <w:t xml:space="preserve"> </w:t>
      </w:r>
      <w:r w:rsidRPr="00D443E7">
        <w:rPr>
          <w:rFonts w:ascii="Times New Roman" w:hAnsi="Times New Roman" w:cs="Times New Roman"/>
          <w:lang w:val="en-GB"/>
        </w:rPr>
        <w:t xml:space="preserve">a cover crop, and seeds are sold to new producers. Selling prices are declining but farmers wish to continue growing oil palm because it guarantees a certain income. In August 2014, the price was about US$157/ton. The highest price was reached in 2004 (US$220/ton), but also dropped to US$120/ton, which is considered to be the minimum price to </w:t>
      </w:r>
      <w:r w:rsidRPr="00D443E7">
        <w:rPr>
          <w:rFonts w:ascii="Times New Roman" w:hAnsi="Times New Roman" w:cs="Times New Roman"/>
          <w:u w:val="single"/>
          <w:lang w:val="en-GB"/>
        </w:rPr>
        <w:t>maintain</w:t>
      </w:r>
      <w:r w:rsidRPr="00D443E7">
        <w:rPr>
          <w:rFonts w:ascii="Times New Roman" w:hAnsi="Times New Roman" w:cs="Times New Roman"/>
          <w:lang w:val="en-GB"/>
        </w:rPr>
        <w:t>? justify? cultivation. Price fluctuations are the farmers’ main concern although they believe that production will increase driven by the demand for biodiesel. Survey participants talked about potential issues linked to intensive water use, especially during the dry season. They perceive that off-season cold waves are increasing and that seasonality is irregular. Some farmers moved to Curimana to plant oil palm, due to availability of intact forests. They consider that deforestation of intact forests depends on three factors: forest concessions by the state to exploit wood; a state policy to provide land titles only to land that is being managed (Ley del Registro de Predios Rurales); and government incentives to cultivate oil palm and cacao. The perceived effects of the reduction of forest areas are fewer animals to hunt but also fewer fish, due to less water in creeks, and increasing heatwaves.</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According to the survey participants, the use of medicinal plants and hunting in Pueblo Libre has mostly been mostly abandoned. Diets are richer in carbohydrates and protein and perceived food </w:t>
      </w:r>
      <w:r w:rsidRPr="00D443E7">
        <w:rPr>
          <w:rFonts w:ascii="Times New Roman" w:hAnsi="Times New Roman" w:cs="Times New Roman"/>
          <w:lang w:val="en-GB"/>
        </w:rPr>
        <w:lastRenderedPageBreak/>
        <w:t xml:space="preserve">security is higher because of consumption stability. Today they buy what they formerly cultivated because it is cheaper than growing it themselves, although this view is not shared by all farmers. Those who cultivate oil palm are considered to be better off, but oil palm also benefits others as they can work in the fields. </w:t>
      </w:r>
    </w:p>
    <w:p w:rsidR="005F4213" w:rsidRPr="00D443E7" w:rsidRDefault="005F4213" w:rsidP="00D443E7">
      <w:pPr>
        <w:pStyle w:val="Titre3"/>
        <w:rPr>
          <w:rFonts w:ascii="Times New Roman" w:hAnsi="Times New Roman" w:cs="Times New Roman"/>
          <w:lang w:val="en-GB"/>
        </w:rPr>
      </w:pPr>
      <w:r w:rsidRPr="00D443E7">
        <w:rPr>
          <w:rFonts w:ascii="Times New Roman" w:hAnsi="Times New Roman" w:cs="Times New Roman"/>
          <w:lang w:val="en-GB"/>
        </w:rPr>
        <w:t>La Unión</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The land use history of La Unión is more closely linked to cattle grazing. When settlers arrived from San Martin, many focused on pasturelands, coca production and </w:t>
      </w:r>
      <w:r w:rsidRPr="00D443E7">
        <w:rPr>
          <w:rFonts w:ascii="Times New Roman" w:hAnsi="Times New Roman" w:cs="Times New Roman"/>
          <w:u w:val="single"/>
          <w:lang w:val="en-GB"/>
        </w:rPr>
        <w:t>wood marketing? selling timber?</w:t>
      </w:r>
      <w:r w:rsidRPr="00D443E7">
        <w:rPr>
          <w:rFonts w:ascii="Times New Roman" w:hAnsi="Times New Roman" w:cs="Times New Roman"/>
          <w:lang w:val="en-GB"/>
        </w:rPr>
        <w:t xml:space="preserve">. The local government assigned forest areas for </w:t>
      </w:r>
      <w:r w:rsidRPr="00D443E7">
        <w:rPr>
          <w:rFonts w:ascii="Times New Roman" w:hAnsi="Times New Roman" w:cs="Times New Roman"/>
          <w:u w:val="single"/>
          <w:lang w:val="en-GB"/>
        </w:rPr>
        <w:t>wood marketing? timber?</w:t>
      </w:r>
      <w:r w:rsidRPr="00D443E7">
        <w:rPr>
          <w:rFonts w:ascii="Times New Roman" w:hAnsi="Times New Roman" w:cs="Times New Roman"/>
          <w:lang w:val="en-GB"/>
        </w:rPr>
        <w:t>, and encouraged the planting of Boilana (</w:t>
      </w:r>
      <w:r w:rsidRPr="00D443E7">
        <w:rPr>
          <w:rFonts w:ascii="Times New Roman" w:hAnsi="Times New Roman" w:cs="Times New Roman"/>
          <w:i/>
          <w:lang w:val="en-GB"/>
        </w:rPr>
        <w:t>Guazuma crinita)</w:t>
      </w:r>
      <w:r w:rsidRPr="00D443E7">
        <w:rPr>
          <w:rFonts w:ascii="Times New Roman" w:hAnsi="Times New Roman" w:cs="Times New Roman"/>
          <w:lang w:val="en-GB"/>
        </w:rPr>
        <w:t xml:space="preserve"> and Capirona </w:t>
      </w:r>
      <w:r w:rsidRPr="00D443E7">
        <w:rPr>
          <w:rFonts w:ascii="Times New Roman" w:hAnsi="Times New Roman" w:cs="Times New Roman"/>
          <w:i/>
          <w:lang w:val="en-GB"/>
        </w:rPr>
        <w:t>(Calycophyllum spruceanum)</w:t>
      </w:r>
      <w:r w:rsidRPr="00D443E7">
        <w:rPr>
          <w:rFonts w:ascii="Times New Roman" w:hAnsi="Times New Roman" w:cs="Times New Roman"/>
          <w:lang w:val="en-GB"/>
        </w:rPr>
        <w:t xml:space="preserve">. A first attempt to convert pastures to oil palm began in 2000 with DEVIDA incentives, the national programme for drug eradication, and while some farmers distrusted the crop, others started cultivating it. Furthermore, 25 fish farms exist in the community, promoted by the local government, and farmers wish to expand this activity. Production committees exist for oil palm, cacao, cattle breeding and fish farms. A committee for forest fires was formed in 2014 due to the high incidence of forest fires related to slash and burn activities. </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Those who diversified their income from cattle breeding by also growing oil palm consider they are better off today, thanks to income stability and </w:t>
      </w:r>
      <w:r w:rsidRPr="00D443E7">
        <w:rPr>
          <w:rFonts w:ascii="Times New Roman" w:hAnsi="Times New Roman" w:cs="Times New Roman"/>
          <w:u w:val="single"/>
          <w:lang w:val="en-GB"/>
        </w:rPr>
        <w:t>employment for</w:t>
      </w:r>
      <w:r w:rsidRPr="00D443E7">
        <w:rPr>
          <w:rFonts w:ascii="Times New Roman" w:hAnsi="Times New Roman" w:cs="Times New Roman"/>
          <w:lang w:val="en-GB"/>
        </w:rPr>
        <w:t xml:space="preserve">? because they can hire themselves out as? daily labourers, </w:t>
      </w:r>
      <w:r w:rsidRPr="00D443E7">
        <w:rPr>
          <w:rFonts w:ascii="Times New Roman" w:hAnsi="Times New Roman" w:cs="Times New Roman"/>
          <w:u w:val="single"/>
          <w:lang w:val="en-GB"/>
        </w:rPr>
        <w:t>higher than for? which brings in more money than</w:t>
      </w:r>
      <w:r w:rsidRPr="00D443E7">
        <w:rPr>
          <w:rFonts w:ascii="Times New Roman" w:hAnsi="Times New Roman" w:cs="Times New Roman"/>
          <w:lang w:val="en-GB"/>
        </w:rPr>
        <w:t xml:space="preserve"> pastureland. On the other hand, those who continued cattle breeding as their main activity also consider they have a better incomes because they now have fewer competitors.  </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Forest use in La Unión appears to be more intense than in Pueblo Libre. Participants pointed out that they collect wild plants for consumption and for medicinal purposes. Although these resources are available all year round, they usually collect them from fields and forests between June and September, when they harvest annual crops. They produce </w:t>
      </w:r>
      <w:r w:rsidRPr="00D443E7">
        <w:rPr>
          <w:rFonts w:ascii="Times New Roman" w:hAnsi="Times New Roman" w:cs="Times New Roman"/>
          <w:i/>
          <w:lang w:val="en-GB"/>
        </w:rPr>
        <w:t>aguaje</w:t>
      </w:r>
      <w:r w:rsidRPr="00D443E7">
        <w:rPr>
          <w:rFonts w:ascii="Times New Roman" w:hAnsi="Times New Roman" w:cs="Times New Roman"/>
          <w:lang w:val="en-GB"/>
        </w:rPr>
        <w:t xml:space="preserve"> (Mauritia flexuosa L.f.) for sale, and practice small-scale logging to complement their income. Several villagers hunt all year round to sell wild animal products. However, they mentioned that increasing deforestation has reduced the attraction of the area for tourists and that traditional knowledge is being lost.  Although they have observed a decline in river fish, which they link to the use of poison for fishing and increasing pressure from population growth, they have more stable access to fish thanks to fish farms. </w:t>
      </w:r>
    </w:p>
    <w:p w:rsidR="005F4213" w:rsidRPr="00D443E7" w:rsidRDefault="005F4213" w:rsidP="00D443E7">
      <w:pPr>
        <w:pStyle w:val="Titre3"/>
        <w:rPr>
          <w:rFonts w:ascii="Times New Roman" w:hAnsi="Times New Roman" w:cs="Times New Roman"/>
          <w:lang w:val="en-GB"/>
        </w:rPr>
      </w:pPr>
      <w:r w:rsidRPr="00D443E7">
        <w:rPr>
          <w:rFonts w:ascii="Times New Roman" w:hAnsi="Times New Roman" w:cs="Times New Roman"/>
          <w:lang w:val="en-GB"/>
        </w:rPr>
        <w:t>Naranjal</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The riverine community of Naranjal is located on the Aguaytía River three hours by boat from Pucallpa in the rainy season. About 30 years ago, when 20 families lived in the community, they were mostly cattle breeders who progressively switched to maize and plantain, and more recently to oil palm and cacao, the latter </w:t>
      </w:r>
      <w:r w:rsidRPr="00D443E7">
        <w:rPr>
          <w:rFonts w:ascii="Times New Roman" w:hAnsi="Times New Roman" w:cs="Times New Roman"/>
          <w:u w:val="single"/>
          <w:lang w:val="en-GB"/>
        </w:rPr>
        <w:t>associated? intercropped?</w:t>
      </w:r>
      <w:r w:rsidRPr="00D443E7">
        <w:rPr>
          <w:rFonts w:ascii="Times New Roman" w:hAnsi="Times New Roman" w:cs="Times New Roman"/>
          <w:lang w:val="en-GB"/>
        </w:rPr>
        <w:t xml:space="preserve"> with plantain. Maize cultivation is alternated with </w:t>
      </w:r>
      <w:r w:rsidRPr="00D443E7">
        <w:rPr>
          <w:rFonts w:ascii="Times New Roman" w:hAnsi="Times New Roman" w:cs="Times New Roman"/>
          <w:i/>
          <w:lang w:val="en-GB"/>
        </w:rPr>
        <w:t>purmas</w:t>
      </w:r>
      <w:r w:rsidRPr="00D443E7">
        <w:rPr>
          <w:rFonts w:ascii="Times New Roman" w:hAnsi="Times New Roman" w:cs="Times New Roman"/>
          <w:lang w:val="en-GB"/>
        </w:rPr>
        <w:t xml:space="preserve"> (successional forest) for three to five years. They grow Bolaina trees, which are felled and sold </w:t>
      </w:r>
      <w:r w:rsidRPr="00D443E7">
        <w:rPr>
          <w:rFonts w:ascii="Times New Roman" w:hAnsi="Times New Roman" w:cs="Times New Roman"/>
          <w:lang w:val="en-GB"/>
        </w:rPr>
        <w:lastRenderedPageBreak/>
        <w:t xml:space="preserve">in the slash and burn season to make way for maize. Cacao cultivation started in 2008 as part of a DEVIDA coca substitution programme and a committee was established with support from Alianza Cacao. Cacao is the main source of income for many families, who plan to expand their land planted with cacao using government incentives. </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According to the farmers, forest use in the community has decreased due to conversion to cropland. Fewer medicinal plants, fruits and wild animals are available, and hunting time has increased steeply with forest loss, but families eat wild meat about once a month. Consumption of canned fish replaced that of river fish. Participants observed that the Aguaytía River has retreated about 1 km in width, and slightly changed course, in their view due to the large quantities of fallen trees that accumulate on the banks. The change opened new areas for cultivation, at the expense of a nearby community (Unión Progreso).</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In 2014, the community signed an agreement with Plantaciones de Pucallpa of the Grupo Melka to convert 400 ha of forest to oil palm which the company would manage and sell. The community decided to distribute the forest area to be sold in equal parts, 10 ha per family. A committee with 37 members was set up to carry out this agreement. However in 2015, the company was penalised by the Ministry of Agriculture because it lacked environmental certification and for deforesting 6,824.39 ha classified as forest soils, the entire area acquired, contravening legislation </w:t>
      </w:r>
      <w:r w:rsidRPr="00D443E7">
        <w:rPr>
          <w:rFonts w:ascii="Times New Roman" w:hAnsi="Times New Roman" w:cs="Times New Roman"/>
          <w:lang w:val="en-GB"/>
        </w:rPr>
        <w:fldChar w:fldCharType="begin"/>
      </w:r>
      <w:r w:rsidRPr="00D443E7">
        <w:rPr>
          <w:rFonts w:ascii="Times New Roman" w:hAnsi="Times New Roman" w:cs="Times New Roman"/>
          <w:lang w:val="en-GB"/>
        </w:rPr>
        <w:instrText xml:space="preserve"> ADDIN ZOTERO_ITEM CSL_CITATION {"citationID":"a1aatoh05j6","properties":{"formattedCitation":"(MINAGRI, 2015)","plainCitation":"(MINAGRI, 2015)","noteIndex":0},"citationItems":[{"id":"vX6M7uoQ/2x9mbzJV","uris":["http://zotero.org/users/local/OA7AdSGL/items/5YFI3HHX"],"uri":["http://zotero.org/users/local/OA7AdSGL/items/5YFI3HHX"],"itemData":{"id":15343,"type":"bill","title":"Resolucion de Direccion General N270-2015.","publisher":"Ministerio de Agricultura y Riego. 2 Septiembre 2015.","publisher-place":"Lima, Perú","event-place":"Lima, Perú","author":[{"family":"MINAGRI","given":"2015"}],"issued":{"date-parts":[["2015"]]}}}],"schema":"https://github.com/citation-style-language/schema/raw/master/csl-citation.json"} </w:instrText>
      </w:r>
      <w:r w:rsidRPr="00D443E7">
        <w:rPr>
          <w:rFonts w:ascii="Times New Roman" w:hAnsi="Times New Roman" w:cs="Times New Roman"/>
          <w:lang w:val="en-GB"/>
        </w:rPr>
        <w:fldChar w:fldCharType="separate"/>
      </w:r>
      <w:r w:rsidRPr="00D443E7">
        <w:rPr>
          <w:rFonts w:ascii="Times New Roman" w:hAnsi="Times New Roman" w:cs="Times New Roman"/>
          <w:lang w:val="en-GB"/>
        </w:rPr>
        <w:t>(MINAGRI, 2015)</w:t>
      </w:r>
      <w:r w:rsidRPr="00D443E7">
        <w:rPr>
          <w:rFonts w:ascii="Times New Roman" w:hAnsi="Times New Roman" w:cs="Times New Roman"/>
          <w:lang w:val="en-GB"/>
        </w:rPr>
        <w:fldChar w:fldCharType="end"/>
      </w:r>
      <w:r w:rsidRPr="00D443E7">
        <w:rPr>
          <w:rFonts w:ascii="Times New Roman" w:hAnsi="Times New Roman" w:cs="Times New Roman"/>
          <w:lang w:val="en-GB"/>
        </w:rPr>
        <w:t xml:space="preserve">. In 2016, a new demand was issued for a halt to company operations </w:t>
      </w:r>
      <w:r w:rsidRPr="00D443E7">
        <w:rPr>
          <w:rFonts w:ascii="Times New Roman" w:hAnsi="Times New Roman" w:cs="Times New Roman"/>
          <w:lang w:val="en-GB"/>
        </w:rPr>
        <w:fldChar w:fldCharType="begin"/>
      </w:r>
      <w:r w:rsidRPr="00D443E7">
        <w:rPr>
          <w:rFonts w:ascii="Times New Roman" w:hAnsi="Times New Roman" w:cs="Times New Roman"/>
          <w:lang w:val="en-GB"/>
        </w:rPr>
        <w:instrText xml:space="preserve"> ADDIN ZOTERO_ITEM CSL_CITATION {"citationID":"a209nijsjia","properties":{"formattedCitation":"(MINAGRI, 2016)","plainCitation":"(MINAGRI, 2016)","noteIndex":0},"citationItems":[{"id":"vX6M7uoQ/c03FbWfk","uris":["http://zotero.org/users/local/OA7AdSGL/items/AADGAZ7K"],"uri":["http://zotero.org/users/local/OA7AdSGL/items/AADGAZ7K"],"itemData":{"id":15346,"type":"bill","title":"Resolucion de Direccion General N361-2016","publisher":"Ministerio de Agricultura y Riego. 25 Julio 2016","publisher-place":"Lima, Perú","event-place":"Lima, Perú","author":[{"family":"MINAGRI","given":""}],"issued":{"date-parts":[["2016"]]}}}],"schema":"https://github.com/citation-style-language/schema/raw/master/csl-citation.json"} </w:instrText>
      </w:r>
      <w:r w:rsidRPr="00D443E7">
        <w:rPr>
          <w:rFonts w:ascii="Times New Roman" w:hAnsi="Times New Roman" w:cs="Times New Roman"/>
          <w:lang w:val="en-GB"/>
        </w:rPr>
        <w:fldChar w:fldCharType="separate"/>
      </w:r>
      <w:r w:rsidRPr="00D443E7">
        <w:rPr>
          <w:rFonts w:ascii="Times New Roman" w:hAnsi="Times New Roman" w:cs="Times New Roman"/>
          <w:lang w:val="en-GB"/>
        </w:rPr>
        <w:t>(MINAGRI, 2016)</w:t>
      </w:r>
      <w:r w:rsidRPr="00D443E7">
        <w:rPr>
          <w:rFonts w:ascii="Times New Roman" w:hAnsi="Times New Roman" w:cs="Times New Roman"/>
          <w:lang w:val="en-GB"/>
        </w:rPr>
        <w:fldChar w:fldCharType="end"/>
      </w:r>
      <w:r w:rsidRPr="00D443E7">
        <w:rPr>
          <w:rFonts w:ascii="Times New Roman" w:hAnsi="Times New Roman" w:cs="Times New Roman"/>
          <w:lang w:val="en-GB"/>
        </w:rPr>
        <w:t xml:space="preserve">.  </w:t>
      </w:r>
    </w:p>
    <w:p w:rsidR="005F4213" w:rsidRPr="00D443E7" w:rsidRDefault="005F4213" w:rsidP="00D443E7">
      <w:pPr>
        <w:spacing w:line="360" w:lineRule="auto"/>
        <w:rPr>
          <w:rFonts w:ascii="Times New Roman" w:hAnsi="Times New Roman" w:cs="Times New Roman"/>
          <w:lang w:val="en-GB"/>
        </w:rPr>
      </w:pPr>
    </w:p>
    <w:p w:rsidR="005F4213" w:rsidRPr="00D443E7" w:rsidRDefault="005F4213" w:rsidP="00D443E7">
      <w:pPr>
        <w:rPr>
          <w:rFonts w:ascii="Times New Roman" w:hAnsi="Times New Roman" w:cs="Times New Roman"/>
          <w:lang w:val="en-GB"/>
        </w:rPr>
      </w:pPr>
    </w:p>
    <w:p w:rsidR="005F4213" w:rsidRPr="00D443E7" w:rsidRDefault="005F4213" w:rsidP="00D443E7">
      <w:pPr>
        <w:spacing w:line="360" w:lineRule="auto"/>
        <w:rPr>
          <w:rFonts w:ascii="Times New Roman" w:hAnsi="Times New Roman" w:cs="Times New Roman"/>
          <w:lang w:val="en-GB"/>
        </w:rPr>
        <w:sectPr w:rsidR="005F4213" w:rsidRPr="00D443E7" w:rsidSect="00D443E7">
          <w:type w:val="continuous"/>
          <w:pgSz w:w="11906" w:h="16838"/>
          <w:pgMar w:top="1417" w:right="1417" w:bottom="1417" w:left="1417" w:header="708" w:footer="708" w:gutter="0"/>
          <w:lnNumType w:countBy="1" w:restart="continuous"/>
          <w:cols w:space="708"/>
          <w:docGrid w:linePitch="360"/>
        </w:sectPr>
      </w:pPr>
    </w:p>
    <w:p w:rsidR="005F4213" w:rsidRPr="00D443E7" w:rsidRDefault="005F4213" w:rsidP="00D443E7">
      <w:pPr>
        <w:spacing w:line="360" w:lineRule="auto"/>
        <w:rPr>
          <w:rFonts w:ascii="Times New Roman" w:hAnsi="Times New Roman" w:cs="Times New Roman"/>
          <w:lang w:val="en-GB"/>
        </w:rPr>
      </w:pPr>
    </w:p>
    <w:p w:rsidR="005F4213" w:rsidRPr="00D443E7" w:rsidRDefault="00897FD6" w:rsidP="00D443E7">
      <w:pPr>
        <w:pStyle w:val="Titre2"/>
        <w:rPr>
          <w:rFonts w:ascii="Times New Roman" w:hAnsi="Times New Roman" w:cs="Times New Roman"/>
          <w:b w:val="0"/>
          <w:sz w:val="22"/>
          <w:lang w:val="en-GB"/>
        </w:rPr>
      </w:pPr>
      <w:r w:rsidRPr="00D443E7">
        <w:rPr>
          <w:rFonts w:ascii="Times New Roman" w:hAnsi="Times New Roman" w:cs="Times New Roman"/>
          <w:sz w:val="22"/>
          <w:lang w:val="en-GB"/>
        </w:rPr>
        <w:t xml:space="preserve">S2. </w:t>
      </w:r>
      <w:r w:rsidR="005F4213" w:rsidRPr="00D443E7">
        <w:rPr>
          <w:rFonts w:ascii="Times New Roman" w:hAnsi="Times New Roman" w:cs="Times New Roman"/>
          <w:sz w:val="22"/>
          <w:lang w:val="en-GB"/>
        </w:rPr>
        <w:t xml:space="preserve">Annual change reduction in forest cover (%) in the three communities  </w:t>
      </w:r>
    </w:p>
    <w:p w:rsidR="005F4213" w:rsidRPr="00D443E7" w:rsidRDefault="005F4213" w:rsidP="00D443E7">
      <w:pPr>
        <w:rPr>
          <w:rFonts w:ascii="Times New Roman" w:hAnsi="Times New Roman" w:cs="Times New Roman"/>
          <w:b/>
          <w:lang w:val="en-GB"/>
        </w:rPr>
      </w:pPr>
    </w:p>
    <w:tbl>
      <w:tblPr>
        <w:tblStyle w:val="Grilledutableau"/>
        <w:tblW w:w="14125" w:type="dxa"/>
        <w:tblLook w:val="04A0" w:firstRow="1" w:lastRow="0" w:firstColumn="1" w:lastColumn="0" w:noHBand="0" w:noVBand="1"/>
      </w:tblPr>
      <w:tblGrid>
        <w:gridCol w:w="997"/>
        <w:gridCol w:w="706"/>
        <w:gridCol w:w="1136"/>
        <w:gridCol w:w="802"/>
        <w:gridCol w:w="526"/>
        <w:gridCol w:w="526"/>
        <w:gridCol w:w="525"/>
        <w:gridCol w:w="525"/>
        <w:gridCol w:w="524"/>
        <w:gridCol w:w="524"/>
        <w:gridCol w:w="524"/>
        <w:gridCol w:w="524"/>
        <w:gridCol w:w="524"/>
        <w:gridCol w:w="524"/>
        <w:gridCol w:w="524"/>
        <w:gridCol w:w="524"/>
        <w:gridCol w:w="524"/>
        <w:gridCol w:w="524"/>
        <w:gridCol w:w="524"/>
        <w:gridCol w:w="1040"/>
        <w:gridCol w:w="761"/>
        <w:gridCol w:w="946"/>
      </w:tblGrid>
      <w:tr w:rsidR="005F4213" w:rsidRPr="00D443E7" w:rsidTr="006644EB">
        <w:trPr>
          <w:trHeight w:val="300"/>
        </w:trPr>
        <w:tc>
          <w:tcPr>
            <w:tcW w:w="997"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 xml:space="preserve">Zone </w:t>
            </w:r>
          </w:p>
        </w:tc>
        <w:tc>
          <w:tcPr>
            <w:tcW w:w="698"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Buffer distance (km)</w:t>
            </w:r>
          </w:p>
        </w:tc>
        <w:tc>
          <w:tcPr>
            <w:tcW w:w="1122"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 Forest 2000 (Canopy&gt;30%)</w:t>
            </w:r>
          </w:p>
        </w:tc>
        <w:tc>
          <w:tcPr>
            <w:tcW w:w="802"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No data cell</w:t>
            </w:r>
          </w:p>
        </w:tc>
        <w:tc>
          <w:tcPr>
            <w:tcW w:w="526"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2001</w:t>
            </w:r>
          </w:p>
        </w:tc>
        <w:tc>
          <w:tcPr>
            <w:tcW w:w="526"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2002</w:t>
            </w:r>
          </w:p>
        </w:tc>
        <w:tc>
          <w:tcPr>
            <w:tcW w:w="525"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2003</w:t>
            </w:r>
          </w:p>
        </w:tc>
        <w:tc>
          <w:tcPr>
            <w:tcW w:w="525"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2004</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2005</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2006</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2007</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2008</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2009</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2010</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2011</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2012</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2013</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2014</w:t>
            </w:r>
          </w:p>
        </w:tc>
        <w:tc>
          <w:tcPr>
            <w:tcW w:w="52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2015</w:t>
            </w:r>
          </w:p>
        </w:tc>
        <w:tc>
          <w:tcPr>
            <w:tcW w:w="1040"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Accumulated</w:t>
            </w:r>
          </w:p>
        </w:tc>
        <w:tc>
          <w:tcPr>
            <w:tcW w:w="654"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Annual Rate (ha/year)</w:t>
            </w:r>
          </w:p>
        </w:tc>
        <w:tc>
          <w:tcPr>
            <w:tcW w:w="946" w:type="dxa"/>
            <w:tcBorders>
              <w:top w:val="single" w:sz="4" w:space="0" w:color="auto"/>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
                <w:bCs/>
                <w:color w:val="000000"/>
                <w:sz w:val="14"/>
                <w:szCs w:val="16"/>
                <w:lang w:val="en-GB" w:eastAsia="fr-FR"/>
              </w:rPr>
            </w:pPr>
            <w:r w:rsidRPr="00D443E7">
              <w:rPr>
                <w:rFonts w:ascii="Times New Roman" w:eastAsia="Times New Roman" w:hAnsi="Times New Roman" w:cs="Times New Roman"/>
                <w:b/>
                <w:bCs/>
                <w:color w:val="000000"/>
                <w:sz w:val="14"/>
                <w:szCs w:val="16"/>
                <w:lang w:val="en-GB" w:eastAsia="fr-FR"/>
              </w:rPr>
              <w:t>Area Analysed (ha)</w:t>
            </w:r>
          </w:p>
        </w:tc>
      </w:tr>
      <w:tr w:rsidR="005F4213" w:rsidRPr="00D443E7" w:rsidTr="006644EB">
        <w:trPr>
          <w:trHeight w:val="300"/>
        </w:trPr>
        <w:tc>
          <w:tcPr>
            <w:tcW w:w="997"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La Unión</w:t>
            </w:r>
          </w:p>
        </w:tc>
        <w:tc>
          <w:tcPr>
            <w:tcW w:w="698"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w:t>
            </w:r>
          </w:p>
        </w:tc>
        <w:tc>
          <w:tcPr>
            <w:tcW w:w="1122"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41</w:t>
            </w:r>
          </w:p>
        </w:tc>
        <w:tc>
          <w:tcPr>
            <w:tcW w:w="802"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19577</w:t>
            </w:r>
          </w:p>
        </w:tc>
        <w:tc>
          <w:tcPr>
            <w:tcW w:w="526"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290</w:t>
            </w:r>
          </w:p>
        </w:tc>
        <w:tc>
          <w:tcPr>
            <w:tcW w:w="526"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273</w:t>
            </w:r>
          </w:p>
        </w:tc>
        <w:tc>
          <w:tcPr>
            <w:tcW w:w="525"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228</w:t>
            </w:r>
          </w:p>
        </w:tc>
        <w:tc>
          <w:tcPr>
            <w:tcW w:w="525"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178</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596</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319</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160</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316</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488</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263</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240</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711</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417</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384</w:t>
            </w:r>
          </w:p>
        </w:tc>
        <w:tc>
          <w:tcPr>
            <w:tcW w:w="52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470</w:t>
            </w:r>
          </w:p>
        </w:tc>
        <w:tc>
          <w:tcPr>
            <w:tcW w:w="1040"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5 334</w:t>
            </w:r>
          </w:p>
        </w:tc>
        <w:tc>
          <w:tcPr>
            <w:tcW w:w="654"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356</w:t>
            </w:r>
          </w:p>
        </w:tc>
        <w:tc>
          <w:tcPr>
            <w:tcW w:w="946" w:type="dxa"/>
            <w:tcBorders>
              <w:top w:val="single" w:sz="4" w:space="0" w:color="auto"/>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24 911</w:t>
            </w:r>
          </w:p>
        </w:tc>
      </w:tr>
      <w:tr w:rsidR="005F4213" w:rsidRPr="00D443E7" w:rsidTr="006644EB">
        <w:trPr>
          <w:trHeight w:val="300"/>
        </w:trPr>
        <w:tc>
          <w:tcPr>
            <w:tcW w:w="997"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Pueblo Libre</w:t>
            </w:r>
          </w:p>
        </w:tc>
        <w:tc>
          <w:tcPr>
            <w:tcW w:w="698"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w:t>
            </w:r>
          </w:p>
        </w:tc>
        <w:tc>
          <w:tcPr>
            <w:tcW w:w="1122"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90</w:t>
            </w:r>
          </w:p>
        </w:tc>
        <w:tc>
          <w:tcPr>
            <w:tcW w:w="802"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9584</w:t>
            </w:r>
          </w:p>
        </w:tc>
        <w:tc>
          <w:tcPr>
            <w:tcW w:w="526"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403</w:t>
            </w:r>
          </w:p>
        </w:tc>
        <w:tc>
          <w:tcPr>
            <w:tcW w:w="526"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395</w:t>
            </w:r>
          </w:p>
        </w:tc>
        <w:tc>
          <w:tcPr>
            <w:tcW w:w="525"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519</w:t>
            </w:r>
          </w:p>
        </w:tc>
        <w:tc>
          <w:tcPr>
            <w:tcW w:w="525"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377</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727</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261</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367</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562</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686</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506</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278</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426</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588</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426</w:t>
            </w:r>
          </w:p>
        </w:tc>
        <w:tc>
          <w:tcPr>
            <w:tcW w:w="52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486</w:t>
            </w:r>
          </w:p>
        </w:tc>
        <w:tc>
          <w:tcPr>
            <w:tcW w:w="1040"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7 006</w:t>
            </w:r>
          </w:p>
        </w:tc>
        <w:tc>
          <w:tcPr>
            <w:tcW w:w="654"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467</w:t>
            </w:r>
          </w:p>
        </w:tc>
        <w:tc>
          <w:tcPr>
            <w:tcW w:w="946" w:type="dxa"/>
            <w:tcBorders>
              <w:top w:val="nil"/>
              <w:left w:val="nil"/>
              <w:bottom w:val="nil"/>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16 590</w:t>
            </w:r>
          </w:p>
        </w:tc>
      </w:tr>
      <w:tr w:rsidR="005F4213" w:rsidRPr="00D443E7" w:rsidTr="006644EB">
        <w:trPr>
          <w:trHeight w:val="300"/>
        </w:trPr>
        <w:tc>
          <w:tcPr>
            <w:tcW w:w="997"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Naranjal</w:t>
            </w:r>
          </w:p>
        </w:tc>
        <w:tc>
          <w:tcPr>
            <w:tcW w:w="698"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w:t>
            </w:r>
          </w:p>
        </w:tc>
        <w:tc>
          <w:tcPr>
            <w:tcW w:w="1122"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62</w:t>
            </w:r>
          </w:p>
        </w:tc>
        <w:tc>
          <w:tcPr>
            <w:tcW w:w="802"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520</w:t>
            </w:r>
          </w:p>
        </w:tc>
        <w:tc>
          <w:tcPr>
            <w:tcW w:w="526"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w:t>
            </w:r>
          </w:p>
        </w:tc>
        <w:tc>
          <w:tcPr>
            <w:tcW w:w="526"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w:t>
            </w:r>
          </w:p>
        </w:tc>
        <w:tc>
          <w:tcPr>
            <w:tcW w:w="525"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w:t>
            </w:r>
          </w:p>
        </w:tc>
        <w:tc>
          <w:tcPr>
            <w:tcW w:w="525"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0</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10</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2</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5</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7</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6</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18</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11</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11</w:t>
            </w:r>
          </w:p>
        </w:tc>
        <w:tc>
          <w:tcPr>
            <w:tcW w:w="52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13</w:t>
            </w:r>
          </w:p>
        </w:tc>
        <w:tc>
          <w:tcPr>
            <w:tcW w:w="1040"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91</w:t>
            </w:r>
          </w:p>
        </w:tc>
        <w:tc>
          <w:tcPr>
            <w:tcW w:w="654"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6</w:t>
            </w:r>
          </w:p>
        </w:tc>
        <w:tc>
          <w:tcPr>
            <w:tcW w:w="946" w:type="dxa"/>
            <w:tcBorders>
              <w:top w:val="nil"/>
              <w:left w:val="nil"/>
              <w:bottom w:val="single" w:sz="4" w:space="0" w:color="auto"/>
              <w:right w:val="nil"/>
            </w:tcBorders>
            <w:noWrap/>
            <w:hideMark/>
          </w:tcPr>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r w:rsidRPr="00D443E7">
              <w:rPr>
                <w:rFonts w:ascii="Times New Roman" w:eastAsia="Times New Roman" w:hAnsi="Times New Roman" w:cs="Times New Roman"/>
                <w:bCs/>
                <w:color w:val="000000"/>
                <w:sz w:val="14"/>
                <w:szCs w:val="16"/>
                <w:lang w:val="en-GB" w:eastAsia="fr-FR"/>
              </w:rPr>
              <w:t>611</w:t>
            </w:r>
          </w:p>
        </w:tc>
      </w:tr>
    </w:tbl>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pPr>
    </w:p>
    <w:p w:rsidR="005F4213" w:rsidRPr="00D443E7" w:rsidRDefault="005F4213" w:rsidP="00D443E7">
      <w:pPr>
        <w:spacing w:after="0" w:line="240" w:lineRule="auto"/>
        <w:jc w:val="center"/>
        <w:rPr>
          <w:rFonts w:ascii="Times New Roman" w:eastAsia="Times New Roman" w:hAnsi="Times New Roman" w:cs="Times New Roman"/>
          <w:bCs/>
          <w:color w:val="000000"/>
          <w:sz w:val="14"/>
          <w:szCs w:val="16"/>
          <w:lang w:val="en-GB" w:eastAsia="fr-FR"/>
        </w:rPr>
        <w:sectPr w:rsidR="005F4213" w:rsidRPr="00D443E7" w:rsidSect="00D443E7">
          <w:type w:val="continuous"/>
          <w:pgSz w:w="16838" w:h="11906" w:orient="landscape"/>
          <w:pgMar w:top="1417" w:right="1417" w:bottom="1417" w:left="1417" w:header="708" w:footer="708" w:gutter="0"/>
          <w:lnNumType w:countBy="1" w:restart="continuous"/>
          <w:cols w:space="708"/>
          <w:docGrid w:linePitch="360"/>
        </w:sectPr>
      </w:pPr>
    </w:p>
    <w:p w:rsidR="005F4213" w:rsidRPr="00D443E7" w:rsidRDefault="00897FD6" w:rsidP="00D443E7">
      <w:pPr>
        <w:pStyle w:val="Titre2"/>
        <w:rPr>
          <w:rFonts w:ascii="Times New Roman" w:hAnsi="Times New Roman" w:cs="Times New Roman"/>
          <w:sz w:val="22"/>
          <w:lang w:val="en-GB"/>
        </w:rPr>
      </w:pPr>
      <w:r w:rsidRPr="00D443E7">
        <w:rPr>
          <w:rFonts w:ascii="Times New Roman" w:hAnsi="Times New Roman" w:cs="Times New Roman"/>
          <w:sz w:val="22"/>
          <w:lang w:val="en-GB"/>
        </w:rPr>
        <w:lastRenderedPageBreak/>
        <w:t xml:space="preserve">S3. </w:t>
      </w:r>
      <w:r w:rsidR="005F4213" w:rsidRPr="00D443E7">
        <w:rPr>
          <w:rFonts w:ascii="Times New Roman" w:hAnsi="Times New Roman" w:cs="Times New Roman"/>
          <w:sz w:val="22"/>
          <w:lang w:val="en-GB"/>
        </w:rPr>
        <w:t>Oil palm in Ucayali</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The oldest oil palm plantation in the region dates back to 1964 and the origin of the trees is the Congo. At the end of the 1990s, a large-scale project with the Peruvian and Canadian governments funded by the United Nations Office on Drugs and Crime was set up, targeting 1,</w:t>
      </w:r>
      <w:r w:rsidR="004615E4">
        <w:rPr>
          <w:rFonts w:ascii="Times New Roman" w:hAnsi="Times New Roman" w:cs="Times New Roman"/>
          <w:lang w:val="en-GB"/>
        </w:rPr>
        <w:t>350 hectares (Fort and Borasino</w:t>
      </w:r>
      <w:r w:rsidRPr="00D443E7">
        <w:rPr>
          <w:rFonts w:ascii="Times New Roman" w:hAnsi="Times New Roman" w:cs="Times New Roman"/>
          <w:lang w:val="en-GB"/>
        </w:rPr>
        <w:t xml:space="preserve"> 2016) and building the first extraction plant (OLAMSA). Oil palm was considered a sustainable alternative to coca given its productive life of about 25 years. In 2001, the National Plan for the Promotion of Oil Palm in the Amazon was approved. In 2004, a second large plant, Oleaginosa Padre Abad (OLPASA), was built under the same assoc</w:t>
      </w:r>
      <w:r w:rsidR="004615E4">
        <w:rPr>
          <w:rFonts w:ascii="Times New Roman" w:hAnsi="Times New Roman" w:cs="Times New Roman"/>
          <w:lang w:val="en-GB"/>
        </w:rPr>
        <w:t>iative model (Fort and Borasino</w:t>
      </w:r>
      <w:r w:rsidRPr="00D443E7">
        <w:rPr>
          <w:rFonts w:ascii="Times New Roman" w:hAnsi="Times New Roman" w:cs="Times New Roman"/>
          <w:lang w:val="en-GB"/>
        </w:rPr>
        <w:t xml:space="preserve"> 2016). Sales by the two plants in 2011 amounted to US$16 million and 6.5 million, respectively (Ba</w:t>
      </w:r>
      <w:r w:rsidR="004615E4">
        <w:rPr>
          <w:rFonts w:ascii="Times New Roman" w:hAnsi="Times New Roman" w:cs="Times New Roman"/>
          <w:lang w:val="en-GB"/>
        </w:rPr>
        <w:t>nco Central de Reserva del Perú</w:t>
      </w:r>
      <w:r w:rsidRPr="00D443E7">
        <w:rPr>
          <w:rFonts w:ascii="Times New Roman" w:hAnsi="Times New Roman" w:cs="Times New Roman"/>
          <w:lang w:val="en-GB"/>
        </w:rPr>
        <w:t xml:space="preserve"> 2012). In 2014, ten extraction plants were functioning in Ucayali, and a new one for biodiesel producti</w:t>
      </w:r>
      <w:r w:rsidR="004615E4">
        <w:rPr>
          <w:rFonts w:ascii="Times New Roman" w:hAnsi="Times New Roman" w:cs="Times New Roman"/>
          <w:lang w:val="en-GB"/>
        </w:rPr>
        <w:t>on was under construction (BCRP</w:t>
      </w:r>
      <w:r w:rsidRPr="00D443E7">
        <w:rPr>
          <w:rFonts w:ascii="Times New Roman" w:hAnsi="Times New Roman" w:cs="Times New Roman"/>
          <w:lang w:val="en-GB"/>
        </w:rPr>
        <w:t xml:space="preserve"> 2014). Currently, OLAMSA is the second largest oil palm extraction p</w:t>
      </w:r>
      <w:r w:rsidR="004615E4">
        <w:rPr>
          <w:rFonts w:ascii="Times New Roman" w:hAnsi="Times New Roman" w:cs="Times New Roman"/>
          <w:lang w:val="en-GB"/>
        </w:rPr>
        <w:t>lant in Peru (Fort and Borasino</w:t>
      </w:r>
      <w:r w:rsidRPr="00D443E7">
        <w:rPr>
          <w:rFonts w:ascii="Times New Roman" w:hAnsi="Times New Roman" w:cs="Times New Roman"/>
          <w:lang w:val="en-GB"/>
        </w:rPr>
        <w:t xml:space="preserve"> 2016), with a capacity of 36/fresh fruit bunches/hour. Oil palm producers pay the transport costs to the extraction plants as a discount from the value of their product, varying between US$10 and US$15/ton of fresh fruit bunche</w:t>
      </w:r>
      <w:r w:rsidR="004615E4">
        <w:rPr>
          <w:rFonts w:ascii="Times New Roman" w:hAnsi="Times New Roman" w:cs="Times New Roman"/>
          <w:lang w:val="en-GB"/>
        </w:rPr>
        <w:t>s (Gobierno Regional de Ucayali</w:t>
      </w:r>
      <w:r w:rsidRPr="00D443E7">
        <w:rPr>
          <w:rFonts w:ascii="Times New Roman" w:hAnsi="Times New Roman" w:cs="Times New Roman"/>
          <w:lang w:val="en-GB"/>
        </w:rPr>
        <w:t xml:space="preserve"> 2012). The area under oil palm increased from 2,200 to 13,509 ha in Ucayali between 1</w:t>
      </w:r>
      <w:r w:rsidR="004615E4">
        <w:rPr>
          <w:rFonts w:ascii="Times New Roman" w:hAnsi="Times New Roman" w:cs="Times New Roman"/>
          <w:lang w:val="en-GB"/>
        </w:rPr>
        <w:t>994 and 2012 (Fort and Borasino</w:t>
      </w:r>
      <w:r w:rsidRPr="00D443E7">
        <w:rPr>
          <w:rFonts w:ascii="Times New Roman" w:hAnsi="Times New Roman" w:cs="Times New Roman"/>
          <w:lang w:val="en-GB"/>
        </w:rPr>
        <w:t xml:space="preserve"> 2016). However, yields per ha are lower than the national average (13.9 tons/ha vs 15.3 tons/ha) (Ba</w:t>
      </w:r>
      <w:r w:rsidR="004615E4">
        <w:rPr>
          <w:rFonts w:ascii="Times New Roman" w:hAnsi="Times New Roman" w:cs="Times New Roman"/>
          <w:lang w:val="en-GB"/>
        </w:rPr>
        <w:t>nco Central de Reserva del Perú</w:t>
      </w:r>
      <w:r w:rsidRPr="00D443E7">
        <w:rPr>
          <w:rFonts w:ascii="Times New Roman" w:hAnsi="Times New Roman" w:cs="Times New Roman"/>
          <w:lang w:val="en-GB"/>
        </w:rPr>
        <w:t xml:space="preserve"> 2012). As a reference, yields reach 19.4 tons/ha in Colombia and 21</w:t>
      </w:r>
      <w:r w:rsidR="004615E4">
        <w:rPr>
          <w:rFonts w:ascii="Times New Roman" w:hAnsi="Times New Roman" w:cs="Times New Roman"/>
          <w:lang w:val="en-GB"/>
        </w:rPr>
        <w:t>.2 tons/ha in Malaysia (Pacheco</w:t>
      </w:r>
      <w:r w:rsidRPr="00D443E7">
        <w:rPr>
          <w:rFonts w:ascii="Times New Roman" w:hAnsi="Times New Roman" w:cs="Times New Roman"/>
          <w:lang w:val="en-GB"/>
        </w:rPr>
        <w:t xml:space="preserve"> 2012).</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n-GB"/>
        </w:rPr>
        <w:t xml:space="preserve">Land trafficking is a current controversy in the region </w:t>
      </w:r>
      <w:r w:rsidR="004615E4">
        <w:rPr>
          <w:rFonts w:ascii="Times New Roman" w:hAnsi="Times New Roman" w:cs="Times New Roman"/>
          <w:lang w:val="en-GB"/>
        </w:rPr>
        <w:t>(Sierra Praeli</w:t>
      </w:r>
      <w:r w:rsidRPr="00D443E7">
        <w:rPr>
          <w:rFonts w:ascii="Times New Roman" w:hAnsi="Times New Roman" w:cs="Times New Roman"/>
          <w:lang w:val="en-GB"/>
        </w:rPr>
        <w:t xml:space="preserve"> 2017). The Malaysian agribusiness Group Melka, is under investi</w:t>
      </w:r>
      <w:r w:rsidR="004615E4">
        <w:rPr>
          <w:rFonts w:ascii="Times New Roman" w:hAnsi="Times New Roman" w:cs="Times New Roman"/>
          <w:lang w:val="en-GB"/>
        </w:rPr>
        <w:t>gation (Salazar and Rivadeneyra</w:t>
      </w:r>
      <w:r w:rsidRPr="00D443E7">
        <w:rPr>
          <w:rFonts w:ascii="Times New Roman" w:hAnsi="Times New Roman" w:cs="Times New Roman"/>
          <w:lang w:val="en-GB"/>
        </w:rPr>
        <w:t xml:space="preserve"> 2016) for deforesting 10,926 ha of primary forest in the district between October 2011 and November 2013, after allegedly invading 827 ha of land belonging to smallho</w:t>
      </w:r>
      <w:r w:rsidR="004615E4">
        <w:rPr>
          <w:rFonts w:ascii="Times New Roman" w:hAnsi="Times New Roman" w:cs="Times New Roman"/>
          <w:lang w:val="en-GB"/>
        </w:rPr>
        <w:t>lders (Pautrat</w:t>
      </w:r>
      <w:r w:rsidRPr="00D443E7">
        <w:rPr>
          <w:rFonts w:ascii="Times New Roman" w:hAnsi="Times New Roman" w:cs="Times New Roman"/>
          <w:lang w:val="en-GB"/>
        </w:rPr>
        <w:t xml:space="preserve"> 2013). In 2017, the group withdrew its company, “Plantaciones de Pucallpa SAC”, from the Roundtable on Sustain</w:t>
      </w:r>
      <w:r w:rsidR="004615E4">
        <w:rPr>
          <w:rFonts w:ascii="Times New Roman" w:hAnsi="Times New Roman" w:cs="Times New Roman"/>
          <w:lang w:val="en-GB"/>
        </w:rPr>
        <w:t>able Palm Oil (Lopez Tarabochia</w:t>
      </w:r>
      <w:r w:rsidRPr="00D443E7">
        <w:rPr>
          <w:rFonts w:ascii="Times New Roman" w:hAnsi="Times New Roman" w:cs="Times New Roman"/>
          <w:lang w:val="en-GB"/>
        </w:rPr>
        <w:t xml:space="preserve"> 2016). The National Forest and Wildlife Service, created in 2014, estimated  the value of deforestation by the Melka Group in Ucayali </w:t>
      </w:r>
      <w:r w:rsidR="004615E4">
        <w:rPr>
          <w:rFonts w:ascii="Times New Roman" w:hAnsi="Times New Roman" w:cs="Times New Roman"/>
          <w:lang w:val="en-GB"/>
        </w:rPr>
        <w:t>at about US$68 million (Amancio</w:t>
      </w:r>
      <w:r w:rsidRPr="00D443E7">
        <w:rPr>
          <w:rFonts w:ascii="Times New Roman" w:hAnsi="Times New Roman" w:cs="Times New Roman"/>
          <w:lang w:val="en-GB"/>
        </w:rPr>
        <w:t xml:space="preserve"> 2016).</w:t>
      </w:r>
    </w:p>
    <w:p w:rsidR="005F4213" w:rsidRPr="004615E4" w:rsidRDefault="005F4213" w:rsidP="00D443E7">
      <w:pPr>
        <w:spacing w:line="360" w:lineRule="auto"/>
        <w:rPr>
          <w:rFonts w:ascii="Times New Roman" w:hAnsi="Times New Roman" w:cs="Times New Roman"/>
          <w:b/>
          <w:lang w:val="es-ES"/>
        </w:rPr>
      </w:pPr>
      <w:r w:rsidRPr="004615E4">
        <w:rPr>
          <w:rFonts w:ascii="Times New Roman" w:hAnsi="Times New Roman" w:cs="Times New Roman"/>
          <w:b/>
          <w:lang w:val="es-ES"/>
        </w:rPr>
        <w:t>References</w:t>
      </w:r>
    </w:p>
    <w:p w:rsidR="005F4213" w:rsidRPr="00D443E7" w:rsidRDefault="004615E4" w:rsidP="00D443E7">
      <w:pPr>
        <w:spacing w:line="360" w:lineRule="auto"/>
        <w:rPr>
          <w:rFonts w:ascii="Times New Roman" w:hAnsi="Times New Roman" w:cs="Times New Roman"/>
          <w:lang w:val="en-GB"/>
        </w:rPr>
      </w:pPr>
      <w:r>
        <w:rPr>
          <w:rFonts w:ascii="Times New Roman" w:hAnsi="Times New Roman" w:cs="Times New Roman"/>
          <w:lang w:val="es-ES"/>
        </w:rPr>
        <w:t>Amancio, N.</w:t>
      </w:r>
      <w:r w:rsidR="005F4213" w:rsidRPr="00D443E7">
        <w:rPr>
          <w:rFonts w:ascii="Times New Roman" w:hAnsi="Times New Roman" w:cs="Times New Roman"/>
          <w:lang w:val="es-ES"/>
        </w:rPr>
        <w:t xml:space="preserve"> </w:t>
      </w:r>
      <w:r>
        <w:rPr>
          <w:rFonts w:ascii="Times New Roman" w:hAnsi="Times New Roman" w:cs="Times New Roman"/>
          <w:lang w:val="es-ES"/>
        </w:rPr>
        <w:t>(</w:t>
      </w:r>
      <w:r w:rsidR="005F4213" w:rsidRPr="00D443E7">
        <w:rPr>
          <w:rFonts w:ascii="Times New Roman" w:hAnsi="Times New Roman" w:cs="Times New Roman"/>
          <w:lang w:val="es-ES"/>
        </w:rPr>
        <w:t>2016</w:t>
      </w:r>
      <w:r>
        <w:rPr>
          <w:rFonts w:ascii="Times New Roman" w:hAnsi="Times New Roman" w:cs="Times New Roman"/>
          <w:lang w:val="es-ES"/>
        </w:rPr>
        <w:t>)</w:t>
      </w:r>
      <w:r w:rsidR="005F4213" w:rsidRPr="00D443E7">
        <w:rPr>
          <w:rFonts w:ascii="Times New Roman" w:hAnsi="Times New Roman" w:cs="Times New Roman"/>
          <w:lang w:val="es-ES"/>
        </w:rPr>
        <w:t>. Serfor: Daños ocasionados por empresas vinculadas a Dennis Melka suman US$ 117 millon</w:t>
      </w:r>
      <w:r>
        <w:rPr>
          <w:rFonts w:ascii="Times New Roman" w:hAnsi="Times New Roman" w:cs="Times New Roman"/>
          <w:lang w:val="es-ES"/>
        </w:rPr>
        <w:t>es.</w:t>
      </w:r>
      <w:r w:rsidRPr="004615E4">
        <w:rPr>
          <w:rFonts w:ascii="Times New Roman" w:hAnsi="Times New Roman" w:cs="Times New Roman"/>
          <w:lang w:val="es-ES"/>
        </w:rPr>
        <w:t xml:space="preserve"> </w:t>
      </w:r>
      <w:r w:rsidRPr="00D443E7">
        <w:rPr>
          <w:rFonts w:ascii="Times New Roman" w:hAnsi="Times New Roman" w:cs="Times New Roman"/>
          <w:lang w:val="es-ES"/>
        </w:rPr>
        <w:t>[WWW Document]</w:t>
      </w:r>
      <w:r>
        <w:rPr>
          <w:rFonts w:ascii="Times New Roman" w:hAnsi="Times New Roman" w:cs="Times New Roman"/>
          <w:lang w:val="es-ES"/>
        </w:rPr>
        <w:t xml:space="preserve"> Ojo Público.</w:t>
      </w:r>
      <w:r w:rsidR="005F4213" w:rsidRPr="00D443E7">
        <w:rPr>
          <w:rFonts w:ascii="Times New Roman" w:hAnsi="Times New Roman" w:cs="Times New Roman"/>
          <w:lang w:val="es-ES"/>
        </w:rPr>
        <w:t xml:space="preserve"> Las historias que otros no te quieren contar. </w:t>
      </w:r>
      <w:r w:rsidR="005F4213" w:rsidRPr="004615E4">
        <w:rPr>
          <w:rFonts w:ascii="Times New Roman" w:hAnsi="Times New Roman" w:cs="Times New Roman"/>
          <w:lang w:val="es-ES"/>
        </w:rPr>
        <w:t>URL http://ojo-publico.com/307/empresas-vinculadas-dennis-melka-ocasionaron-millonaria-deforestac</w:t>
      </w:r>
      <w:r w:rsidR="005F4213" w:rsidRPr="00D443E7">
        <w:rPr>
          <w:rFonts w:ascii="Times New Roman" w:hAnsi="Times New Roman" w:cs="Times New Roman"/>
          <w:lang w:val="en-GB"/>
        </w:rPr>
        <w:t>ion-en-la-amazonia (accessed 10.24.17).</w:t>
      </w:r>
    </w:p>
    <w:p w:rsidR="004615E4" w:rsidRDefault="004615E4" w:rsidP="00D443E7">
      <w:pPr>
        <w:spacing w:line="360" w:lineRule="auto"/>
        <w:rPr>
          <w:rFonts w:ascii="Times New Roman" w:hAnsi="Times New Roman" w:cs="Times New Roman"/>
          <w:lang w:val="es-ES"/>
        </w:rPr>
      </w:pPr>
      <w:r w:rsidRPr="004615E4">
        <w:rPr>
          <w:rFonts w:ascii="Times New Roman" w:hAnsi="Times New Roman" w:cs="Times New Roman"/>
          <w:lang w:val="es-ES"/>
        </w:rPr>
        <w:t>Banco Central de Reserva del Perú (2012). Informe Económico y Social Ucayali, Encuentro Económico. Banco Central de Reserva del Perú (BCRP), Perú. 147 p.</w:t>
      </w:r>
    </w:p>
    <w:p w:rsidR="005F4213" w:rsidRPr="00D443E7" w:rsidRDefault="004615E4" w:rsidP="00D443E7">
      <w:pPr>
        <w:spacing w:line="360" w:lineRule="auto"/>
        <w:rPr>
          <w:rFonts w:ascii="Times New Roman" w:hAnsi="Times New Roman" w:cs="Times New Roman"/>
          <w:lang w:val="es-ES"/>
        </w:rPr>
      </w:pPr>
      <w:r w:rsidRPr="00D443E7">
        <w:rPr>
          <w:rFonts w:ascii="Times New Roman" w:hAnsi="Times New Roman" w:cs="Times New Roman"/>
          <w:lang w:val="es-ES"/>
        </w:rPr>
        <w:lastRenderedPageBreak/>
        <w:t>Ban</w:t>
      </w:r>
      <w:r>
        <w:rPr>
          <w:rFonts w:ascii="Times New Roman" w:hAnsi="Times New Roman" w:cs="Times New Roman"/>
          <w:lang w:val="es-ES"/>
        </w:rPr>
        <w:t>co Central de Reserva del Perú</w:t>
      </w:r>
      <w:r>
        <w:rPr>
          <w:rFonts w:ascii="Times New Roman" w:hAnsi="Times New Roman" w:cs="Times New Roman"/>
          <w:lang w:val="es-ES"/>
        </w:rPr>
        <w:t xml:space="preserve"> (</w:t>
      </w:r>
      <w:r w:rsidR="005F4213" w:rsidRPr="00D443E7">
        <w:rPr>
          <w:rFonts w:ascii="Times New Roman" w:hAnsi="Times New Roman" w:cs="Times New Roman"/>
          <w:lang w:val="es-ES"/>
        </w:rPr>
        <w:t>2014</w:t>
      </w:r>
      <w:r>
        <w:rPr>
          <w:rFonts w:ascii="Times New Roman" w:hAnsi="Times New Roman" w:cs="Times New Roman"/>
          <w:lang w:val="es-ES"/>
        </w:rPr>
        <w:t>)</w:t>
      </w:r>
      <w:r w:rsidR="005F4213" w:rsidRPr="00D443E7">
        <w:rPr>
          <w:rFonts w:ascii="Times New Roman" w:hAnsi="Times New Roman" w:cs="Times New Roman"/>
          <w:lang w:val="es-ES"/>
        </w:rPr>
        <w:t xml:space="preserve">. Ucayali: </w:t>
      </w:r>
      <w:r w:rsidR="000405BE" w:rsidRPr="00D443E7">
        <w:rPr>
          <w:rFonts w:ascii="Times New Roman" w:hAnsi="Times New Roman" w:cs="Times New Roman"/>
          <w:lang w:val="es-ES"/>
        </w:rPr>
        <w:t>Síntesis</w:t>
      </w:r>
      <w:r w:rsidR="005F4213" w:rsidRPr="00D443E7">
        <w:rPr>
          <w:rFonts w:ascii="Times New Roman" w:hAnsi="Times New Roman" w:cs="Times New Roman"/>
          <w:lang w:val="es-ES"/>
        </w:rPr>
        <w:t xml:space="preserve"> de actividad </w:t>
      </w:r>
      <w:r w:rsidR="000405BE" w:rsidRPr="00D443E7">
        <w:rPr>
          <w:rFonts w:ascii="Times New Roman" w:hAnsi="Times New Roman" w:cs="Times New Roman"/>
          <w:lang w:val="es-ES"/>
        </w:rPr>
        <w:t>económica</w:t>
      </w:r>
      <w:r w:rsidR="005F4213" w:rsidRPr="00D443E7">
        <w:rPr>
          <w:rFonts w:ascii="Times New Roman" w:hAnsi="Times New Roman" w:cs="Times New Roman"/>
          <w:lang w:val="es-ES"/>
        </w:rPr>
        <w:t>. Enero 2014., Departamento de Estudios Económicos. Banco Central de Reserva del Perú (BCRP), Iquitos, Perú.</w:t>
      </w:r>
      <w:r w:rsidR="000405BE">
        <w:rPr>
          <w:rFonts w:ascii="Times New Roman" w:hAnsi="Times New Roman" w:cs="Times New Roman"/>
          <w:lang w:val="es-ES"/>
        </w:rPr>
        <w:t xml:space="preserve"> P. 12</w:t>
      </w:r>
      <w:bookmarkStart w:id="0" w:name="_GoBack"/>
      <w:bookmarkEnd w:id="0"/>
    </w:p>
    <w:p w:rsidR="005F4213" w:rsidRPr="00D443E7" w:rsidRDefault="004615E4" w:rsidP="00D443E7">
      <w:pPr>
        <w:spacing w:line="360" w:lineRule="auto"/>
        <w:rPr>
          <w:rFonts w:ascii="Times New Roman" w:hAnsi="Times New Roman" w:cs="Times New Roman"/>
          <w:lang w:val="es-ES"/>
        </w:rPr>
      </w:pPr>
      <w:r w:rsidRPr="004615E4">
        <w:rPr>
          <w:rFonts w:ascii="Times New Roman" w:hAnsi="Times New Roman" w:cs="Times New Roman"/>
          <w:lang w:val="fr-FR"/>
        </w:rPr>
        <w:t>Fort, R., Borasino, E. (Eds.)</w:t>
      </w:r>
      <w:r w:rsidR="005F4213" w:rsidRPr="004615E4">
        <w:rPr>
          <w:rFonts w:ascii="Times New Roman" w:hAnsi="Times New Roman" w:cs="Times New Roman"/>
          <w:lang w:val="fr-FR"/>
        </w:rPr>
        <w:t xml:space="preserve"> </w:t>
      </w:r>
      <w:r>
        <w:rPr>
          <w:rFonts w:ascii="Times New Roman" w:hAnsi="Times New Roman" w:cs="Times New Roman"/>
          <w:lang w:val="fr-FR"/>
        </w:rPr>
        <w:t>(</w:t>
      </w:r>
      <w:r w:rsidR="005F4213" w:rsidRPr="004615E4">
        <w:rPr>
          <w:rFonts w:ascii="Times New Roman" w:hAnsi="Times New Roman" w:cs="Times New Roman"/>
          <w:lang w:val="fr-FR"/>
        </w:rPr>
        <w:t>2016</w:t>
      </w:r>
      <w:r>
        <w:rPr>
          <w:rFonts w:ascii="Times New Roman" w:hAnsi="Times New Roman" w:cs="Times New Roman"/>
          <w:lang w:val="fr-FR"/>
        </w:rPr>
        <w:t>)</w:t>
      </w:r>
      <w:r w:rsidR="005F4213" w:rsidRPr="004615E4">
        <w:rPr>
          <w:rFonts w:ascii="Times New Roman" w:hAnsi="Times New Roman" w:cs="Times New Roman"/>
          <w:lang w:val="fr-FR"/>
        </w:rPr>
        <w:t xml:space="preserve">. </w:t>
      </w:r>
      <w:r w:rsidR="005F4213" w:rsidRPr="00D443E7">
        <w:rPr>
          <w:rFonts w:ascii="Times New Roman" w:hAnsi="Times New Roman" w:cs="Times New Roman"/>
          <w:lang w:val="es-ES"/>
        </w:rPr>
        <w:t>¿Agroindustria en la Amazonía? posibilidades para el desarrollo inclusivo y sostenible de la palma aceitera en el Perú. GRADE, Grupo de Análisis para el Desarrollo, Lima, Perú.</w:t>
      </w:r>
    </w:p>
    <w:p w:rsidR="004615E4" w:rsidRDefault="004615E4" w:rsidP="00D443E7">
      <w:pPr>
        <w:spacing w:line="360" w:lineRule="auto"/>
        <w:rPr>
          <w:rFonts w:ascii="Times New Roman" w:hAnsi="Times New Roman" w:cs="Times New Roman"/>
          <w:lang w:val="es-ES"/>
        </w:rPr>
      </w:pPr>
      <w:r>
        <w:rPr>
          <w:rFonts w:ascii="Times New Roman" w:hAnsi="Times New Roman" w:cs="Times New Roman"/>
          <w:lang w:val="es-ES"/>
        </w:rPr>
        <w:t>Gobierno Regional de Ucayali</w:t>
      </w:r>
      <w:r w:rsidR="005F4213" w:rsidRPr="00D443E7">
        <w:rPr>
          <w:rFonts w:ascii="Times New Roman" w:hAnsi="Times New Roman" w:cs="Times New Roman"/>
          <w:lang w:val="es-ES"/>
        </w:rPr>
        <w:t xml:space="preserve"> </w:t>
      </w:r>
      <w:r>
        <w:rPr>
          <w:rFonts w:ascii="Times New Roman" w:hAnsi="Times New Roman" w:cs="Times New Roman"/>
          <w:lang w:val="es-ES"/>
        </w:rPr>
        <w:t>(</w:t>
      </w:r>
      <w:r w:rsidR="005F4213" w:rsidRPr="00D443E7">
        <w:rPr>
          <w:rFonts w:ascii="Times New Roman" w:hAnsi="Times New Roman" w:cs="Times New Roman"/>
          <w:lang w:val="es-ES"/>
        </w:rPr>
        <w:t>2012</w:t>
      </w:r>
      <w:r>
        <w:rPr>
          <w:rFonts w:ascii="Times New Roman" w:hAnsi="Times New Roman" w:cs="Times New Roman"/>
          <w:lang w:val="es-ES"/>
        </w:rPr>
        <w:t>)</w:t>
      </w:r>
      <w:r w:rsidR="005F4213" w:rsidRPr="00D443E7">
        <w:rPr>
          <w:rFonts w:ascii="Times New Roman" w:hAnsi="Times New Roman" w:cs="Times New Roman"/>
          <w:lang w:val="es-ES"/>
        </w:rPr>
        <w:t xml:space="preserve">. Cadena Productiva de palma aceitera en la region Ucayali. Direccion regional sectorial de agricultura de Ucayali. Peru. </w:t>
      </w:r>
    </w:p>
    <w:p w:rsidR="005F4213" w:rsidRPr="00D443E7" w:rsidRDefault="004615E4" w:rsidP="00D443E7">
      <w:pPr>
        <w:spacing w:line="360" w:lineRule="auto"/>
        <w:rPr>
          <w:rFonts w:ascii="Times New Roman" w:hAnsi="Times New Roman" w:cs="Times New Roman"/>
          <w:lang w:val="en-GB"/>
        </w:rPr>
      </w:pPr>
      <w:r>
        <w:rPr>
          <w:rFonts w:ascii="Times New Roman" w:hAnsi="Times New Roman" w:cs="Times New Roman"/>
          <w:lang w:val="es-ES"/>
        </w:rPr>
        <w:t>Lopez Tarabochia, M.</w:t>
      </w:r>
      <w:r w:rsidR="005F4213" w:rsidRPr="00D443E7">
        <w:rPr>
          <w:rFonts w:ascii="Times New Roman" w:hAnsi="Times New Roman" w:cs="Times New Roman"/>
          <w:lang w:val="es-ES"/>
        </w:rPr>
        <w:t xml:space="preserve"> </w:t>
      </w:r>
      <w:r>
        <w:rPr>
          <w:rFonts w:ascii="Times New Roman" w:hAnsi="Times New Roman" w:cs="Times New Roman"/>
          <w:lang w:val="es-ES"/>
        </w:rPr>
        <w:t>(</w:t>
      </w:r>
      <w:r w:rsidR="005F4213" w:rsidRPr="00D443E7">
        <w:rPr>
          <w:rFonts w:ascii="Times New Roman" w:hAnsi="Times New Roman" w:cs="Times New Roman"/>
          <w:lang w:val="es-ES"/>
        </w:rPr>
        <w:t>2016</w:t>
      </w:r>
      <w:r>
        <w:rPr>
          <w:rFonts w:ascii="Times New Roman" w:hAnsi="Times New Roman" w:cs="Times New Roman"/>
          <w:lang w:val="es-ES"/>
        </w:rPr>
        <w:t>)</w:t>
      </w:r>
      <w:r w:rsidR="005F4213" w:rsidRPr="00D443E7">
        <w:rPr>
          <w:rFonts w:ascii="Times New Roman" w:hAnsi="Times New Roman" w:cs="Times New Roman"/>
          <w:lang w:val="es-ES"/>
        </w:rPr>
        <w:t xml:space="preserve">. Empresa del Grupo Melka se retira de Mesa Sostenible de la Palma Aceitera [WWW Document]. </w:t>
      </w:r>
      <w:r w:rsidR="005F4213" w:rsidRPr="00D443E7">
        <w:rPr>
          <w:rFonts w:ascii="Times New Roman" w:hAnsi="Times New Roman" w:cs="Times New Roman"/>
          <w:lang w:val="en-GB"/>
        </w:rPr>
        <w:t>M</w:t>
      </w:r>
      <w:r>
        <w:rPr>
          <w:rFonts w:ascii="Times New Roman" w:hAnsi="Times New Roman" w:cs="Times New Roman"/>
          <w:lang w:val="en-GB"/>
        </w:rPr>
        <w:t xml:space="preserve">ongabay Environmental News. URL: </w:t>
      </w:r>
      <w:r w:rsidRPr="004615E4">
        <w:rPr>
          <w:rFonts w:ascii="Times New Roman" w:hAnsi="Times New Roman" w:cs="Times New Roman"/>
          <w:lang w:val="en-GB"/>
        </w:rPr>
        <w:t>https://es.mongabay.com/2016/11/deforestacion-melka-pucallpa/</w:t>
      </w:r>
      <w:r>
        <w:rPr>
          <w:rFonts w:ascii="Times New Roman" w:hAnsi="Times New Roman" w:cs="Times New Roman"/>
          <w:lang w:val="en-GB"/>
        </w:rPr>
        <w:t xml:space="preserve"> (accessed 10.24.17)</w:t>
      </w:r>
    </w:p>
    <w:p w:rsidR="005F4213" w:rsidRPr="00D443E7" w:rsidRDefault="004615E4" w:rsidP="00D443E7">
      <w:pPr>
        <w:spacing w:line="360" w:lineRule="auto"/>
        <w:rPr>
          <w:rFonts w:ascii="Times New Roman" w:hAnsi="Times New Roman" w:cs="Times New Roman"/>
          <w:lang w:val="en-GB"/>
        </w:rPr>
      </w:pPr>
      <w:r>
        <w:rPr>
          <w:rFonts w:ascii="Times New Roman" w:hAnsi="Times New Roman" w:cs="Times New Roman"/>
          <w:lang w:val="en-GB"/>
        </w:rPr>
        <w:t>Pacheco, P. (</w:t>
      </w:r>
      <w:r w:rsidR="005F4213" w:rsidRPr="00D443E7">
        <w:rPr>
          <w:rFonts w:ascii="Times New Roman" w:hAnsi="Times New Roman" w:cs="Times New Roman"/>
          <w:lang w:val="en-GB"/>
        </w:rPr>
        <w:t>2012</w:t>
      </w:r>
      <w:r>
        <w:rPr>
          <w:rFonts w:ascii="Times New Roman" w:hAnsi="Times New Roman" w:cs="Times New Roman"/>
          <w:lang w:val="en-GB"/>
        </w:rPr>
        <w:t>)</w:t>
      </w:r>
      <w:r w:rsidR="005F4213" w:rsidRPr="00D443E7">
        <w:rPr>
          <w:rFonts w:ascii="Times New Roman" w:hAnsi="Times New Roman" w:cs="Times New Roman"/>
          <w:lang w:val="en-GB"/>
        </w:rPr>
        <w:t>. Soybean and oil palm expansion in South America: a review of main trends and implications. Center for International Forestry Research (CIFOR), Bogor, Indonesia.</w:t>
      </w:r>
    </w:p>
    <w:p w:rsidR="004615E4" w:rsidRDefault="004615E4" w:rsidP="00D443E7">
      <w:pPr>
        <w:spacing w:line="360" w:lineRule="auto"/>
        <w:rPr>
          <w:rFonts w:ascii="Times New Roman" w:hAnsi="Times New Roman" w:cs="Times New Roman"/>
          <w:lang w:val="es-ES"/>
        </w:rPr>
      </w:pPr>
      <w:r w:rsidRPr="004615E4">
        <w:rPr>
          <w:rFonts w:ascii="Times New Roman" w:hAnsi="Times New Roman" w:cs="Times New Roman"/>
          <w:lang w:val="es-ES"/>
        </w:rPr>
        <w:t>Pautrat, L. (2013). Empresas de palma aceitera deforestan 13076 hectareas de bosques primarios en los ultimos meses. Sociedad Peruana para el Ecodesarrollo (SPDA), Lima, Perú. 22 p.</w:t>
      </w:r>
    </w:p>
    <w:p w:rsidR="004615E4" w:rsidRDefault="004615E4" w:rsidP="00D443E7">
      <w:pPr>
        <w:spacing w:line="360" w:lineRule="auto"/>
        <w:rPr>
          <w:rFonts w:ascii="Times New Roman" w:hAnsi="Times New Roman" w:cs="Times New Roman"/>
          <w:lang w:val="es-ES"/>
        </w:rPr>
      </w:pPr>
      <w:r w:rsidRPr="004615E4">
        <w:rPr>
          <w:rFonts w:ascii="Times New Roman" w:hAnsi="Times New Roman" w:cs="Times New Roman"/>
          <w:lang w:val="es-ES"/>
        </w:rPr>
        <w:t>Salazar, M., &amp; Rivadeneyra, D. (2016). Amazonía arrasada: El Grupo Melka y la deforestación en el Perú | Oxfam en Perú. Convoca, OXFAM. 33 p.</w:t>
      </w:r>
    </w:p>
    <w:p w:rsidR="005F4213" w:rsidRPr="00D443E7" w:rsidRDefault="005F4213" w:rsidP="00D443E7">
      <w:pPr>
        <w:spacing w:line="360" w:lineRule="auto"/>
        <w:rPr>
          <w:rFonts w:ascii="Times New Roman" w:hAnsi="Times New Roman" w:cs="Times New Roman"/>
          <w:lang w:val="en-GB"/>
        </w:rPr>
      </w:pPr>
      <w:r w:rsidRPr="00D443E7">
        <w:rPr>
          <w:rFonts w:ascii="Times New Roman" w:hAnsi="Times New Roman" w:cs="Times New Roman"/>
          <w:lang w:val="es-ES"/>
        </w:rPr>
        <w:t xml:space="preserve">Sierra Praeli, Y., 2017. Bosques de Ucayali: un botín para los traficantes de tierras en Perú [WWW Document]. </w:t>
      </w:r>
      <w:r w:rsidRPr="00D443E7">
        <w:rPr>
          <w:rFonts w:ascii="Times New Roman" w:hAnsi="Times New Roman" w:cs="Times New Roman"/>
          <w:lang w:val="en-GB"/>
        </w:rPr>
        <w:t>Mongabay Environmental News. URL https://es.mongabay.com/2017/09/bosques-ucayali-botin-los-traficantes-tierras-peru/ (accessed 10.24.17).</w:t>
      </w:r>
    </w:p>
    <w:p w:rsidR="00897FD6" w:rsidRPr="00D443E7" w:rsidRDefault="00897FD6" w:rsidP="00D443E7">
      <w:pPr>
        <w:rPr>
          <w:rFonts w:ascii="Times New Roman" w:hAnsi="Times New Roman" w:cs="Times New Roman"/>
          <w:lang w:val="en-GB"/>
        </w:rPr>
        <w:sectPr w:rsidR="00897FD6" w:rsidRPr="00D443E7" w:rsidSect="00D443E7">
          <w:type w:val="continuous"/>
          <w:pgSz w:w="11906" w:h="16838"/>
          <w:pgMar w:top="1417" w:right="1417" w:bottom="1417" w:left="1417" w:header="708" w:footer="708" w:gutter="0"/>
          <w:lnNumType w:countBy="1" w:restart="continuous"/>
          <w:cols w:space="708"/>
          <w:docGrid w:linePitch="360"/>
        </w:sectPr>
      </w:pPr>
    </w:p>
    <w:p w:rsidR="00737753" w:rsidRPr="00D443E7" w:rsidRDefault="00897FD6" w:rsidP="00D443E7">
      <w:pPr>
        <w:pStyle w:val="Titre2"/>
        <w:rPr>
          <w:rFonts w:ascii="Times New Roman" w:hAnsi="Times New Roman" w:cs="Times New Roman"/>
          <w:sz w:val="22"/>
          <w:lang w:val="en-GB"/>
        </w:rPr>
      </w:pPr>
      <w:r w:rsidRPr="00D443E7">
        <w:rPr>
          <w:rFonts w:ascii="Times New Roman" w:hAnsi="Times New Roman" w:cs="Times New Roman"/>
          <w:sz w:val="22"/>
          <w:lang w:val="en-GB"/>
        </w:rPr>
        <w:lastRenderedPageBreak/>
        <w:t>S4. Households’ reasons for land use change made by each household over time*</w:t>
      </w:r>
    </w:p>
    <w:p w:rsidR="00897FD6" w:rsidRPr="00D443E7" w:rsidRDefault="00897FD6" w:rsidP="00D443E7">
      <w:pPr>
        <w:rPr>
          <w:rFonts w:ascii="Times New Roman" w:hAnsi="Times New Roman" w:cs="Times New Roman"/>
          <w:lang w:val="en-GB"/>
        </w:rPr>
      </w:pPr>
      <w:r w:rsidRPr="00D443E7">
        <w:rPr>
          <w:rFonts w:ascii="Times New Roman" w:hAnsi="Times New Roman" w:cs="Times New Roman"/>
          <w:lang w:val="en-GB"/>
        </w:rPr>
        <w:t xml:space="preserve"> </w:t>
      </w:r>
    </w:p>
    <w:tbl>
      <w:tblPr>
        <w:tblW w:w="0" w:type="auto"/>
        <w:tblLayout w:type="fixed"/>
        <w:tblCellMar>
          <w:left w:w="70" w:type="dxa"/>
          <w:right w:w="70" w:type="dxa"/>
        </w:tblCellMar>
        <w:tblLook w:val="04A0" w:firstRow="1" w:lastRow="0" w:firstColumn="1" w:lastColumn="0" w:noHBand="0" w:noVBand="1"/>
      </w:tblPr>
      <w:tblGrid>
        <w:gridCol w:w="6728"/>
        <w:gridCol w:w="330"/>
        <w:gridCol w:w="330"/>
        <w:gridCol w:w="330"/>
        <w:gridCol w:w="330"/>
        <w:gridCol w:w="330"/>
        <w:gridCol w:w="330"/>
        <w:gridCol w:w="330"/>
        <w:gridCol w:w="330"/>
        <w:gridCol w:w="165"/>
        <w:gridCol w:w="165"/>
        <w:gridCol w:w="330"/>
        <w:gridCol w:w="330"/>
        <w:gridCol w:w="330"/>
        <w:gridCol w:w="330"/>
        <w:gridCol w:w="330"/>
        <w:gridCol w:w="333"/>
        <w:gridCol w:w="333"/>
        <w:gridCol w:w="330"/>
        <w:gridCol w:w="330"/>
        <w:gridCol w:w="330"/>
        <w:gridCol w:w="330"/>
        <w:gridCol w:w="330"/>
        <w:gridCol w:w="330"/>
      </w:tblGrid>
      <w:tr w:rsidR="00897FD6" w:rsidRPr="00D443E7" w:rsidTr="00897FD6">
        <w:trPr>
          <w:cantSplit/>
          <w:trHeight w:val="20"/>
        </w:trPr>
        <w:tc>
          <w:tcPr>
            <w:tcW w:w="6728" w:type="dxa"/>
            <w:tcBorders>
              <w:top w:val="single" w:sz="4" w:space="0" w:color="auto"/>
              <w:left w:val="nil"/>
              <w:bottom w:val="single" w:sz="8" w:space="0" w:color="auto"/>
              <w:right w:val="single" w:sz="8" w:space="0" w:color="auto"/>
            </w:tcBorders>
            <w:shd w:val="clear" w:color="auto" w:fill="auto"/>
            <w:vAlign w:val="center"/>
          </w:tcPr>
          <w:p w:rsidR="00897FD6" w:rsidRPr="00D443E7" w:rsidRDefault="00897FD6" w:rsidP="00D443E7">
            <w:pPr>
              <w:spacing w:after="0" w:line="240" w:lineRule="auto"/>
              <w:rPr>
                <w:rFonts w:ascii="Times New Roman" w:eastAsia="Times New Roman" w:hAnsi="Times New Roman" w:cs="Times New Roman"/>
                <w:b/>
                <w:bCs/>
                <w:color w:val="000000"/>
                <w:sz w:val="18"/>
                <w:szCs w:val="16"/>
                <w:lang w:val="en-GB" w:eastAsia="fr-FR"/>
              </w:rPr>
            </w:pPr>
          </w:p>
        </w:tc>
        <w:tc>
          <w:tcPr>
            <w:tcW w:w="1650" w:type="dxa"/>
            <w:gridSpan w:val="5"/>
            <w:tcBorders>
              <w:top w:val="single" w:sz="4" w:space="0" w:color="auto"/>
              <w:left w:val="nil"/>
              <w:bottom w:val="nil"/>
              <w:right w:val="single" w:sz="8" w:space="0" w:color="auto"/>
            </w:tcBorders>
            <w:shd w:val="clear" w:color="auto" w:fill="auto"/>
            <w:vAlign w:val="center"/>
          </w:tcPr>
          <w:p w:rsidR="00897FD6" w:rsidRPr="00D443E7" w:rsidRDefault="00897FD6" w:rsidP="00D443E7">
            <w:pPr>
              <w:spacing w:after="0" w:line="240" w:lineRule="auto"/>
              <w:jc w:val="center"/>
              <w:rPr>
                <w:rFonts w:ascii="Times New Roman" w:eastAsia="Times New Roman" w:hAnsi="Times New Roman" w:cs="Times New Roman"/>
                <w:b/>
                <w:color w:val="000000"/>
                <w:sz w:val="18"/>
                <w:szCs w:val="16"/>
                <w:lang w:val="en-GB" w:eastAsia="fr-FR"/>
              </w:rPr>
            </w:pPr>
            <w:r w:rsidRPr="00D443E7">
              <w:rPr>
                <w:rFonts w:ascii="Times New Roman" w:eastAsia="Times New Roman" w:hAnsi="Times New Roman" w:cs="Times New Roman"/>
                <w:b/>
                <w:color w:val="000000"/>
                <w:sz w:val="18"/>
                <w:szCs w:val="16"/>
                <w:lang w:val="en-GB" w:eastAsia="fr-FR"/>
              </w:rPr>
              <w:t>Forest</w:t>
            </w:r>
          </w:p>
        </w:tc>
        <w:tc>
          <w:tcPr>
            <w:tcW w:w="1980" w:type="dxa"/>
            <w:gridSpan w:val="7"/>
            <w:tcBorders>
              <w:top w:val="single" w:sz="4" w:space="0" w:color="auto"/>
              <w:left w:val="nil"/>
              <w:bottom w:val="nil"/>
              <w:right w:val="single" w:sz="8" w:space="0" w:color="auto"/>
            </w:tcBorders>
            <w:shd w:val="clear" w:color="auto" w:fill="auto"/>
            <w:vAlign w:val="center"/>
          </w:tcPr>
          <w:p w:rsidR="00897FD6" w:rsidRPr="00D443E7" w:rsidRDefault="00897FD6" w:rsidP="00D443E7">
            <w:pPr>
              <w:spacing w:after="0" w:line="240" w:lineRule="auto"/>
              <w:jc w:val="center"/>
              <w:rPr>
                <w:rFonts w:ascii="Times New Roman" w:eastAsia="Times New Roman" w:hAnsi="Times New Roman" w:cs="Times New Roman"/>
                <w:b/>
                <w:color w:val="000000"/>
                <w:sz w:val="18"/>
                <w:szCs w:val="16"/>
                <w:lang w:val="en-GB" w:eastAsia="fr-FR"/>
              </w:rPr>
            </w:pPr>
            <w:r w:rsidRPr="00D443E7">
              <w:rPr>
                <w:rFonts w:ascii="Times New Roman" w:eastAsia="Times New Roman" w:hAnsi="Times New Roman" w:cs="Times New Roman"/>
                <w:b/>
                <w:color w:val="000000"/>
                <w:sz w:val="18"/>
                <w:szCs w:val="16"/>
                <w:lang w:val="en-GB" w:eastAsia="fr-FR"/>
              </w:rPr>
              <w:t>Maize</w:t>
            </w:r>
          </w:p>
        </w:tc>
        <w:tc>
          <w:tcPr>
            <w:tcW w:w="990" w:type="dxa"/>
            <w:gridSpan w:val="3"/>
            <w:tcBorders>
              <w:top w:val="single" w:sz="4" w:space="0" w:color="auto"/>
              <w:left w:val="nil"/>
              <w:bottom w:val="nil"/>
              <w:right w:val="single" w:sz="8" w:space="0" w:color="auto"/>
            </w:tcBorders>
            <w:shd w:val="clear" w:color="auto" w:fill="auto"/>
            <w:vAlign w:val="center"/>
          </w:tcPr>
          <w:p w:rsidR="00897FD6" w:rsidRPr="00D443E7" w:rsidRDefault="00897FD6" w:rsidP="00D443E7">
            <w:pPr>
              <w:spacing w:after="0" w:line="240" w:lineRule="auto"/>
              <w:jc w:val="center"/>
              <w:rPr>
                <w:rFonts w:ascii="Times New Roman" w:eastAsia="Times New Roman" w:hAnsi="Times New Roman" w:cs="Times New Roman"/>
                <w:b/>
                <w:color w:val="000000"/>
                <w:sz w:val="18"/>
                <w:szCs w:val="16"/>
                <w:lang w:val="en-GB" w:eastAsia="fr-FR"/>
              </w:rPr>
            </w:pPr>
            <w:r w:rsidRPr="00D443E7">
              <w:rPr>
                <w:rFonts w:ascii="Times New Roman" w:eastAsia="Times New Roman" w:hAnsi="Times New Roman" w:cs="Times New Roman"/>
                <w:b/>
                <w:color w:val="000000"/>
                <w:sz w:val="18"/>
                <w:szCs w:val="16"/>
                <w:lang w:val="en-GB" w:eastAsia="fr-FR"/>
              </w:rPr>
              <w:t>Fruits</w:t>
            </w:r>
          </w:p>
        </w:tc>
        <w:tc>
          <w:tcPr>
            <w:tcW w:w="666" w:type="dxa"/>
            <w:gridSpan w:val="2"/>
            <w:tcBorders>
              <w:top w:val="single" w:sz="4" w:space="0" w:color="auto"/>
              <w:left w:val="nil"/>
              <w:bottom w:val="nil"/>
              <w:right w:val="single" w:sz="8" w:space="0" w:color="auto"/>
            </w:tcBorders>
            <w:shd w:val="clear" w:color="auto" w:fill="auto"/>
            <w:vAlign w:val="center"/>
          </w:tcPr>
          <w:p w:rsidR="00897FD6" w:rsidRPr="00D443E7" w:rsidRDefault="00897FD6" w:rsidP="00D443E7">
            <w:pPr>
              <w:spacing w:after="0" w:line="240" w:lineRule="auto"/>
              <w:jc w:val="center"/>
              <w:rPr>
                <w:rFonts w:ascii="Times New Roman" w:eastAsia="Times New Roman" w:hAnsi="Times New Roman" w:cs="Times New Roman"/>
                <w:b/>
                <w:color w:val="000000"/>
                <w:sz w:val="18"/>
                <w:szCs w:val="16"/>
                <w:lang w:val="en-GB" w:eastAsia="fr-FR"/>
              </w:rPr>
            </w:pPr>
            <w:r w:rsidRPr="00D443E7">
              <w:rPr>
                <w:rFonts w:ascii="Times New Roman" w:eastAsia="Times New Roman" w:hAnsi="Times New Roman" w:cs="Times New Roman"/>
                <w:b/>
                <w:color w:val="000000"/>
                <w:sz w:val="18"/>
                <w:szCs w:val="16"/>
                <w:lang w:val="en-GB" w:eastAsia="fr-FR"/>
              </w:rPr>
              <w:t>Pasture</w:t>
            </w:r>
          </w:p>
        </w:tc>
        <w:tc>
          <w:tcPr>
            <w:tcW w:w="1320" w:type="dxa"/>
            <w:gridSpan w:val="4"/>
            <w:tcBorders>
              <w:top w:val="single" w:sz="4" w:space="0" w:color="auto"/>
              <w:left w:val="nil"/>
              <w:bottom w:val="nil"/>
              <w:right w:val="single" w:sz="8" w:space="0" w:color="auto"/>
            </w:tcBorders>
            <w:shd w:val="clear" w:color="auto" w:fill="auto"/>
            <w:vAlign w:val="center"/>
          </w:tcPr>
          <w:p w:rsidR="00897FD6" w:rsidRPr="00D443E7" w:rsidRDefault="00897FD6" w:rsidP="00D443E7">
            <w:pPr>
              <w:spacing w:after="0" w:line="240" w:lineRule="auto"/>
              <w:jc w:val="center"/>
              <w:rPr>
                <w:rFonts w:ascii="Times New Roman" w:eastAsia="Times New Roman" w:hAnsi="Times New Roman" w:cs="Times New Roman"/>
                <w:b/>
                <w:color w:val="000000"/>
                <w:sz w:val="18"/>
                <w:szCs w:val="16"/>
                <w:lang w:val="en-GB" w:eastAsia="fr-FR"/>
              </w:rPr>
            </w:pPr>
            <w:r w:rsidRPr="00D443E7">
              <w:rPr>
                <w:rFonts w:ascii="Times New Roman" w:eastAsia="Times New Roman" w:hAnsi="Times New Roman" w:cs="Times New Roman"/>
                <w:b/>
                <w:color w:val="000000"/>
                <w:sz w:val="18"/>
                <w:szCs w:val="16"/>
                <w:lang w:val="en-GB" w:eastAsia="fr-FR"/>
              </w:rPr>
              <w:t>Oil palm</w:t>
            </w:r>
          </w:p>
        </w:tc>
        <w:tc>
          <w:tcPr>
            <w:tcW w:w="660" w:type="dxa"/>
            <w:gridSpan w:val="2"/>
            <w:tcBorders>
              <w:top w:val="single" w:sz="4" w:space="0" w:color="auto"/>
              <w:left w:val="nil"/>
              <w:bottom w:val="nil"/>
              <w:right w:val="single" w:sz="8" w:space="0" w:color="auto"/>
            </w:tcBorders>
            <w:shd w:val="clear" w:color="auto" w:fill="auto"/>
            <w:vAlign w:val="center"/>
          </w:tcPr>
          <w:p w:rsidR="00897FD6" w:rsidRPr="00D443E7" w:rsidRDefault="00897FD6" w:rsidP="00D443E7">
            <w:pPr>
              <w:spacing w:after="0" w:line="240" w:lineRule="auto"/>
              <w:jc w:val="center"/>
              <w:rPr>
                <w:rFonts w:ascii="Times New Roman" w:eastAsia="Times New Roman" w:hAnsi="Times New Roman" w:cs="Times New Roman"/>
                <w:b/>
                <w:color w:val="000000"/>
                <w:sz w:val="18"/>
                <w:szCs w:val="16"/>
                <w:lang w:val="en-GB" w:eastAsia="fr-FR"/>
              </w:rPr>
            </w:pPr>
            <w:r w:rsidRPr="00D443E7">
              <w:rPr>
                <w:rFonts w:ascii="Times New Roman" w:eastAsia="Times New Roman" w:hAnsi="Times New Roman" w:cs="Times New Roman"/>
                <w:b/>
                <w:color w:val="000000"/>
                <w:sz w:val="18"/>
                <w:szCs w:val="16"/>
                <w:lang w:val="en-GB" w:eastAsia="fr-FR"/>
              </w:rPr>
              <w:t>Cacao</w:t>
            </w:r>
          </w:p>
        </w:tc>
      </w:tr>
      <w:tr w:rsidR="00897FD6" w:rsidRPr="00D443E7" w:rsidTr="00897FD6">
        <w:trPr>
          <w:cantSplit/>
          <w:trHeight w:val="2608"/>
        </w:trPr>
        <w:tc>
          <w:tcPr>
            <w:tcW w:w="6728" w:type="dxa"/>
            <w:tcBorders>
              <w:top w:val="single" w:sz="4" w:space="0" w:color="auto"/>
              <w:left w:val="nil"/>
              <w:bottom w:val="single" w:sz="8" w:space="0" w:color="auto"/>
              <w:right w:val="single" w:sz="8" w:space="0" w:color="auto"/>
              <w:tl2br w:val="single" w:sz="4" w:space="0" w:color="auto"/>
            </w:tcBorders>
            <w:shd w:val="clear" w:color="auto" w:fill="auto"/>
            <w:hideMark/>
          </w:tcPr>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r w:rsidRPr="00D443E7">
              <w:rPr>
                <w:rFonts w:ascii="Times New Roman" w:eastAsia="Times New Roman" w:hAnsi="Times New Roman" w:cs="Times New Roman"/>
                <w:b/>
                <w:bCs/>
                <w:color w:val="000000"/>
                <w:sz w:val="18"/>
                <w:szCs w:val="16"/>
                <w:lang w:val="en-GB" w:eastAsia="fr-FR"/>
              </w:rPr>
              <w:t>Reasons of change by type of land use</w:t>
            </w: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rPr>
                <w:rFonts w:ascii="Times New Roman" w:eastAsia="Times New Roman" w:hAnsi="Times New Roman" w:cs="Times New Roman"/>
                <w:b/>
                <w:bCs/>
                <w:color w:val="000000"/>
                <w:sz w:val="18"/>
                <w:szCs w:val="16"/>
                <w:lang w:val="en-GB" w:eastAsia="fr-FR"/>
              </w:rPr>
            </w:pPr>
          </w:p>
          <w:p w:rsidR="00897FD6" w:rsidRPr="00D443E7" w:rsidRDefault="00897FD6" w:rsidP="00D443E7">
            <w:pPr>
              <w:spacing w:after="0" w:line="240" w:lineRule="auto"/>
              <w:rPr>
                <w:rFonts w:ascii="Times New Roman" w:eastAsia="Times New Roman" w:hAnsi="Times New Roman" w:cs="Times New Roman"/>
                <w:b/>
                <w:bCs/>
                <w:color w:val="000000"/>
                <w:sz w:val="18"/>
                <w:szCs w:val="16"/>
                <w:lang w:val="en-GB" w:eastAsia="fr-FR"/>
              </w:rPr>
            </w:pPr>
            <w:r w:rsidRPr="00D443E7">
              <w:rPr>
                <w:rFonts w:ascii="Times New Roman" w:eastAsia="Times New Roman" w:hAnsi="Times New Roman" w:cs="Times New Roman"/>
                <w:b/>
                <w:bCs/>
                <w:color w:val="000000"/>
                <w:sz w:val="18"/>
                <w:szCs w:val="16"/>
                <w:lang w:val="en-GB" w:eastAsia="fr-FR"/>
              </w:rPr>
              <w:t>Type of change (increase/decrease the area)</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To plant oil palm</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To introduce new crops</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“Plantaciones de Pucallpa” project</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To sell land</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Conflict with neighbour</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To plant oil palm</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For self-consumption</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To switch to pasture</w:t>
            </w:r>
          </w:p>
        </w:tc>
        <w:tc>
          <w:tcPr>
            <w:tcW w:w="330" w:type="dxa"/>
            <w:gridSpan w:val="2"/>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Availability of family labour</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Lack of resources</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Health issues</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For self-consumption</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Acquired new land</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Availability of family labour</w:t>
            </w:r>
          </w:p>
        </w:tc>
        <w:tc>
          <w:tcPr>
            <w:tcW w:w="333"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Income generation</w:t>
            </w:r>
          </w:p>
        </w:tc>
        <w:tc>
          <w:tcPr>
            <w:tcW w:w="333"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To plant oil palm</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Income generation</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Government incentive</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Availability of family labour</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Loan to plant oil palm</w:t>
            </w:r>
          </w:p>
        </w:tc>
        <w:tc>
          <w:tcPr>
            <w:tcW w:w="330" w:type="dxa"/>
            <w:tcBorders>
              <w:top w:val="single" w:sz="4" w:space="0" w:color="auto"/>
              <w:left w:val="nil"/>
              <w:bottom w:val="single" w:sz="4" w:space="0" w:color="auto"/>
              <w:right w:val="single" w:sz="8"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Income generation</w:t>
            </w:r>
          </w:p>
        </w:tc>
        <w:tc>
          <w:tcPr>
            <w:tcW w:w="330" w:type="dxa"/>
            <w:tcBorders>
              <w:top w:val="single" w:sz="4" w:space="0" w:color="auto"/>
              <w:left w:val="nil"/>
              <w:bottom w:val="single" w:sz="4" w:space="0" w:color="auto"/>
            </w:tcBorders>
            <w:shd w:val="clear" w:color="auto" w:fill="auto"/>
            <w:textDirection w:val="btLr"/>
            <w:vAlign w:val="center"/>
            <w:hideMark/>
          </w:tcPr>
          <w:p w:rsidR="00897FD6" w:rsidRPr="00D443E7" w:rsidRDefault="00897FD6" w:rsidP="00D443E7">
            <w:pPr>
              <w:spacing w:after="0" w:line="240" w:lineRule="auto"/>
              <w:ind w:left="113" w:right="113"/>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Availability of family labour</w:t>
            </w: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 xml:space="preserve">The household made one change, ultimately increasing the selected area (e.g. maize/forest/pasture) </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3</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The household made two changes: first they increased the selected area (e.g. by acquiring new forest), then decreased it (e.g. to convert it into cropland)</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 xml:space="preserve">The household increased the selected area twice </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4</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8</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6</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4</w:t>
            </w: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 xml:space="preserve">The households made three changes in the selected area: first to increase it, then to decrease it </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The household made three changes in the selected area, ultimately increasing it</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The household decreased the selected area once</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14</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6</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3</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5</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4</w:t>
            </w: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The household made two changes, ultimately decreasing the selected area</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r>
      <w:tr w:rsidR="00897FD6" w:rsidRPr="00D443E7" w:rsidTr="00897FD6">
        <w:trPr>
          <w:cantSplit/>
          <w:trHeight w:val="20"/>
        </w:trPr>
        <w:tc>
          <w:tcPr>
            <w:tcW w:w="6728" w:type="dxa"/>
            <w:tcBorders>
              <w:top w:val="nil"/>
              <w:left w:val="nil"/>
              <w:bottom w:val="single" w:sz="8"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The household made three changes, ultimately decreasing the selected area</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p>
        </w:tc>
      </w:tr>
      <w:tr w:rsidR="00897FD6" w:rsidRPr="00D443E7" w:rsidTr="00897FD6">
        <w:trPr>
          <w:cantSplit/>
          <w:trHeight w:val="20"/>
        </w:trPr>
        <w:tc>
          <w:tcPr>
            <w:tcW w:w="6728" w:type="dxa"/>
            <w:tcBorders>
              <w:top w:val="nil"/>
              <w:left w:val="nil"/>
              <w:bottom w:val="nil"/>
              <w:right w:val="single" w:sz="4" w:space="0" w:color="auto"/>
            </w:tcBorders>
            <w:shd w:val="clear" w:color="auto" w:fill="auto"/>
            <w:vAlign w:val="center"/>
            <w:hideMark/>
          </w:tcPr>
          <w:p w:rsidR="00897FD6" w:rsidRPr="00D443E7" w:rsidRDefault="00897FD6" w:rsidP="00D443E7">
            <w:pPr>
              <w:spacing w:after="0" w:line="240" w:lineRule="auto"/>
              <w:jc w:val="right"/>
              <w:rPr>
                <w:rFonts w:ascii="Times New Roman" w:eastAsia="Times New Roman" w:hAnsi="Times New Roman" w:cs="Times New Roman"/>
                <w:b/>
                <w:bCs/>
                <w:color w:val="000000"/>
                <w:sz w:val="18"/>
                <w:szCs w:val="16"/>
                <w:lang w:val="fr-FR" w:eastAsia="fr-FR"/>
              </w:rPr>
            </w:pPr>
            <w:r w:rsidRPr="00D443E7">
              <w:rPr>
                <w:rFonts w:ascii="Times New Roman" w:eastAsia="Times New Roman" w:hAnsi="Times New Roman" w:cs="Times New Roman"/>
                <w:b/>
                <w:bCs/>
                <w:color w:val="000000"/>
                <w:sz w:val="18"/>
                <w:szCs w:val="16"/>
                <w:lang w:val="en-GB" w:eastAsia="fr-FR"/>
              </w:rPr>
              <w:t>Total</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15</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6</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4</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3</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7</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7</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5</w:t>
            </w:r>
          </w:p>
        </w:tc>
        <w:tc>
          <w:tcPr>
            <w:tcW w:w="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4</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4</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5</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5</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3</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12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8</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2</w:t>
            </w:r>
          </w:p>
        </w:tc>
        <w:tc>
          <w:tcPr>
            <w:tcW w:w="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5</w:t>
            </w:r>
          </w:p>
        </w:tc>
        <w:tc>
          <w:tcPr>
            <w:tcW w:w="330" w:type="dxa"/>
            <w:tcBorders>
              <w:top w:val="single" w:sz="4" w:space="0" w:color="auto"/>
              <w:left w:val="single" w:sz="4" w:space="0" w:color="auto"/>
              <w:bottom w:val="single" w:sz="4" w:space="0" w:color="auto"/>
            </w:tcBorders>
            <w:shd w:val="clear" w:color="auto" w:fill="auto"/>
            <w:vAlign w:val="center"/>
            <w:hideMark/>
          </w:tcPr>
          <w:p w:rsidR="00897FD6" w:rsidRPr="00D443E7" w:rsidRDefault="00897FD6" w:rsidP="00D443E7">
            <w:pPr>
              <w:spacing w:after="0" w:line="240" w:lineRule="auto"/>
              <w:rPr>
                <w:rFonts w:ascii="Times New Roman" w:eastAsia="Times New Roman" w:hAnsi="Times New Roman" w:cs="Times New Roman"/>
                <w:color w:val="000000"/>
                <w:sz w:val="18"/>
                <w:szCs w:val="16"/>
                <w:lang w:val="fr-FR" w:eastAsia="fr-FR"/>
              </w:rPr>
            </w:pPr>
            <w:r w:rsidRPr="00D443E7">
              <w:rPr>
                <w:rFonts w:ascii="Times New Roman" w:eastAsia="Times New Roman" w:hAnsi="Times New Roman" w:cs="Times New Roman"/>
                <w:color w:val="000000"/>
                <w:sz w:val="18"/>
                <w:szCs w:val="16"/>
                <w:lang w:val="en-GB" w:eastAsia="fr-FR"/>
              </w:rPr>
              <w:t>3</w:t>
            </w:r>
          </w:p>
        </w:tc>
      </w:tr>
      <w:tr w:rsidR="00897FD6" w:rsidRPr="00D443E7" w:rsidTr="00897FD6">
        <w:trPr>
          <w:gridAfter w:val="14"/>
          <w:wAfter w:w="4461" w:type="dxa"/>
          <w:trHeight w:val="113"/>
        </w:trPr>
        <w:tc>
          <w:tcPr>
            <w:tcW w:w="9533" w:type="dxa"/>
            <w:gridSpan w:val="10"/>
            <w:tcBorders>
              <w:top w:val="single" w:sz="4" w:space="0" w:color="auto"/>
              <w:left w:val="nil"/>
            </w:tcBorders>
            <w:shd w:val="clear" w:color="auto" w:fill="auto"/>
            <w:noWrap/>
            <w:vAlign w:val="center"/>
          </w:tcPr>
          <w:p w:rsidR="00897FD6" w:rsidRPr="00D443E7" w:rsidRDefault="00897FD6" w:rsidP="00D443E7">
            <w:pPr>
              <w:spacing w:after="0" w:line="240" w:lineRule="auto"/>
              <w:rPr>
                <w:rFonts w:ascii="Times New Roman" w:eastAsia="Times New Roman" w:hAnsi="Times New Roman" w:cs="Times New Roman"/>
                <w:color w:val="000000"/>
                <w:sz w:val="18"/>
                <w:szCs w:val="16"/>
                <w:lang w:val="en-GB" w:eastAsia="fr-FR"/>
              </w:rPr>
            </w:pPr>
            <w:r w:rsidRPr="00D443E7">
              <w:rPr>
                <w:rFonts w:ascii="Times New Roman" w:eastAsia="Times New Roman" w:hAnsi="Times New Roman" w:cs="Times New Roman"/>
                <w:color w:val="000000"/>
                <w:sz w:val="18"/>
                <w:szCs w:val="16"/>
                <w:lang w:val="en-GB" w:eastAsia="fr-FR"/>
              </w:rPr>
              <w:t>* The numbers refer to the number of respondents</w:t>
            </w:r>
          </w:p>
        </w:tc>
      </w:tr>
    </w:tbl>
    <w:p w:rsidR="00897FD6" w:rsidRPr="00D443E7" w:rsidRDefault="00897FD6" w:rsidP="00D443E7">
      <w:pPr>
        <w:spacing w:line="360" w:lineRule="auto"/>
        <w:rPr>
          <w:rFonts w:ascii="Times New Roman" w:hAnsi="Times New Roman" w:cs="Times New Roman"/>
          <w:b/>
        </w:rPr>
      </w:pPr>
    </w:p>
    <w:p w:rsidR="007A79F2" w:rsidRPr="00D443E7" w:rsidRDefault="007A79F2" w:rsidP="00D443E7">
      <w:pPr>
        <w:spacing w:line="360" w:lineRule="auto"/>
        <w:rPr>
          <w:rFonts w:ascii="Times New Roman" w:hAnsi="Times New Roman" w:cs="Times New Roman"/>
          <w:b/>
        </w:rPr>
      </w:pPr>
    </w:p>
    <w:p w:rsidR="007A79F2" w:rsidRPr="00D443E7" w:rsidRDefault="007A79F2" w:rsidP="00D443E7">
      <w:pPr>
        <w:spacing w:line="360" w:lineRule="auto"/>
        <w:rPr>
          <w:rFonts w:ascii="Times New Roman" w:hAnsi="Times New Roman" w:cs="Times New Roman"/>
          <w:b/>
        </w:rPr>
      </w:pPr>
    </w:p>
    <w:p w:rsidR="007A79F2" w:rsidRPr="00D443E7" w:rsidRDefault="007A79F2" w:rsidP="00D443E7">
      <w:pPr>
        <w:spacing w:line="360" w:lineRule="auto"/>
        <w:rPr>
          <w:rFonts w:ascii="Times New Roman" w:hAnsi="Times New Roman" w:cs="Times New Roman"/>
          <w:b/>
        </w:rPr>
      </w:pPr>
    </w:p>
    <w:p w:rsidR="007A79F2" w:rsidRPr="00D443E7" w:rsidRDefault="007A79F2" w:rsidP="00D443E7">
      <w:pPr>
        <w:pStyle w:val="Textebrut"/>
        <w:rPr>
          <w:rFonts w:ascii="Times New Roman" w:hAnsi="Times New Roman" w:cs="Times New Roman"/>
          <w:color w:val="FF0000"/>
          <w:lang w:val="en-GB"/>
        </w:rPr>
      </w:pPr>
    </w:p>
    <w:p w:rsidR="007A79F2" w:rsidRPr="00D443E7" w:rsidRDefault="007A79F2" w:rsidP="00D443E7">
      <w:pPr>
        <w:pStyle w:val="Titre2"/>
        <w:rPr>
          <w:rFonts w:ascii="Times New Roman" w:hAnsi="Times New Roman" w:cs="Times New Roman"/>
          <w:sz w:val="22"/>
          <w:lang w:val="en-GB"/>
        </w:rPr>
      </w:pPr>
      <w:r w:rsidRPr="00D443E7">
        <w:rPr>
          <w:rFonts w:ascii="Times New Roman" w:hAnsi="Times New Roman" w:cs="Times New Roman"/>
          <w:sz w:val="22"/>
          <w:lang w:val="en-GB"/>
        </w:rPr>
        <w:t>S5. Results of the hierarchical clustering analysis</w:t>
      </w:r>
    </w:p>
    <w:p w:rsidR="007A79F2" w:rsidRPr="00D443E7" w:rsidRDefault="007A79F2" w:rsidP="00D443E7">
      <w:pPr>
        <w:pStyle w:val="Paragraphedeliste"/>
        <w:numPr>
          <w:ilvl w:val="0"/>
          <w:numId w:val="1"/>
        </w:numPr>
        <w:spacing w:after="60" w:line="360" w:lineRule="auto"/>
        <w:jc w:val="both"/>
        <w:rPr>
          <w:rFonts w:ascii="Times New Roman" w:hAnsi="Times New Roman" w:cs="Times New Roman"/>
          <w:b/>
          <w:lang w:val="en-GB"/>
        </w:rPr>
      </w:pPr>
      <w:r w:rsidRPr="00D443E7">
        <w:rPr>
          <w:rFonts w:ascii="Times New Roman" w:hAnsi="Times New Roman" w:cs="Times New Roman"/>
          <w:b/>
          <w:lang w:val="en-GB"/>
        </w:rPr>
        <w:t>Year: 2000</w:t>
      </w:r>
    </w:p>
    <w:p w:rsidR="007A79F2" w:rsidRPr="00D443E7" w:rsidRDefault="007A79F2" w:rsidP="00D443E7">
      <w:pPr>
        <w:spacing w:after="60" w:line="360" w:lineRule="auto"/>
        <w:jc w:val="both"/>
        <w:rPr>
          <w:rFonts w:ascii="Times New Roman" w:hAnsi="Times New Roman" w:cs="Times New Roman"/>
          <w:b/>
          <w:lang w:val="en-GB"/>
        </w:rPr>
      </w:pPr>
      <w:r w:rsidRPr="00D443E7">
        <w:rPr>
          <w:rFonts w:ascii="Times New Roman" w:hAnsi="Times New Roman" w:cs="Times New Roman"/>
          <w:b/>
          <w:noProof/>
          <w:lang w:val="fr-FR" w:eastAsia="fr-FR"/>
        </w:rPr>
        <w:drawing>
          <wp:inline distT="0" distB="0" distL="0" distR="0">
            <wp:extent cx="7065034" cy="4797619"/>
            <wp:effectExtent l="0" t="0" r="2540" b="3175"/>
            <wp:docPr id="2" name="Image 2" descr="D:\Sync\Sync\CIAT\ESS\ASSETS\IA STUDY\Pubs ASSETS\Diets\Clusters\RESULTADOS FINALES CLUSTER\BASE FINAL\2000\dendrogram k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nc\Sync\CIAT\ESS\ASSETS\IA STUDY\Pubs ASSETS\Diets\Clusters\RESULTADOS FINALES CLUSTER\BASE FINAL\2000\dendrogram k_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5362" cy="4804632"/>
                    </a:xfrm>
                    <a:prstGeom prst="rect">
                      <a:avLst/>
                    </a:prstGeom>
                    <a:noFill/>
                    <a:ln>
                      <a:noFill/>
                    </a:ln>
                  </pic:spPr>
                </pic:pic>
              </a:graphicData>
            </a:graphic>
          </wp:inline>
        </w:drawing>
      </w:r>
    </w:p>
    <w:p w:rsidR="007A79F2" w:rsidRPr="00D443E7" w:rsidRDefault="007A79F2" w:rsidP="00D443E7">
      <w:pPr>
        <w:pStyle w:val="Paragraphedeliste"/>
        <w:numPr>
          <w:ilvl w:val="0"/>
          <w:numId w:val="1"/>
        </w:numPr>
        <w:spacing w:after="60" w:line="360" w:lineRule="auto"/>
        <w:jc w:val="both"/>
        <w:rPr>
          <w:rFonts w:ascii="Times New Roman" w:hAnsi="Times New Roman" w:cs="Times New Roman"/>
          <w:b/>
          <w:lang w:val="en-GB"/>
        </w:rPr>
      </w:pPr>
      <w:r w:rsidRPr="00D443E7">
        <w:rPr>
          <w:rFonts w:ascii="Times New Roman" w:hAnsi="Times New Roman" w:cs="Times New Roman"/>
          <w:b/>
          <w:lang w:val="en-GB"/>
        </w:rPr>
        <w:lastRenderedPageBreak/>
        <w:t>b. Year: 2015</w:t>
      </w:r>
    </w:p>
    <w:p w:rsidR="007A79F2" w:rsidRPr="00D443E7" w:rsidRDefault="007A79F2" w:rsidP="00D443E7">
      <w:pPr>
        <w:spacing w:after="60" w:line="360" w:lineRule="auto"/>
        <w:jc w:val="both"/>
        <w:rPr>
          <w:rFonts w:ascii="Times New Roman" w:hAnsi="Times New Roman" w:cs="Times New Roman"/>
          <w:b/>
          <w:lang w:val="en-GB"/>
        </w:rPr>
      </w:pPr>
      <w:r w:rsidRPr="00D443E7">
        <w:rPr>
          <w:rFonts w:ascii="Times New Roman" w:hAnsi="Times New Roman" w:cs="Times New Roman"/>
          <w:b/>
          <w:noProof/>
          <w:lang w:val="fr-FR" w:eastAsia="fr-FR"/>
        </w:rPr>
        <w:drawing>
          <wp:inline distT="0" distB="0" distL="0" distR="0">
            <wp:extent cx="6780362" cy="4604310"/>
            <wp:effectExtent l="0" t="0" r="1905" b="6350"/>
            <wp:docPr id="1" name="Image 1" descr="D:\Sync\Sync\CIAT\ESS\ASSETS\IA STUDY\Pubs ASSETS\Diets\Clusters\RESULTADOS FINALES CLUSTER\BASE FINAL\2015\g2. dendrogra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nc\Sync\CIAT\ESS\ASSETS\IA STUDY\Pubs ASSETS\Diets\Clusters\RESULTADOS FINALES CLUSTER\BASE FINAL\2015\g2. dendrograma.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592" cy="4622801"/>
                    </a:xfrm>
                    <a:prstGeom prst="rect">
                      <a:avLst/>
                    </a:prstGeom>
                    <a:noFill/>
                    <a:ln>
                      <a:noFill/>
                    </a:ln>
                  </pic:spPr>
                </pic:pic>
              </a:graphicData>
            </a:graphic>
          </wp:inline>
        </w:drawing>
      </w:r>
    </w:p>
    <w:p w:rsidR="007A79F2" w:rsidRPr="00D443E7" w:rsidRDefault="007A79F2" w:rsidP="00D443E7">
      <w:pPr>
        <w:spacing w:after="60" w:line="360" w:lineRule="auto"/>
        <w:jc w:val="both"/>
        <w:rPr>
          <w:rFonts w:ascii="Times New Roman" w:hAnsi="Times New Roman" w:cs="Times New Roman"/>
          <w:lang w:val="en-GB"/>
        </w:rPr>
      </w:pPr>
    </w:p>
    <w:p w:rsidR="007A79F2" w:rsidRPr="00D443E7" w:rsidRDefault="007A79F2" w:rsidP="00D443E7">
      <w:pPr>
        <w:spacing w:after="60" w:line="360" w:lineRule="auto"/>
        <w:jc w:val="both"/>
        <w:rPr>
          <w:rFonts w:ascii="Times New Roman" w:hAnsi="Times New Roman" w:cs="Times New Roman"/>
          <w:lang w:val="en-GB"/>
        </w:rPr>
      </w:pPr>
    </w:p>
    <w:p w:rsidR="007A79F2" w:rsidRPr="00D443E7" w:rsidRDefault="007A79F2" w:rsidP="00D443E7">
      <w:pPr>
        <w:spacing w:line="360" w:lineRule="auto"/>
        <w:rPr>
          <w:rFonts w:ascii="Times New Roman" w:hAnsi="Times New Roman" w:cs="Times New Roman"/>
          <w:b/>
          <w:lang w:val="en-GB"/>
        </w:rPr>
      </w:pPr>
    </w:p>
    <w:p w:rsidR="006644EB" w:rsidRPr="00D443E7" w:rsidRDefault="00737753" w:rsidP="00D443E7">
      <w:pPr>
        <w:pStyle w:val="Titre2"/>
        <w:rPr>
          <w:rFonts w:ascii="Times New Roman" w:hAnsi="Times New Roman" w:cs="Times New Roman"/>
          <w:sz w:val="22"/>
          <w:lang w:val="en-GB"/>
        </w:rPr>
      </w:pPr>
      <w:r w:rsidRPr="00D443E7">
        <w:rPr>
          <w:rFonts w:ascii="Times New Roman" w:hAnsi="Times New Roman" w:cs="Times New Roman"/>
          <w:sz w:val="22"/>
          <w:lang w:val="en-GB"/>
        </w:rPr>
        <w:lastRenderedPageBreak/>
        <w:t>S6.</w:t>
      </w:r>
      <w:r w:rsidR="006644EB" w:rsidRPr="00D443E7">
        <w:rPr>
          <w:rFonts w:ascii="Times New Roman" w:hAnsi="Times New Roman" w:cs="Times New Roman"/>
          <w:sz w:val="22"/>
          <w:lang w:val="en-GB"/>
        </w:rPr>
        <w:t xml:space="preserve"> Descriptive statistics for clusters in 2000 and 2015</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725"/>
        <w:gridCol w:w="1829"/>
        <w:gridCol w:w="609"/>
        <w:gridCol w:w="699"/>
        <w:gridCol w:w="608"/>
        <w:gridCol w:w="698"/>
        <w:gridCol w:w="608"/>
        <w:gridCol w:w="698"/>
        <w:gridCol w:w="608"/>
        <w:gridCol w:w="698"/>
        <w:gridCol w:w="608"/>
        <w:gridCol w:w="698"/>
        <w:gridCol w:w="608"/>
        <w:gridCol w:w="698"/>
        <w:gridCol w:w="608"/>
        <w:gridCol w:w="698"/>
        <w:gridCol w:w="608"/>
        <w:gridCol w:w="698"/>
      </w:tblGrid>
      <w:tr w:rsidR="006644EB" w:rsidRPr="00D443E7" w:rsidTr="006644EB">
        <w:trPr>
          <w:trHeight w:val="20"/>
        </w:trPr>
        <w:tc>
          <w:tcPr>
            <w:tcW w:w="0" w:type="auto"/>
            <w:gridSpan w:val="18"/>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Categorical variables</w:t>
            </w:r>
          </w:p>
        </w:tc>
      </w:tr>
      <w:tr w:rsidR="006644EB" w:rsidRPr="00D443E7" w:rsidTr="006644EB">
        <w:trPr>
          <w:trHeight w:val="20"/>
        </w:trPr>
        <w:tc>
          <w:tcPr>
            <w:tcW w:w="0" w:type="auto"/>
            <w:gridSpan w:val="2"/>
            <w:vMerge w:val="restart"/>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Variables</w:t>
            </w:r>
          </w:p>
        </w:tc>
        <w:tc>
          <w:tcPr>
            <w:tcW w:w="0" w:type="auto"/>
            <w:gridSpan w:val="4"/>
            <w:shd w:val="solid" w:color="FFFFFF" w:fill="auto"/>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Small livestock owners</w:t>
            </w:r>
          </w:p>
        </w:tc>
        <w:tc>
          <w:tcPr>
            <w:tcW w:w="0" w:type="auto"/>
            <w:gridSpan w:val="4"/>
            <w:shd w:val="solid" w:color="FFFFFF" w:fill="auto"/>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Diversified mediumholders</w:t>
            </w:r>
          </w:p>
        </w:tc>
        <w:tc>
          <w:tcPr>
            <w:tcW w:w="0" w:type="auto"/>
            <w:gridSpan w:val="4"/>
            <w:shd w:val="solid" w:color="FFFFFF" w:fill="auto"/>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Diversified largeholders</w:t>
            </w:r>
          </w:p>
        </w:tc>
        <w:tc>
          <w:tcPr>
            <w:tcW w:w="0" w:type="auto"/>
            <w:gridSpan w:val="4"/>
            <w:shd w:val="solid" w:color="FFFFFF" w:fill="auto"/>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Young rice producers</w:t>
            </w:r>
          </w:p>
        </w:tc>
      </w:tr>
      <w:tr w:rsidR="006644EB" w:rsidRPr="00D443E7" w:rsidTr="006644EB">
        <w:trPr>
          <w:trHeight w:val="20"/>
        </w:trPr>
        <w:tc>
          <w:tcPr>
            <w:tcW w:w="0" w:type="auto"/>
            <w:gridSpan w:val="2"/>
            <w:vMerge/>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r>
      <w:tr w:rsidR="006644EB" w:rsidRPr="00D443E7" w:rsidTr="006644EB">
        <w:trPr>
          <w:trHeight w:val="20"/>
        </w:trPr>
        <w:tc>
          <w:tcPr>
            <w:tcW w:w="0" w:type="auto"/>
            <w:gridSpan w:val="2"/>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Freq.</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Perc.</w:t>
            </w:r>
          </w:p>
        </w:tc>
      </w:tr>
      <w:tr w:rsidR="006644EB" w:rsidRPr="00D443E7" w:rsidTr="006644EB">
        <w:trPr>
          <w:trHeight w:val="20"/>
        </w:trPr>
        <w:tc>
          <w:tcPr>
            <w:tcW w:w="0" w:type="auto"/>
            <w:gridSpan w:val="2"/>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19</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Consumed food groups</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Cereals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Eggs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Fish and seafood</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57</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Fruits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Legumes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Meats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Milk</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Oils and fats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Spices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Sweets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Tubers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Vegetables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Produced food groups</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Cereals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Eggs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Fish and seafood</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Fruits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Legumes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Meats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Milk</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Spices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Tubers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Vegetables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Assets</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Radio</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Refrigerator</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Stove</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Television</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Off-farm activities</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Daily-paid workers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Hunting</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57</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Wage labour</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Cash crops</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Cacao tree</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Oil palm</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Location</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La Uniόn</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Naranjal</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Pueblo Libre</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gridSpan w:val="18"/>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Continuous variables</w:t>
            </w:r>
          </w:p>
        </w:tc>
      </w:tr>
      <w:tr w:rsidR="006644EB" w:rsidRPr="00D443E7" w:rsidTr="006644EB">
        <w:trPr>
          <w:trHeight w:val="20"/>
        </w:trPr>
        <w:tc>
          <w:tcPr>
            <w:tcW w:w="0" w:type="auto"/>
            <w:gridSpan w:val="2"/>
            <w:vMerge w:val="restart"/>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Variables</w:t>
            </w:r>
          </w:p>
        </w:tc>
        <w:tc>
          <w:tcPr>
            <w:tcW w:w="0" w:type="auto"/>
            <w:gridSpan w:val="4"/>
            <w:shd w:val="solid" w:color="FFFFFF" w:fill="auto"/>
            <w:vAlign w:val="center"/>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Cattle ranchers</w:t>
            </w:r>
          </w:p>
        </w:tc>
        <w:tc>
          <w:tcPr>
            <w:tcW w:w="0" w:type="auto"/>
            <w:gridSpan w:val="4"/>
            <w:shd w:val="solid" w:color="FFFFFF" w:fill="auto"/>
            <w:vAlign w:val="center"/>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Oil palm growers</w:t>
            </w:r>
          </w:p>
        </w:tc>
        <w:tc>
          <w:tcPr>
            <w:tcW w:w="0" w:type="auto"/>
            <w:gridSpan w:val="4"/>
            <w:shd w:val="solid" w:color="FFFFFF" w:fill="auto"/>
            <w:vAlign w:val="center"/>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Specialised cash crop growers</w:t>
            </w:r>
          </w:p>
        </w:tc>
        <w:tc>
          <w:tcPr>
            <w:tcW w:w="0" w:type="auto"/>
            <w:gridSpan w:val="4"/>
            <w:shd w:val="solid" w:color="FFFFFF" w:fill="auto"/>
            <w:vAlign w:val="center"/>
          </w:tcPr>
          <w:p w:rsidR="006644EB" w:rsidRPr="00D443E7" w:rsidRDefault="00737753"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Diversified cacao growers</w:t>
            </w:r>
          </w:p>
        </w:tc>
      </w:tr>
      <w:tr w:rsidR="006644EB" w:rsidRPr="00D443E7" w:rsidTr="006644EB">
        <w:trPr>
          <w:trHeight w:val="20"/>
        </w:trPr>
        <w:tc>
          <w:tcPr>
            <w:tcW w:w="0" w:type="auto"/>
            <w:gridSpan w:val="2"/>
            <w:vMerge/>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2000</w:t>
            </w:r>
          </w:p>
        </w:tc>
        <w:tc>
          <w:tcPr>
            <w:tcW w:w="0" w:type="auto"/>
            <w:gridSpan w:val="2"/>
            <w:shd w:val="solid" w:color="FFFFFF" w:fill="auto"/>
            <w:vAlign w:val="center"/>
          </w:tcPr>
          <w:p w:rsidR="006644EB" w:rsidRPr="00D443E7" w:rsidRDefault="006644EB" w:rsidP="00D443E7">
            <w:pPr>
              <w:autoSpaceDE w:val="0"/>
              <w:autoSpaceDN w:val="0"/>
              <w:adjustRightInd w:val="0"/>
              <w:spacing w:after="0" w:line="360" w:lineRule="auto"/>
              <w:jc w:val="center"/>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2015</w:t>
            </w:r>
          </w:p>
        </w:tc>
      </w:tr>
      <w:tr w:rsidR="006644EB" w:rsidRPr="00D443E7" w:rsidTr="006644EB">
        <w:trPr>
          <w:trHeight w:val="20"/>
        </w:trPr>
        <w:tc>
          <w:tcPr>
            <w:tcW w:w="0" w:type="auto"/>
            <w:gridSpan w:val="2"/>
            <w:vMerge/>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Mean</w:t>
            </w:r>
          </w:p>
        </w:tc>
        <w:tc>
          <w:tcPr>
            <w:tcW w:w="0" w:type="auto"/>
            <w:shd w:val="solid" w:color="FFFFFF" w:fill="auto"/>
            <w:vAlign w:val="center"/>
          </w:tcPr>
          <w:p w:rsidR="006644EB" w:rsidRPr="00D443E7" w:rsidRDefault="006644EB" w:rsidP="00D443E7">
            <w:pPr>
              <w:autoSpaceDE w:val="0"/>
              <w:autoSpaceDN w:val="0"/>
              <w:adjustRightInd w:val="0"/>
              <w:spacing w:after="0" w:line="360" w:lineRule="auto"/>
              <w:rPr>
                <w:rFonts w:ascii="Times New Roman" w:hAnsi="Times New Roman" w:cs="Times New Roman"/>
                <w:b/>
                <w:bCs/>
                <w:color w:val="000000"/>
                <w:sz w:val="16"/>
                <w:szCs w:val="16"/>
                <w:lang w:val="en-GB"/>
              </w:rPr>
            </w:pPr>
            <w:r w:rsidRPr="00D443E7">
              <w:rPr>
                <w:rFonts w:ascii="Times New Roman" w:hAnsi="Times New Roman" w:cs="Times New Roman"/>
                <w:b/>
                <w:bCs/>
                <w:color w:val="000000"/>
                <w:sz w:val="16"/>
                <w:szCs w:val="16"/>
                <w:lang w:val="en-GB"/>
              </w:rPr>
              <w:t>Std. dev.</w:t>
            </w:r>
          </w:p>
        </w:tc>
      </w:tr>
      <w:tr w:rsidR="006644EB" w:rsidRPr="00D443E7" w:rsidTr="006644EB">
        <w:trPr>
          <w:trHeight w:val="20"/>
        </w:trPr>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Food access</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Household dietary diversity score</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8.6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7.3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6.0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6.4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8.4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6.2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7.8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b/>
                <w:color w:val="000000"/>
                <w:sz w:val="16"/>
                <w:szCs w:val="16"/>
                <w:lang w:val="en-GB"/>
              </w:rPr>
            </w:pPr>
            <w:r w:rsidRPr="00D443E7">
              <w:rPr>
                <w:rFonts w:ascii="Times New Roman" w:hAnsi="Times New Roman" w:cs="Times New Roman"/>
                <w:b/>
                <w:color w:val="000000"/>
                <w:sz w:val="16"/>
                <w:szCs w:val="16"/>
                <w:lang w:val="en-GB"/>
              </w:rPr>
              <w:t>6.6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Socioeconomic characteristics</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Age (household head)</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57.6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44.5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54.4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37.7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56.5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34.6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12.4</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Years of education HHH</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2.2</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Dependency ratio</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0.4</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Agriculture</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Number of crops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3.6</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Cultivated area</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Area under mature forest</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19.4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15.9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17.0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Area under natural pastures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23.6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21.0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20.4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 xml:space="preserve">Area under successional forest </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8.8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23.7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15.4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6.7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10.5</w:t>
            </w:r>
          </w:p>
        </w:tc>
      </w:tr>
      <w:tr w:rsidR="006644EB" w:rsidRPr="00D443E7" w:rsidTr="006644EB">
        <w:trPr>
          <w:trHeight w:val="20"/>
        </w:trPr>
        <w:tc>
          <w:tcPr>
            <w:tcW w:w="0" w:type="auto"/>
            <w:vMerge w:val="restart"/>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Livestock</w:t>
            </w: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Cattle</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24.6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45.3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9.5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24.7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Pigs</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29.8</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44.5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3.0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4.2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5.4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0.6</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r w:rsidR="006644EB" w:rsidRPr="00D443E7" w:rsidTr="006644EB">
        <w:trPr>
          <w:trHeight w:val="20"/>
        </w:trPr>
        <w:tc>
          <w:tcPr>
            <w:tcW w:w="0" w:type="auto"/>
            <w:vMerge/>
            <w:shd w:val="solid" w:color="FFFFFF" w:fill="auto"/>
          </w:tcPr>
          <w:p w:rsidR="006644EB" w:rsidRPr="00D443E7" w:rsidRDefault="006644EB" w:rsidP="00D443E7">
            <w:pPr>
              <w:autoSpaceDE w:val="0"/>
              <w:autoSpaceDN w:val="0"/>
              <w:adjustRightInd w:val="0"/>
              <w:spacing w:after="0" w:line="360" w:lineRule="auto"/>
              <w:jc w:val="right"/>
              <w:rPr>
                <w:rFonts w:ascii="Times New Roman" w:hAnsi="Times New Roman" w:cs="Times New Roman"/>
                <w:color w:val="000000"/>
                <w:sz w:val="16"/>
                <w:szCs w:val="16"/>
                <w:lang w:val="en-GB"/>
              </w:rPr>
            </w:pPr>
          </w:p>
        </w:tc>
        <w:tc>
          <w:tcPr>
            <w:tcW w:w="0" w:type="auto"/>
            <w:shd w:val="solid" w:color="FFFFFF" w:fill="auto"/>
          </w:tcPr>
          <w:p w:rsidR="006644EB" w:rsidRPr="00D443E7" w:rsidRDefault="006644EB" w:rsidP="00D443E7">
            <w:pPr>
              <w:autoSpaceDE w:val="0"/>
              <w:autoSpaceDN w:val="0"/>
              <w:adjustRightInd w:val="0"/>
              <w:spacing w:after="0" w:line="360" w:lineRule="auto"/>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Sheep</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7.9</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11.7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1.3</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1.2</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2.7</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0.4</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0.1</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0.5</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c>
          <w:tcPr>
            <w:tcW w:w="0" w:type="auto"/>
            <w:shd w:val="solid" w:color="FFFFFF" w:fill="auto"/>
          </w:tcPr>
          <w:p w:rsidR="006644EB" w:rsidRPr="00D443E7" w:rsidRDefault="006644EB" w:rsidP="00D443E7">
            <w:pPr>
              <w:autoSpaceDE w:val="0"/>
              <w:autoSpaceDN w:val="0"/>
              <w:adjustRightInd w:val="0"/>
              <w:spacing w:after="0" w:line="360" w:lineRule="auto"/>
              <w:jc w:val="center"/>
              <w:rPr>
                <w:rFonts w:ascii="Times New Roman" w:hAnsi="Times New Roman" w:cs="Times New Roman"/>
                <w:color w:val="000000"/>
                <w:sz w:val="16"/>
                <w:szCs w:val="16"/>
                <w:lang w:val="en-GB"/>
              </w:rPr>
            </w:pPr>
            <w:r w:rsidRPr="00D443E7">
              <w:rPr>
                <w:rFonts w:ascii="Times New Roman" w:hAnsi="Times New Roman" w:cs="Times New Roman"/>
                <w:color w:val="000000"/>
                <w:sz w:val="16"/>
                <w:szCs w:val="16"/>
                <w:lang w:val="en-GB"/>
              </w:rPr>
              <w:t>0</w:t>
            </w:r>
          </w:p>
        </w:tc>
      </w:tr>
    </w:tbl>
    <w:p w:rsidR="006644EB" w:rsidRPr="00D443E7" w:rsidRDefault="006644EB" w:rsidP="00D443E7">
      <w:pPr>
        <w:spacing w:after="60" w:line="360" w:lineRule="auto"/>
        <w:jc w:val="both"/>
        <w:rPr>
          <w:rFonts w:ascii="Times New Roman" w:hAnsi="Times New Roman" w:cs="Times New Roman"/>
          <w:b/>
          <w:lang w:val="en-GB"/>
        </w:rPr>
      </w:pPr>
    </w:p>
    <w:p w:rsidR="00155A90" w:rsidRPr="00D443E7" w:rsidRDefault="00155A90" w:rsidP="00D443E7">
      <w:pPr>
        <w:rPr>
          <w:rFonts w:ascii="Times New Roman" w:hAnsi="Times New Roman" w:cs="Times New Roman"/>
          <w:lang w:val="en-GB"/>
        </w:rPr>
      </w:pPr>
    </w:p>
    <w:sectPr w:rsidR="00155A90" w:rsidRPr="00D443E7" w:rsidSect="00D443E7">
      <w:type w:val="continuous"/>
      <w:pgSz w:w="16838" w:h="11906" w:orient="landscape"/>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AFD" w:rsidRDefault="00370AFD" w:rsidP="006644EB">
      <w:pPr>
        <w:spacing w:after="0" w:line="240" w:lineRule="auto"/>
      </w:pPr>
      <w:r>
        <w:separator/>
      </w:r>
    </w:p>
  </w:endnote>
  <w:endnote w:type="continuationSeparator" w:id="0">
    <w:p w:rsidR="00370AFD" w:rsidRDefault="00370AFD" w:rsidP="00664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AFD" w:rsidRDefault="00370AFD" w:rsidP="006644EB">
      <w:pPr>
        <w:spacing w:after="0" w:line="240" w:lineRule="auto"/>
      </w:pPr>
      <w:r>
        <w:separator/>
      </w:r>
    </w:p>
  </w:footnote>
  <w:footnote w:type="continuationSeparator" w:id="0">
    <w:p w:rsidR="00370AFD" w:rsidRDefault="00370AFD" w:rsidP="00664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D01EA"/>
    <w:multiLevelType w:val="hybridMultilevel"/>
    <w:tmpl w:val="B7EC4D2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213"/>
    <w:rsid w:val="000405BE"/>
    <w:rsid w:val="00155A90"/>
    <w:rsid w:val="001A3EAF"/>
    <w:rsid w:val="00370AFD"/>
    <w:rsid w:val="003D5108"/>
    <w:rsid w:val="004615E4"/>
    <w:rsid w:val="005656B2"/>
    <w:rsid w:val="005F4213"/>
    <w:rsid w:val="006644EB"/>
    <w:rsid w:val="00737753"/>
    <w:rsid w:val="007A79F2"/>
    <w:rsid w:val="00897FD6"/>
    <w:rsid w:val="00D443E7"/>
    <w:rsid w:val="00F85E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F9136"/>
  <w15:chartTrackingRefBased/>
  <w15:docId w15:val="{3D609DCF-D95B-4CC3-84AA-84220F73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213"/>
    <w:pPr>
      <w:spacing w:after="200" w:line="276" w:lineRule="auto"/>
    </w:pPr>
    <w:rPr>
      <w:rFonts w:eastAsiaTheme="minorEastAsia"/>
      <w:lang w:val="en-US"/>
    </w:rPr>
  </w:style>
  <w:style w:type="paragraph" w:styleId="Titre2">
    <w:name w:val="heading 2"/>
    <w:basedOn w:val="Normal"/>
    <w:next w:val="Normal"/>
    <w:link w:val="Titre2Car"/>
    <w:uiPriority w:val="9"/>
    <w:unhideWhenUsed/>
    <w:qFormat/>
    <w:rsid w:val="005F4213"/>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5F4213"/>
    <w:pPr>
      <w:spacing w:before="200" w:after="0" w:line="271" w:lineRule="auto"/>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F4213"/>
    <w:rPr>
      <w:rFonts w:asciiTheme="majorHAnsi" w:eastAsiaTheme="majorEastAsia" w:hAnsiTheme="majorHAnsi" w:cstheme="majorBidi"/>
      <w:b/>
      <w:bCs/>
      <w:sz w:val="26"/>
      <w:szCs w:val="26"/>
      <w:lang w:val="en-US"/>
    </w:rPr>
  </w:style>
  <w:style w:type="character" w:customStyle="1" w:styleId="Titre3Car">
    <w:name w:val="Titre 3 Car"/>
    <w:basedOn w:val="Policepardfaut"/>
    <w:link w:val="Titre3"/>
    <w:uiPriority w:val="9"/>
    <w:rsid w:val="005F4213"/>
    <w:rPr>
      <w:rFonts w:asciiTheme="majorHAnsi" w:eastAsiaTheme="majorEastAsia" w:hAnsiTheme="majorHAnsi" w:cstheme="majorBidi"/>
      <w:b/>
      <w:bCs/>
      <w:lang w:val="en-US"/>
    </w:rPr>
  </w:style>
  <w:style w:type="table" w:styleId="Grilledutableau">
    <w:name w:val="Table Grid"/>
    <w:basedOn w:val="TableauNormal"/>
    <w:uiPriority w:val="39"/>
    <w:rsid w:val="005F421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7A79F2"/>
    <w:pPr>
      <w:spacing w:after="0" w:line="240" w:lineRule="auto"/>
    </w:pPr>
    <w:rPr>
      <w:rFonts w:ascii="Calibri" w:eastAsiaTheme="minorHAnsi" w:hAnsi="Calibri" w:cs="Calibri"/>
      <w:lang w:val="fr-FR" w:eastAsia="fr-FR"/>
    </w:rPr>
  </w:style>
  <w:style w:type="character" w:customStyle="1" w:styleId="TextebrutCar">
    <w:name w:val="Texte brut Car"/>
    <w:basedOn w:val="Policepardfaut"/>
    <w:link w:val="Textebrut"/>
    <w:uiPriority w:val="99"/>
    <w:rsid w:val="007A79F2"/>
    <w:rPr>
      <w:rFonts w:ascii="Calibri" w:hAnsi="Calibri" w:cs="Calibri"/>
      <w:lang w:eastAsia="fr-FR"/>
    </w:rPr>
  </w:style>
  <w:style w:type="paragraph" w:styleId="Paragraphedeliste">
    <w:name w:val="List Paragraph"/>
    <w:basedOn w:val="Normal"/>
    <w:uiPriority w:val="34"/>
    <w:qFormat/>
    <w:rsid w:val="007A79F2"/>
    <w:pPr>
      <w:ind w:left="720"/>
      <w:contextualSpacing/>
    </w:pPr>
  </w:style>
  <w:style w:type="paragraph" w:styleId="En-tte">
    <w:name w:val="header"/>
    <w:basedOn w:val="Normal"/>
    <w:link w:val="En-tteCar"/>
    <w:uiPriority w:val="99"/>
    <w:unhideWhenUsed/>
    <w:rsid w:val="006644EB"/>
    <w:pPr>
      <w:tabs>
        <w:tab w:val="center" w:pos="4536"/>
        <w:tab w:val="right" w:pos="9072"/>
      </w:tabs>
      <w:spacing w:after="0" w:line="240" w:lineRule="auto"/>
    </w:pPr>
  </w:style>
  <w:style w:type="character" w:customStyle="1" w:styleId="En-tteCar">
    <w:name w:val="En-tête Car"/>
    <w:basedOn w:val="Policepardfaut"/>
    <w:link w:val="En-tte"/>
    <w:uiPriority w:val="99"/>
    <w:rsid w:val="006644EB"/>
    <w:rPr>
      <w:rFonts w:eastAsiaTheme="minorEastAsia"/>
      <w:lang w:val="en-US"/>
    </w:rPr>
  </w:style>
  <w:style w:type="paragraph" w:styleId="Pieddepage">
    <w:name w:val="footer"/>
    <w:basedOn w:val="Normal"/>
    <w:link w:val="PieddepageCar"/>
    <w:uiPriority w:val="99"/>
    <w:unhideWhenUsed/>
    <w:rsid w:val="006644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44EB"/>
    <w:rPr>
      <w:rFonts w:eastAsiaTheme="minorEastAsia"/>
      <w:lang w:val="en-US"/>
    </w:rPr>
  </w:style>
  <w:style w:type="character" w:styleId="Numrodeligne">
    <w:name w:val="line number"/>
    <w:basedOn w:val="Policepardfaut"/>
    <w:uiPriority w:val="99"/>
    <w:semiHidden/>
    <w:unhideWhenUsed/>
    <w:rsid w:val="00D443E7"/>
  </w:style>
  <w:style w:type="paragraph" w:styleId="Bibliographie">
    <w:name w:val="Bibliography"/>
    <w:basedOn w:val="Normal"/>
    <w:next w:val="Normal"/>
    <w:uiPriority w:val="37"/>
    <w:semiHidden/>
    <w:unhideWhenUsed/>
    <w:rsid w:val="004615E4"/>
  </w:style>
  <w:style w:type="character" w:styleId="Lienhypertexte">
    <w:name w:val="Hyperlink"/>
    <w:basedOn w:val="Policepardfaut"/>
    <w:uiPriority w:val="99"/>
    <w:unhideWhenUsed/>
    <w:rsid w:val="004615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3263</Words>
  <Characters>17948</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Cirad</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Genowefa Blundo Canto</dc:creator>
  <cp:keywords/>
  <dc:description/>
  <cp:lastModifiedBy>Genowefa Blundo Canto</cp:lastModifiedBy>
  <cp:revision>4</cp:revision>
  <dcterms:created xsi:type="dcterms:W3CDTF">2020-02-16T11:45:00Z</dcterms:created>
  <dcterms:modified xsi:type="dcterms:W3CDTF">2020-02-16T11:53:00Z</dcterms:modified>
</cp:coreProperties>
</file>