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0C9" w:rsidRDefault="00A050C9" w:rsidP="00A050C9">
      <w:pPr>
        <w:jc w:val="center"/>
        <w:rPr>
          <w:rStyle w:val="Strong"/>
          <w:rFonts w:ascii="Times New Roman" w:eastAsiaTheme="majorEastAsia" w:hAnsi="Times New Roman" w:cs="Times New Roman"/>
          <w:spacing w:val="-7"/>
          <w:sz w:val="32"/>
        </w:rPr>
      </w:pPr>
      <w:r w:rsidRPr="00A050C9">
        <w:rPr>
          <w:rStyle w:val="Strong"/>
          <w:rFonts w:ascii="Times New Roman" w:eastAsiaTheme="majorEastAsia" w:hAnsi="Times New Roman" w:cs="Times New Roman"/>
          <w:spacing w:val="-7"/>
          <w:sz w:val="32"/>
        </w:rPr>
        <w:t>Supplementary File 6</w:t>
      </w:r>
    </w:p>
    <w:p w:rsidR="00A050C9" w:rsidRDefault="00D33990" w:rsidP="00A050C9">
      <w:pPr>
        <w:jc w:val="center"/>
        <w:rPr>
          <w:rStyle w:val="Strong"/>
          <w:rFonts w:ascii="Times New Roman" w:eastAsiaTheme="majorEastAsia" w:hAnsi="Times New Roman" w:cs="Times New Roman"/>
          <w:spacing w:val="-7"/>
          <w:sz w:val="32"/>
        </w:rPr>
      </w:pPr>
      <w:r>
        <w:rPr>
          <w:rStyle w:val="Strong"/>
          <w:rFonts w:ascii="Times New Roman" w:eastAsiaTheme="majorEastAsia" w:hAnsi="Times New Roman" w:cs="Times New Roman"/>
          <w:spacing w:val="-7"/>
          <w:sz w:val="32"/>
        </w:rPr>
        <w:t>Overall</w:t>
      </w:r>
      <w:r w:rsidR="00A050C9" w:rsidRPr="00A050C9">
        <w:rPr>
          <w:rStyle w:val="Strong"/>
          <w:rFonts w:ascii="Times New Roman" w:eastAsiaTheme="majorEastAsia" w:hAnsi="Times New Roman" w:cs="Times New Roman"/>
          <w:spacing w:val="-7"/>
          <w:sz w:val="32"/>
        </w:rPr>
        <w:t xml:space="preserve"> direction of effectiveness for the reviews included i</w:t>
      </w:r>
      <w:r w:rsidR="008600AD">
        <w:rPr>
          <w:rStyle w:val="Strong"/>
          <w:rFonts w:ascii="Times New Roman" w:eastAsiaTheme="majorEastAsia" w:hAnsi="Times New Roman" w:cs="Times New Roman"/>
          <w:spacing w:val="-7"/>
          <w:sz w:val="32"/>
        </w:rPr>
        <w:t>n multi-component interventions</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Four different reviews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the impact of interventions combining reformulation with labelling. Those four reviews reported effects on nutrition, but the results were mixed. Two of the reviews reported the impact on obesity/NCDs (for NCDs prevention), with one (</w:t>
      </w:r>
      <w:proofErr w:type="spellStart"/>
      <w:r w:rsidRPr="00860B7E">
        <w:rPr>
          <w:rStyle w:val="Strong"/>
          <w:rFonts w:ascii="Times New Roman" w:eastAsiaTheme="majorEastAsia" w:hAnsi="Times New Roman" w:cs="Times New Roman"/>
          <w:b w:val="0"/>
          <w:spacing w:val="-7"/>
          <w:sz w:val="20"/>
        </w:rPr>
        <w:t>Musicus</w:t>
      </w:r>
      <w:proofErr w:type="spellEnd"/>
      <w:r w:rsidRPr="00860B7E">
        <w:rPr>
          <w:rStyle w:val="Strong"/>
          <w:rFonts w:ascii="Times New Roman" w:eastAsiaTheme="majorEastAsia" w:hAnsi="Times New Roman" w:cs="Times New Roman"/>
          <w:b w:val="0"/>
          <w:spacing w:val="-7"/>
          <w:sz w:val="20"/>
        </w:rPr>
        <w:t xml:space="preserve"> et al., 2020) suggesting a positive effect on NCDs, while the one by </w:t>
      </w:r>
      <w:proofErr w:type="spellStart"/>
      <w:r w:rsidRPr="00860B7E">
        <w:rPr>
          <w:rStyle w:val="Strong"/>
          <w:rFonts w:ascii="Times New Roman" w:eastAsiaTheme="majorEastAsia" w:hAnsi="Times New Roman" w:cs="Times New Roman"/>
          <w:b w:val="0"/>
          <w:spacing w:val="-7"/>
          <w:sz w:val="20"/>
        </w:rPr>
        <w:t>Hyseni</w:t>
      </w:r>
      <w:proofErr w:type="spellEnd"/>
      <w:r w:rsidRPr="00860B7E">
        <w:rPr>
          <w:rStyle w:val="Strong"/>
          <w:rFonts w:ascii="Times New Roman" w:eastAsiaTheme="majorEastAsia" w:hAnsi="Times New Roman" w:cs="Times New Roman"/>
          <w:b w:val="0"/>
          <w:spacing w:val="-7"/>
          <w:sz w:val="20"/>
        </w:rPr>
        <w:t xml:space="preserve"> et al. (2017) did not find enough data. Another review (Hendry et al., 2015)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nutritional inequalities, reporting a positive impact, suggesting that the multi-component intervention is pro-equity. Moreover, in 2018, Thomson et al. published a review summarizing the effect of combining food labelling and composition, together with education campaigns (a type of intervention not included in this scoping review), reporting an overall neutral effect of the </w:t>
      </w:r>
      <w:proofErr w:type="spellStart"/>
      <w:r w:rsidRPr="00860B7E">
        <w:rPr>
          <w:rStyle w:val="Strong"/>
          <w:rFonts w:ascii="Times New Roman" w:eastAsiaTheme="majorEastAsia" w:hAnsi="Times New Roman" w:cs="Times New Roman"/>
          <w:b w:val="0"/>
          <w:spacing w:val="-7"/>
          <w:sz w:val="20"/>
        </w:rPr>
        <w:t>muti</w:t>
      </w:r>
      <w:proofErr w:type="spellEnd"/>
      <w:r w:rsidRPr="00860B7E">
        <w:rPr>
          <w:rStyle w:val="Strong"/>
          <w:rFonts w:ascii="Times New Roman" w:eastAsiaTheme="majorEastAsia" w:hAnsi="Times New Roman" w:cs="Times New Roman"/>
          <w:b w:val="0"/>
          <w:spacing w:val="-7"/>
          <w:sz w:val="20"/>
        </w:rPr>
        <w:t xml:space="preserve">-component intervention.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In this same line, a review published in 2017 by </w:t>
      </w:r>
      <w:proofErr w:type="spellStart"/>
      <w:r w:rsidRPr="00860B7E">
        <w:rPr>
          <w:rStyle w:val="Strong"/>
          <w:rFonts w:ascii="Times New Roman" w:eastAsiaTheme="majorEastAsia" w:hAnsi="Times New Roman" w:cs="Times New Roman"/>
          <w:b w:val="0"/>
          <w:spacing w:val="-7"/>
          <w:sz w:val="20"/>
        </w:rPr>
        <w:t>Hyseni</w:t>
      </w:r>
      <w:proofErr w:type="spellEnd"/>
      <w:r w:rsidRPr="00860B7E">
        <w:rPr>
          <w:rStyle w:val="Strong"/>
          <w:rFonts w:ascii="Times New Roman" w:eastAsiaTheme="majorEastAsia" w:hAnsi="Times New Roman" w:cs="Times New Roman"/>
          <w:b w:val="0"/>
          <w:spacing w:val="-7"/>
          <w:sz w:val="20"/>
        </w:rPr>
        <w:t xml:space="preserve">, Atkinson, et al. concluded that multi-component interventions including labelling and reformulation, or healthy food provision and promotion, or reformulation, labelling and promotion had positive effects on nutrition/healthy diets. Similarly, </w:t>
      </w:r>
      <w:proofErr w:type="spellStart"/>
      <w:r w:rsidRPr="00860B7E">
        <w:rPr>
          <w:rStyle w:val="Strong"/>
          <w:rFonts w:ascii="Times New Roman" w:eastAsiaTheme="majorEastAsia" w:hAnsi="Times New Roman" w:cs="Times New Roman"/>
          <w:b w:val="0"/>
          <w:spacing w:val="-7"/>
          <w:sz w:val="20"/>
        </w:rPr>
        <w:t>Hyseni</w:t>
      </w:r>
      <w:proofErr w:type="spellEnd"/>
      <w:r w:rsidRPr="00860B7E">
        <w:rPr>
          <w:rStyle w:val="Strong"/>
          <w:rFonts w:ascii="Times New Roman" w:eastAsiaTheme="majorEastAsia" w:hAnsi="Times New Roman" w:cs="Times New Roman"/>
          <w:b w:val="0"/>
          <w:spacing w:val="-7"/>
          <w:sz w:val="20"/>
        </w:rPr>
        <w:t xml:space="preserve">, Elliot-Green et al. (2017) reported a positive effect of combining food reformulation, labelling, healthy food provision and taxes on foods high in sodium, both on nutrition/healthy diets and in obesity/NCDs indicators.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Another set of three reviews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the impact of multi-component interventions consisting of provision and food retail. Two of them (Bramante el at., 2019; Pineda et al., 2021) had the focus exclusively on children, while </w:t>
      </w:r>
      <w:proofErr w:type="spellStart"/>
      <w:r w:rsidRPr="00860B7E">
        <w:rPr>
          <w:rStyle w:val="Strong"/>
          <w:rFonts w:ascii="Times New Roman" w:eastAsiaTheme="majorEastAsia" w:hAnsi="Times New Roman" w:cs="Times New Roman"/>
          <w:b w:val="0"/>
          <w:spacing w:val="-7"/>
          <w:sz w:val="20"/>
        </w:rPr>
        <w:t>Ewart</w:t>
      </w:r>
      <w:proofErr w:type="spellEnd"/>
      <w:r w:rsidRPr="00860B7E">
        <w:rPr>
          <w:rStyle w:val="Strong"/>
          <w:rFonts w:ascii="Times New Roman" w:eastAsiaTheme="majorEastAsia" w:hAnsi="Times New Roman" w:cs="Times New Roman"/>
          <w:b w:val="0"/>
          <w:spacing w:val="-7"/>
          <w:sz w:val="20"/>
        </w:rPr>
        <w:t xml:space="preserve">-Pierce et al. (2016) also included the general population. Overall, results are promising, showing a positive effect on obesity/NCDs, while for nutrition/healthy diets results are mixed but overall seem to be beneficial. Lastly, two of the reviews also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the equity impact of the combined interventions, suggesting a synergy with overweight prevention.</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A couple of reviews summarized the impact of multi-component interventions combining reformulation, marketing, labelling, healthy food provision, nudging strategies in stores or fiscal measures. Russo et al. (2020) reported an overall positive effect at the workplace, while Hillier-Brown et al. (2017) suggested that taxes and subsidies in combination with nudging strategies is positive for the purchase of healthier food products and the reduction of unhealthier ones.</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Two reviews (</w:t>
      </w:r>
      <w:proofErr w:type="spellStart"/>
      <w:r w:rsidRPr="00860B7E">
        <w:rPr>
          <w:rStyle w:val="Strong"/>
          <w:rFonts w:ascii="Times New Roman" w:eastAsiaTheme="majorEastAsia" w:hAnsi="Times New Roman" w:cs="Times New Roman"/>
          <w:b w:val="0"/>
          <w:spacing w:val="-7"/>
          <w:sz w:val="20"/>
        </w:rPr>
        <w:t>Bleich</w:t>
      </w:r>
      <w:proofErr w:type="spellEnd"/>
      <w:r w:rsidRPr="00860B7E">
        <w:rPr>
          <w:rStyle w:val="Strong"/>
          <w:rFonts w:ascii="Times New Roman" w:eastAsiaTheme="majorEastAsia" w:hAnsi="Times New Roman" w:cs="Times New Roman"/>
          <w:b w:val="0"/>
          <w:spacing w:val="-7"/>
          <w:sz w:val="20"/>
        </w:rPr>
        <w:t xml:space="preserve"> et al., 2013; Chaudhary et al., 2020) </w:t>
      </w:r>
      <w:proofErr w:type="spellStart"/>
      <w:r w:rsidRPr="00860B7E">
        <w:rPr>
          <w:rStyle w:val="Strong"/>
          <w:rFonts w:ascii="Times New Roman" w:eastAsiaTheme="majorEastAsia" w:hAnsi="Times New Roman" w:cs="Times New Roman"/>
          <w:b w:val="0"/>
          <w:spacing w:val="-7"/>
          <w:sz w:val="20"/>
        </w:rPr>
        <w:t>summarised</w:t>
      </w:r>
      <w:proofErr w:type="spellEnd"/>
      <w:r w:rsidRPr="00860B7E">
        <w:rPr>
          <w:rStyle w:val="Strong"/>
          <w:rFonts w:ascii="Times New Roman" w:eastAsiaTheme="majorEastAsia" w:hAnsi="Times New Roman" w:cs="Times New Roman"/>
          <w:b w:val="0"/>
          <w:spacing w:val="-7"/>
          <w:sz w:val="20"/>
        </w:rPr>
        <w:t xml:space="preserve"> the effect of combining food production (garden-based strategies) and food provision (increasing the availability and provision of healthier options), suggesting an overall positive impact both on nutrition and obesity/NCDs indicators in children.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Other two reviews described the impact of labelling and food provision interventions together, both of them </w:t>
      </w:r>
      <w:proofErr w:type="spellStart"/>
      <w:r w:rsidRPr="00860B7E">
        <w:rPr>
          <w:rStyle w:val="Strong"/>
          <w:rFonts w:ascii="Times New Roman" w:eastAsiaTheme="majorEastAsia" w:hAnsi="Times New Roman" w:cs="Times New Roman"/>
          <w:b w:val="0"/>
          <w:spacing w:val="-7"/>
          <w:sz w:val="20"/>
        </w:rPr>
        <w:t>analysing</w:t>
      </w:r>
      <w:proofErr w:type="spellEnd"/>
      <w:r w:rsidRPr="00860B7E">
        <w:rPr>
          <w:rStyle w:val="Strong"/>
          <w:rFonts w:ascii="Times New Roman" w:eastAsiaTheme="majorEastAsia" w:hAnsi="Times New Roman" w:cs="Times New Roman"/>
          <w:b w:val="0"/>
          <w:spacing w:val="-7"/>
          <w:sz w:val="20"/>
        </w:rPr>
        <w:t xml:space="preserve"> the impact of the interventions in school-aged children. One review (</w:t>
      </w:r>
      <w:proofErr w:type="spellStart"/>
      <w:r w:rsidRPr="00860B7E">
        <w:rPr>
          <w:rStyle w:val="Strong"/>
          <w:rFonts w:ascii="Times New Roman" w:eastAsiaTheme="majorEastAsia" w:hAnsi="Times New Roman" w:cs="Times New Roman"/>
          <w:b w:val="0"/>
          <w:spacing w:val="-7"/>
          <w:sz w:val="20"/>
        </w:rPr>
        <w:t>Nørnberg</w:t>
      </w:r>
      <w:proofErr w:type="spellEnd"/>
      <w:r w:rsidRPr="00860B7E">
        <w:rPr>
          <w:rStyle w:val="Strong"/>
          <w:rFonts w:ascii="Times New Roman" w:eastAsiaTheme="majorEastAsia" w:hAnsi="Times New Roman" w:cs="Times New Roman"/>
          <w:b w:val="0"/>
          <w:spacing w:val="-7"/>
          <w:sz w:val="20"/>
        </w:rPr>
        <w:t xml:space="preserve"> et al., 2016) reported mixed results while the other one (Wang &amp; Stewart, 2013) suggested an overall positive impact on nutrition/healthy diets.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A couple of reviews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the impact of combining food labelling, food provision and food retail strategies on the general population, suggesting an overall positive result for nutrition/healthy diets. While one of the reviews did not find enough </w:t>
      </w:r>
      <w:r w:rsidRPr="00860B7E">
        <w:rPr>
          <w:rStyle w:val="Strong"/>
          <w:rFonts w:ascii="Times New Roman" w:eastAsiaTheme="majorEastAsia" w:hAnsi="Times New Roman" w:cs="Times New Roman"/>
          <w:b w:val="0"/>
          <w:spacing w:val="-7"/>
          <w:sz w:val="20"/>
        </w:rPr>
        <w:lastRenderedPageBreak/>
        <w:t xml:space="preserve">information to reach a conclusion for obesity/NCDs (Roy et al., 2015), </w:t>
      </w:r>
      <w:proofErr w:type="spellStart"/>
      <w:r w:rsidRPr="00860B7E">
        <w:rPr>
          <w:rStyle w:val="Strong"/>
          <w:rFonts w:ascii="Times New Roman" w:eastAsiaTheme="majorEastAsia" w:hAnsi="Times New Roman" w:cs="Times New Roman"/>
          <w:b w:val="0"/>
          <w:spacing w:val="-7"/>
          <w:sz w:val="20"/>
        </w:rPr>
        <w:t>Naicker</w:t>
      </w:r>
      <w:proofErr w:type="spellEnd"/>
      <w:r w:rsidRPr="00860B7E">
        <w:rPr>
          <w:rStyle w:val="Strong"/>
          <w:rFonts w:ascii="Times New Roman" w:eastAsiaTheme="majorEastAsia" w:hAnsi="Times New Roman" w:cs="Times New Roman"/>
          <w:b w:val="0"/>
          <w:spacing w:val="-7"/>
          <w:sz w:val="20"/>
        </w:rPr>
        <w:t xml:space="preserve"> et al. (2021) reported an overall positive impact for BMI and overweight of the multi-component interventions that included food provision strategies.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proofErr w:type="spellStart"/>
      <w:r w:rsidRPr="00860B7E">
        <w:rPr>
          <w:rStyle w:val="Strong"/>
          <w:rFonts w:ascii="Times New Roman" w:eastAsiaTheme="majorEastAsia" w:hAnsi="Times New Roman" w:cs="Times New Roman"/>
          <w:b w:val="0"/>
          <w:spacing w:val="-7"/>
          <w:sz w:val="20"/>
        </w:rPr>
        <w:t>Noy</w:t>
      </w:r>
      <w:proofErr w:type="spellEnd"/>
      <w:r w:rsidRPr="00860B7E">
        <w:rPr>
          <w:rStyle w:val="Strong"/>
          <w:rFonts w:ascii="Times New Roman" w:eastAsiaTheme="majorEastAsia" w:hAnsi="Times New Roman" w:cs="Times New Roman"/>
          <w:b w:val="0"/>
          <w:spacing w:val="-7"/>
          <w:sz w:val="20"/>
        </w:rPr>
        <w:t xml:space="preserve"> et al. (2019) </w:t>
      </w:r>
      <w:proofErr w:type="spellStart"/>
      <w:r w:rsidRPr="00860B7E">
        <w:rPr>
          <w:rStyle w:val="Strong"/>
          <w:rFonts w:ascii="Times New Roman" w:eastAsiaTheme="majorEastAsia" w:hAnsi="Times New Roman" w:cs="Times New Roman"/>
          <w:b w:val="0"/>
          <w:spacing w:val="-7"/>
          <w:sz w:val="20"/>
        </w:rPr>
        <w:t>summarised</w:t>
      </w:r>
      <w:proofErr w:type="spellEnd"/>
      <w:r w:rsidRPr="00860B7E">
        <w:rPr>
          <w:rStyle w:val="Strong"/>
          <w:rFonts w:ascii="Times New Roman" w:eastAsiaTheme="majorEastAsia" w:hAnsi="Times New Roman" w:cs="Times New Roman"/>
          <w:b w:val="0"/>
          <w:spacing w:val="-7"/>
          <w:sz w:val="20"/>
        </w:rPr>
        <w:t xml:space="preserve"> the impact of interventions combining food production and food prices in the general population, reporting a positive impact both for undernutrition and nutrition when combining garden interventions with tax incentives to increase access to food.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Jensen et al. (2011) described the effect of combining food provision with price interventions, reporting an overall positive result on nutrition outcomes, both for subsidies alone or in combination with availability of healthy foods in school environments.</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proofErr w:type="spellStart"/>
      <w:r w:rsidRPr="00860B7E">
        <w:rPr>
          <w:rStyle w:val="Strong"/>
          <w:rFonts w:ascii="Times New Roman" w:eastAsiaTheme="majorEastAsia" w:hAnsi="Times New Roman" w:cs="Times New Roman"/>
          <w:b w:val="0"/>
          <w:spacing w:val="-7"/>
          <w:sz w:val="20"/>
        </w:rPr>
        <w:t>Gittelsohn</w:t>
      </w:r>
      <w:proofErr w:type="spellEnd"/>
      <w:r w:rsidRPr="00860B7E">
        <w:rPr>
          <w:rStyle w:val="Strong"/>
          <w:rFonts w:ascii="Times New Roman" w:eastAsiaTheme="majorEastAsia" w:hAnsi="Times New Roman" w:cs="Times New Roman"/>
          <w:b w:val="0"/>
          <w:spacing w:val="-7"/>
          <w:sz w:val="20"/>
        </w:rPr>
        <w:t xml:space="preserve"> et al. (2017) summarized the effect of pricing interventions alone or in combination with food labelling or nudging in stores, reporting a positive effect on nutrition/healthy diets for prices alone and in combination with labelling and/or interventions in the physical environment of stores. However, results did not suggest any consistent effect on the BMI of the population studied. Earlier, in 2013, </w:t>
      </w:r>
      <w:proofErr w:type="spellStart"/>
      <w:r w:rsidRPr="00860B7E">
        <w:rPr>
          <w:rStyle w:val="Strong"/>
          <w:rFonts w:ascii="Times New Roman" w:eastAsiaTheme="majorEastAsia" w:hAnsi="Times New Roman" w:cs="Times New Roman"/>
          <w:b w:val="0"/>
          <w:spacing w:val="-7"/>
          <w:sz w:val="20"/>
        </w:rPr>
        <w:t>Gittelsohn</w:t>
      </w:r>
      <w:proofErr w:type="spellEnd"/>
      <w:r w:rsidRPr="00860B7E">
        <w:rPr>
          <w:rStyle w:val="Strong"/>
          <w:rFonts w:ascii="Times New Roman" w:eastAsiaTheme="majorEastAsia" w:hAnsi="Times New Roman" w:cs="Times New Roman"/>
          <w:b w:val="0"/>
          <w:spacing w:val="-7"/>
          <w:sz w:val="20"/>
        </w:rPr>
        <w:t xml:space="preserve"> et al. had published a review describing the positive impact on nutrition/healthy diets of combining labelling, promotion, provision and price interventions in stores and food service settings (cafeteria, restaurants).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proofErr w:type="spellStart"/>
      <w:r w:rsidRPr="00860B7E">
        <w:rPr>
          <w:rStyle w:val="Strong"/>
          <w:rFonts w:ascii="Times New Roman" w:eastAsiaTheme="majorEastAsia" w:hAnsi="Times New Roman" w:cs="Times New Roman"/>
          <w:b w:val="0"/>
          <w:spacing w:val="-7"/>
          <w:sz w:val="20"/>
        </w:rPr>
        <w:t>Urgell-Lahuerta</w:t>
      </w:r>
      <w:proofErr w:type="spellEnd"/>
      <w:r w:rsidRPr="00860B7E">
        <w:rPr>
          <w:rStyle w:val="Strong"/>
          <w:rFonts w:ascii="Times New Roman" w:eastAsiaTheme="majorEastAsia" w:hAnsi="Times New Roman" w:cs="Times New Roman"/>
          <w:b w:val="0"/>
          <w:spacing w:val="-7"/>
          <w:sz w:val="20"/>
        </w:rPr>
        <w:t xml:space="preserve"> et al. (2021) </w:t>
      </w:r>
      <w:proofErr w:type="spellStart"/>
      <w:r w:rsidRPr="00860B7E">
        <w:rPr>
          <w:rStyle w:val="Strong"/>
          <w:rFonts w:ascii="Times New Roman" w:eastAsiaTheme="majorEastAsia" w:hAnsi="Times New Roman" w:cs="Times New Roman"/>
          <w:b w:val="0"/>
          <w:spacing w:val="-7"/>
          <w:sz w:val="20"/>
        </w:rPr>
        <w:t>analysed</w:t>
      </w:r>
      <w:proofErr w:type="spellEnd"/>
      <w:r w:rsidRPr="00860B7E">
        <w:rPr>
          <w:rStyle w:val="Strong"/>
          <w:rFonts w:ascii="Times New Roman" w:eastAsiaTheme="majorEastAsia" w:hAnsi="Times New Roman" w:cs="Times New Roman"/>
          <w:b w:val="0"/>
          <w:spacing w:val="-7"/>
          <w:sz w:val="20"/>
        </w:rPr>
        <w:t xml:space="preserve"> the impact of combining food fortification and supplementation interventions with subsidies and vouchers, reporting an overall positive effect on undernutrition, more specifically on children mortality, micronutrient deficiencies and growth faltering. However, results were inconsistent for nutrition/healthy diets interventions. Another interesting result of this review was the description of a beneficial result if food vouchers are used as a strategy to reduce food waste during seasons where food insecurity is at its highest.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Back in 2012, Pérez-</w:t>
      </w:r>
      <w:proofErr w:type="spellStart"/>
      <w:r w:rsidRPr="00860B7E">
        <w:rPr>
          <w:rStyle w:val="Strong"/>
          <w:rFonts w:ascii="Times New Roman" w:eastAsiaTheme="majorEastAsia" w:hAnsi="Times New Roman" w:cs="Times New Roman"/>
          <w:b w:val="0"/>
          <w:spacing w:val="-7"/>
          <w:sz w:val="20"/>
        </w:rPr>
        <w:t>Cueto</w:t>
      </w:r>
      <w:proofErr w:type="spellEnd"/>
      <w:r w:rsidRPr="00860B7E">
        <w:rPr>
          <w:rStyle w:val="Strong"/>
          <w:rFonts w:ascii="Times New Roman" w:eastAsiaTheme="majorEastAsia" w:hAnsi="Times New Roman" w:cs="Times New Roman"/>
          <w:b w:val="0"/>
          <w:spacing w:val="-7"/>
          <w:sz w:val="20"/>
        </w:rPr>
        <w:t xml:space="preserve"> et al. published a policy review in EU’s Member States </w:t>
      </w:r>
      <w:proofErr w:type="spellStart"/>
      <w:r w:rsidRPr="00860B7E">
        <w:rPr>
          <w:rStyle w:val="Strong"/>
          <w:rFonts w:ascii="Times New Roman" w:eastAsiaTheme="majorEastAsia" w:hAnsi="Times New Roman" w:cs="Times New Roman"/>
          <w:b w:val="0"/>
          <w:spacing w:val="-7"/>
          <w:sz w:val="20"/>
        </w:rPr>
        <w:t>analysing</w:t>
      </w:r>
      <w:proofErr w:type="spellEnd"/>
      <w:r w:rsidRPr="00860B7E">
        <w:rPr>
          <w:rStyle w:val="Strong"/>
          <w:rFonts w:ascii="Times New Roman" w:eastAsiaTheme="majorEastAsia" w:hAnsi="Times New Roman" w:cs="Times New Roman"/>
          <w:b w:val="0"/>
          <w:spacing w:val="-7"/>
          <w:sz w:val="20"/>
        </w:rPr>
        <w:t xml:space="preserve"> the impact on multi-component interventions that included a combination of food promotion and healthy food provision interventions, also in combination with other strategies (such as nutrition education), suggesting that any policy aimed at healthy eating may be successful if there is a component of multi-stakeholder involvement and if the approach includes the synergy of different types of policy instruments. </w:t>
      </w:r>
    </w:p>
    <w:p w:rsidR="00860B7E" w:rsidRPr="00860B7E" w:rsidRDefault="00860B7E" w:rsidP="00860B7E">
      <w:pPr>
        <w:spacing w:line="360" w:lineRule="auto"/>
        <w:rPr>
          <w:rStyle w:val="Strong"/>
          <w:rFonts w:ascii="Times New Roman" w:eastAsiaTheme="majorEastAsia" w:hAnsi="Times New Roman" w:cs="Times New Roman"/>
          <w:b w:val="0"/>
          <w:spacing w:val="-7"/>
          <w:sz w:val="20"/>
        </w:rPr>
      </w:pPr>
      <w:r w:rsidRPr="00860B7E">
        <w:rPr>
          <w:rStyle w:val="Strong"/>
          <w:rFonts w:ascii="Times New Roman" w:eastAsiaTheme="majorEastAsia" w:hAnsi="Times New Roman" w:cs="Times New Roman"/>
          <w:b w:val="0"/>
          <w:spacing w:val="-7"/>
          <w:sz w:val="20"/>
        </w:rPr>
        <w:t xml:space="preserve">Lastly, </w:t>
      </w:r>
      <w:proofErr w:type="spellStart"/>
      <w:r w:rsidRPr="00860B7E">
        <w:rPr>
          <w:rStyle w:val="Strong"/>
          <w:rFonts w:ascii="Times New Roman" w:eastAsiaTheme="majorEastAsia" w:hAnsi="Times New Roman" w:cs="Times New Roman"/>
          <w:b w:val="0"/>
          <w:spacing w:val="-7"/>
          <w:sz w:val="20"/>
        </w:rPr>
        <w:t>Calancie</w:t>
      </w:r>
      <w:proofErr w:type="spellEnd"/>
      <w:r w:rsidRPr="00860B7E">
        <w:rPr>
          <w:rStyle w:val="Strong"/>
          <w:rFonts w:ascii="Times New Roman" w:eastAsiaTheme="majorEastAsia" w:hAnsi="Times New Roman" w:cs="Times New Roman"/>
          <w:b w:val="0"/>
          <w:spacing w:val="-7"/>
          <w:sz w:val="20"/>
        </w:rPr>
        <w:t xml:space="preserve"> et al. (2015) summarized the effect of multi-component interventions consisting of food promotion, provision and retail strategies in rural communities. Overall, the results showed overall positive effects for nutrition/healthy diets, in particular for increasing F&amp;Vs, and in the reduction of SSBs and fat intakes. However, the intervention did not show any effect on obesity/NCDs indicators. As findings from this review were too diverse to empirically assess the effectiveness of the interventions, the potential beneficial results indicate the need for additional research.</w:t>
      </w:r>
    </w:p>
    <w:p w:rsidR="00A050C9" w:rsidRPr="00D33990" w:rsidRDefault="00A050C9" w:rsidP="00A050C9">
      <w:pPr>
        <w:rPr>
          <w:rFonts w:ascii="Times New Roman" w:hAnsi="Times New Roman" w:cs="Times New Roman"/>
          <w:b/>
          <w:sz w:val="20"/>
          <w:szCs w:val="20"/>
          <w:lang w:val="en-GB"/>
        </w:rPr>
      </w:pPr>
      <w:r w:rsidRPr="00D33990">
        <w:rPr>
          <w:rFonts w:ascii="Times New Roman" w:hAnsi="Times New Roman" w:cs="Times New Roman"/>
          <w:b/>
          <w:sz w:val="20"/>
          <w:szCs w:val="20"/>
        </w:rPr>
        <w:t xml:space="preserve">Summary of the evidence for multi-component policies or interventions, and their specific impact on the outcomes </w:t>
      </w:r>
      <w:r w:rsidRPr="00D33990">
        <w:rPr>
          <w:rFonts w:ascii="Times New Roman" w:hAnsi="Times New Roman" w:cs="Times New Roman"/>
          <w:b/>
          <w:i/>
          <w:sz w:val="20"/>
          <w:szCs w:val="20"/>
        </w:rPr>
        <w:t>(if applicable)</w:t>
      </w:r>
      <w:bookmarkStart w:id="0" w:name="_GoBack"/>
      <w:bookmarkEnd w:id="0"/>
      <w:r w:rsidRPr="00D33990">
        <w:rPr>
          <w:rFonts w:ascii="Times New Roman" w:hAnsi="Times New Roman" w:cs="Times New Roman"/>
          <w:b/>
          <w:i/>
          <w:sz w:val="20"/>
          <w:szCs w:val="20"/>
        </w:rPr>
        <w:t xml:space="preserve">. </w:t>
      </w:r>
    </w:p>
    <w:tbl>
      <w:tblPr>
        <w:tblStyle w:val="PlainTable2"/>
        <w:tblW w:w="0" w:type="auto"/>
        <w:tblLook w:val="04A0" w:firstRow="1" w:lastRow="0" w:firstColumn="1" w:lastColumn="0" w:noHBand="0" w:noVBand="1"/>
      </w:tblPr>
      <w:tblGrid>
        <w:gridCol w:w="1118"/>
        <w:gridCol w:w="1094"/>
        <w:gridCol w:w="1627"/>
        <w:gridCol w:w="1663"/>
        <w:gridCol w:w="1603"/>
        <w:gridCol w:w="983"/>
        <w:gridCol w:w="1272"/>
      </w:tblGrid>
      <w:tr w:rsidR="00A050C9" w:rsidRPr="00055B95" w:rsidTr="009874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rPr>
                <w:rFonts w:ascii="Times New Roman" w:hAnsi="Times New Roman" w:cs="Times New Roman"/>
                <w:sz w:val="20"/>
                <w:szCs w:val="20"/>
                <w:lang w:val="en-GB"/>
              </w:rPr>
            </w:pPr>
            <w:r w:rsidRPr="00055B95">
              <w:rPr>
                <w:rFonts w:ascii="Times New Roman" w:hAnsi="Times New Roman" w:cs="Times New Roman"/>
                <w:sz w:val="20"/>
                <w:szCs w:val="20"/>
                <w:lang w:val="en-GB"/>
              </w:rPr>
              <w:t>Author(s), year</w:t>
            </w:r>
          </w:p>
        </w:tc>
        <w:tc>
          <w:tcPr>
            <w:tcW w:w="940" w:type="dxa"/>
          </w:tcPr>
          <w:p w:rsidR="00A050C9" w:rsidRPr="00055B95" w:rsidRDefault="00A050C9" w:rsidP="009874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Review type</w:t>
            </w:r>
          </w:p>
        </w:tc>
        <w:tc>
          <w:tcPr>
            <w:tcW w:w="1533" w:type="dxa"/>
          </w:tcPr>
          <w:p w:rsidR="00A050C9" w:rsidRPr="00055B95" w:rsidRDefault="00A050C9" w:rsidP="0098748A">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Geography; implementation; population</w:t>
            </w:r>
          </w:p>
        </w:tc>
        <w:tc>
          <w:tcPr>
            <w:tcW w:w="2059" w:type="dxa"/>
          </w:tcPr>
          <w:p w:rsidR="00A050C9" w:rsidRPr="00055B95" w:rsidRDefault="00A050C9" w:rsidP="0098748A">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Intervention</w:t>
            </w:r>
          </w:p>
          <w:p w:rsidR="00A050C9" w:rsidRPr="00055B95" w:rsidRDefault="00A050C9" w:rsidP="0098748A">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(more details)</w:t>
            </w:r>
          </w:p>
        </w:tc>
        <w:tc>
          <w:tcPr>
            <w:tcW w:w="1860" w:type="dxa"/>
          </w:tcPr>
          <w:p w:rsidR="00A050C9" w:rsidRPr="00055B95" w:rsidRDefault="00A050C9" w:rsidP="009874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Effectiveness</w:t>
            </w:r>
          </w:p>
        </w:tc>
        <w:tc>
          <w:tcPr>
            <w:tcW w:w="727" w:type="dxa"/>
          </w:tcPr>
          <w:p w:rsidR="00A050C9" w:rsidRPr="00055B95" w:rsidRDefault="00A050C9" w:rsidP="009874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rPr>
              <w:t>Quality</w:t>
            </w:r>
          </w:p>
        </w:tc>
        <w:tc>
          <w:tcPr>
            <w:tcW w:w="1061" w:type="dxa"/>
          </w:tcPr>
          <w:p w:rsidR="00A050C9" w:rsidRPr="00055B95" w:rsidRDefault="00A050C9" w:rsidP="009874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Allows separate</w:t>
            </w:r>
          </w:p>
          <w:p w:rsidR="00A050C9" w:rsidRPr="00055B95" w:rsidRDefault="00A050C9" w:rsidP="0098748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analysis</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Composition + Labelling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(n=4)</w:t>
            </w: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lastRenderedPageBreak/>
              <w:fldChar w:fldCharType="begin"/>
            </w:r>
            <w:r w:rsidRPr="00055B95">
              <w:rPr>
                <w:rFonts w:ascii="Times New Roman" w:hAnsi="Times New Roman" w:cs="Times New Roman"/>
                <w:b w:val="0"/>
                <w:i/>
                <w:sz w:val="20"/>
                <w:szCs w:val="20"/>
                <w:lang w:val="en-GB"/>
              </w:rPr>
              <w:instrText xml:space="preserve"> ADDIN ZOTERO_ITEM CSL_CITATION {"citationID":"emRVoqy1","properties":{"formattedCitation":"(Musicus et al., 2020)","plainCitation":"(Musicus et al., 2020)","dontUpdate":true,"noteIndex":0},"citationItems":[{"id":170590,"uris":["http://zotero.org/users/7614071/items/LT27IKRQ"],"uri":["http://zotero.org/users/7614071/items/LT27IKRQ"],"itemData":{"id":170590,"type":"article-journal","abstract":"Most Americans consume dietary sodium exceeding age-specific government-recommended targets of 1,500–2,300 mg/day per person. The majority (71%) of US dietary sodium comes from restaurant and packaged foods. Excess sodium intake contributes to hypertension and cardiovascular disease, which is the leading cause of death in the United States. This review summarizes evidence for policy progress to reduce sodium in the US food supply and the American diet. We provide a historical overview of US sodium-reduction policy (1969–2010), then examine progress toward implementing the 2010 National Academy of Medicine (NAM) sodium report's recommendations (2010–2019). Results suggest that the US Food and Drug Administration made no progress in setting mandatory sodium-reduction standards, industry made some progress in meeting voluntary targets, and other stakeholders made some progress on sodium-reduction actions. Insights from countries that have significantly reduced population sodium intake offer strategies to accelerate US progress toward implementing the NAM sodium-reduction recommendations in the future.","container-title":"Annual Review of Nutrition","DOI":"10.1146/annurev-nutr-122319-040249","ISSN":"0199-9885, 1545-4312","issue":"1","journalAbbreviation":"Annu. Rev. Nutr.","language":"en","page":"407-435","source":"DOI.org (Crossref)","title":"Policy Progress in Reducing Sodium in the American Diet, 2010–2019","volume":"40","author":[{"family":"Musicus","given":"Aviva A."},{"family":"Kraak","given":"Vivica I."},{"family":"Bleich","given":"Sara N."}],"issued":{"date-parts":[["2020",9,23]]}}}],"schema":"https://github.com/citation-style-language/schema/raw/master/csl-citation.json"}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Musicus et al., 2020</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Policy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United States, United Kingdom, Finland; national; general</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 sodium)</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(for NCDs)</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{"citationID":"yCELlZSj","properties":{"formattedCitation":"(Ding et al., 2020)","plainCitation":"(Ding et al., 2020)","dontUpdate":true,"noteIndex":0},"citationItems":[{"id":170606,"uris":["http://zotero.org/users/7614071/items/2SKUE7Z9"],"uri":["http://zotero.org/users/7614071/items/2SKUE7Z9"],"itemData":{"id":170606,"type":"article-journal","abstract":"As the catering sector has increasingly contributed to population-level salt intake, many countries have begun developing salt-reduction strategies for restaurants. This paper aims to provide an overview of global salt reduction policies in restaurants. Scientific papers and website materials were systematically searched from Web of Science, Science Direct, and PubMed, as well as official websites of government departments and organizations. A total of 78 full-text papers and grey literature works were included. From 58 countries and regions, 62 independent policies were identified, 27 of which were mandatory (3 with fines). The most common strategy was menu labeling, which was a component of 40 policies. Target setting (n = 23) and reformulation (n = 13) of dishes were also widely implemented. Other salt-reduction strategies included education campaign, chef training, toolkits delivery, table salt removal, media campaign, and government assistance such as free nutrition analysis and toolkits distribution. Most policies focused on chain restaurants. Evaluations of these policies were limited and showed inconsistent results, and more time is needed to demonstrate the clear long-term effects. Attention has been paid to salt reduction in restaurants around the world but is still at its early stage. The feasibility and effectiveness of the strategies need to be further explored.","container-title":"International Journal of Environmental Research and Public Health","DOI":"10.3390/ijerph17249570","ISSN":"1660-4601","issue":"24","journalAbbreviation":"IJERPH","language":"en","page":"9570","source":"DOI.org (Crossref)","title":"Systematic Review on International Salt Reduction Policy in Restaurants","volume":"17","author":[{"family":"Ding","given":"Jingmin"},{"family":"Sun","given":"Yuewen"},{"family":"Li","given":"Yuan"},{"family":"He","given":"Jing"},{"family":"Sinclair","given":"Harriet"},{"family":"Du","given":"Wenwen"},{"family":"Wang","given":"Huijun"},{"family":"Zhang","given":"Puhong"}],"issued":{"date-parts":[["2020",12,21]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Ding et al., 2020</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(restaurants);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(but mixed: majority neutral)</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{"citationID":"JoT2S8ET","properties":{"formattedCitation":"(Hyseni et al., 2017)","plainCitation":"(Hyseni et al., 2017)","dontUpdate":true,"noteIndex":0},"citationItems":[{"id":170743,"uris":["http://zotero.org/users/7614071/items/ZHIEMI6R"],"uri":["http://zotero.org/users/7614071/items/ZHIEMI6R"],"itemData":{"id":170743,"type":"article-journal","container-title":"Bulletin of the World Health Organization","DOI":"10.2471/BLT.16.189795","ISSN":"0042-9686","issue":"12","journalAbbreviation":"Bull. World Health Organ.","page":"821-830G","source":"DOI.org (Crossref)","title":"Systematic review of dietary trans-fat reduction interventions","volume":"95","author":[{"family":"Hyseni","given":"Lirije"},{"family":"Bromley","given":"Helen"},{"family":"Kypridemos","given":"Chris"},{"family":"O’Flaherty","given":"Martin"},{"family":"Lloyd-Williams","given":"Ffion"},{"family":"Guzman-Castillo","given":"Maria"},{"family":"Pearson-Stuttard","given":"Jonathan"},{"family":"Capewell","given":"Simon"}],"issued":{"date-parts":[["2017",12,1]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Hyseni et al., 2017</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national; general</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multicomponent, and for reformulation),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labelling)</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0</w:t>
            </w:r>
            <w:r w:rsidRPr="00055B95">
              <w:rPr>
                <w:rFonts w:ascii="Times New Roman" w:hAnsi="Times New Roman" w:cs="Times New Roman"/>
                <w:iCs/>
                <w:sz w:val="20"/>
                <w:szCs w:val="20"/>
                <w:lang w:val="en-GB"/>
              </w:rPr>
              <w:t xml:space="preserve"> </w:t>
            </w:r>
            <w:r w:rsidRPr="00055B95">
              <w:rPr>
                <w:rFonts w:ascii="Times New Roman" w:hAnsi="Times New Roman" w:cs="Times New Roman"/>
                <w:sz w:val="20"/>
                <w:szCs w:val="20"/>
                <w:lang w:val="en-GB"/>
              </w:rPr>
              <w:t xml:space="preserve">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{"citationID":"lG0h4ivI","properties":{"formattedCitation":"(Hendry et al., 2015)","plainCitation":"(Hendry et al., 2015)","dontUpdate":true,"noteIndex":0},"citationItems":[{"id":170789,"uris":["http://zotero.org/users/7614071/items/X4HIYWXI"],"uri":["http://zotero.org/users/7614071/items/X4HIYWXI"],"itemData":{"id":170789,"type":"article-journal","container-title":"American Journal of Public Health","DOI":"10.2105/AJPH.2014.302372","ISSN":"0090-0036, 1541-0048","issue":"3","journalAbbreviation":"Am J Public Health","language":"en","page":"e32-e42","source":"DOI.org (Crossref)","title":"Impact of Regulatory Interventions to Reduce Intake of Artificial Trans–Fatty Acids: A Systematic Review","title-short":"Impact of Regulatory Interventions to Reduce Intake of Artificial Trans–Fatty Acids","volume":"105","author":[{"family":"Hendry","given":"Vivien L."},{"family":"Almíron-Roig","given":"Eva"},{"family":"Monsivais","given":"Pablo"},{"family":"Jebb","given":"Susan A."},{"family":"Benjamin Neelon","given":"Sara E."},{"family":"Griffin","given":"Simon J."},{"family":"Ogilvie","given":"David B."}],"issued":{"date-parts":[["2015",3]]}}}],"schema":"https://github.com/citation-style-language/schema/raw/master/csl-citation.json"}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Hendry et al., 2015</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national, subnational;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 xml:space="preserve">Equity </w:t>
            </w:r>
            <w:r w:rsidRPr="00055B95">
              <w:rPr>
                <w:rFonts w:ascii="Times New Roman" w:hAnsi="Times New Roman" w:cs="Times New Roman"/>
                <w:sz w:val="20"/>
                <w:szCs w:val="20"/>
                <w:lang w:val="en-GB"/>
              </w:rPr>
              <w:t>(socio-economic)</w:t>
            </w:r>
            <w:r w:rsidRPr="00055B95">
              <w:rPr>
                <w:rFonts w:ascii="Times New Roman" w:hAnsi="Times New Roman" w:cs="Times New Roman"/>
                <w:b/>
                <w:sz w:val="20"/>
                <w:szCs w:val="20"/>
                <w:lang w:val="en-GB"/>
              </w:rPr>
              <w:t>:</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Food composition: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(for labelling)</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Provision + Retail </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(n=3)</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{"citationID":"wQ4YiQRk","properties":{"formattedCitation":"(Pineda et al., 2021)","plainCitation":"(Pineda et al., 2021)","dontUpdate":true,"noteIndex":0},"citationItems":[{"id":34,"uris":["http://zotero.org/users/7614071/items/9NU7HPTY"],"uri":["http://zotero.org/users/7614071/items/9NU7HPTY"],"itemData":{"id":34,"type":"article-journal","container-title":"Obesity Reviews","DOI":"10.1111/obr.13176","ISSN":"1467-7881, 1467-789X","issue":"2","journalAbbreviation":"Obesity Reviews","language":"en","source":"DOI.org (Crossref)","title":"Improving the school food environment for the prevention of childhood obesity: What works and what doesn't","title-short":"Improving the school food environment for the prevention of childhood obesity","URL":"https://onlinelibrary.wiley.com/doi/10.1111/obr.13176","volume":"22","author":[{"family":"Pineda","given":"Elisa"},{"family":"Bascunan","given":"Josefina"},{"family":"Sassi","given":"Franco"}],"accessed":{"date-parts":[["2021",3,17]]},"issued":{"date-parts":[["2021",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Pineda et al., 2021</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 meta-analysis and meta-regression analysis</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(schools);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food choice architecture interventions in and around schools)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fruit),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vegetables)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Nutritional vulnerabilities: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Moderate</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{"citationID":"tqjgMrFD","properties":{"formattedCitation":"(Bramante et al., 2019)","plainCitation":"(Bramante et al., 2019)","dontUpdate":true,"noteIndex":0},"citationItems":[{"id":170665,"uris":["http://zotero.org/users/7614071/items/S7LJJDEX"],"uri":["http://zotero.org/users/7614071/items/S7LJJDEX"],"itemData":{"id":170665,"type":"article-journal","container-title":"American Journal of Preventive Medicine","DOI":"10.1016/j.amepre.2018.08.023","ISSN":"07493797","issue":"1","journalAbbreviation":"American Journal of Preventive Medicine","language":"en","page":"147-158","source":"DOI.org (Crossref)","title":"Systematic Review of Natural Experiments for Childhood Obesity Prevention and Control","volume":"56","author":[{"family":"Bramante","given":"Carolyn T."},{"family":"Thornton","given":"Rachel L.J."},{"family":"Bennett","given":"Wendy L."},{"family":"Zhang","given":"Allen"},{"family":"Wilson","given":"Renee F."},{"family":"Bass","given":"Eric B."},{"family":"Tseng","given":"Eva"}],"issued":{"date-parts":[["2019",1]]}}}],"schema":"https://github.com/citation-style-language/schema/raw/master/csl-citation.json"}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Bramante et al., 2019</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Global; subnational, </w:t>
            </w:r>
            <w:r w:rsidRPr="00055B95">
              <w:rPr>
                <w:rFonts w:ascii="Times New Roman" w:hAnsi="Times New Roman" w:cs="Times New Roman"/>
                <w:sz w:val="20"/>
                <w:szCs w:val="20"/>
                <w:lang w:val="en-GB"/>
              </w:rPr>
              <w:lastRenderedPageBreak/>
              <w:t>settings (schools, community); group (children)</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 xml:space="preserve">Modify the context, defaults </w:t>
            </w:r>
            <w:r w:rsidRPr="00055B95">
              <w:rPr>
                <w:rFonts w:ascii="Times New Roman" w:hAnsi="Times New Roman" w:cs="Times New Roman"/>
                <w:sz w:val="20"/>
                <w:szCs w:val="20"/>
                <w:lang w:val="en-GB"/>
              </w:rPr>
              <w:lastRenderedPageBreak/>
              <w:t>and norms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food and beverage availability)</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Nutrition:</w:t>
            </w:r>
            <w:r w:rsidRPr="00055B95">
              <w:rPr>
                <w:rFonts w:ascii="Times New Roman" w:hAnsi="Times New Roman" w:cs="Times New Roman"/>
                <w:sz w:val="20"/>
                <w:szCs w:val="20"/>
                <w:lang w:val="en-GB"/>
              </w:rPr>
              <w:t xml:space="preserve"> </w:t>
            </w: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SSBs),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lastRenderedPageBreak/>
              <w:t>0</w:t>
            </w:r>
            <w:r w:rsidRPr="00055B95">
              <w:rPr>
                <w:rFonts w:ascii="Times New Roman" w:hAnsi="Times New Roman" w:cs="Times New Roman"/>
                <w:iCs/>
                <w:sz w:val="20"/>
                <w:szCs w:val="20"/>
                <w:lang w:val="en-GB"/>
              </w:rPr>
              <w:t xml:space="preserve"> </w:t>
            </w:r>
            <w:r w:rsidRPr="00055B95">
              <w:rPr>
                <w:rFonts w:ascii="Times New Roman" w:hAnsi="Times New Roman" w:cs="Times New Roman"/>
                <w:sz w:val="20"/>
                <w:szCs w:val="20"/>
                <w:lang w:val="en-GB"/>
              </w:rPr>
              <w:t>(for F&amp;Vs)</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BMI),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t>0</w:t>
            </w:r>
            <w:r w:rsidRPr="00055B95">
              <w:rPr>
                <w:rFonts w:ascii="Times New Roman" w:hAnsi="Times New Roman" w:cs="Times New Roman"/>
                <w:iCs/>
                <w:sz w:val="20"/>
                <w:szCs w:val="20"/>
                <w:lang w:val="en-GB"/>
              </w:rPr>
              <w:t xml:space="preserve"> </w:t>
            </w:r>
            <w:r w:rsidRPr="00055B95">
              <w:rPr>
                <w:rFonts w:ascii="Times New Roman" w:hAnsi="Times New Roman" w:cs="Times New Roman"/>
                <w:sz w:val="20"/>
                <w:szCs w:val="20"/>
                <w:lang w:val="en-GB"/>
              </w:rPr>
              <w:t>(for overweight and obesity)</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Equity </w:t>
            </w:r>
            <w:r w:rsidRPr="00055B95">
              <w:rPr>
                <w:rFonts w:ascii="Times New Roman" w:hAnsi="Times New Roman" w:cs="Times New Roman"/>
                <w:sz w:val="20"/>
                <w:szCs w:val="20"/>
                <w:lang w:val="en-GB"/>
              </w:rPr>
              <w:t>(racial/ethnic)</w:t>
            </w:r>
            <w:r w:rsidRPr="00055B95">
              <w:rPr>
                <w:rFonts w:ascii="Times New Roman" w:hAnsi="Times New Roman" w:cs="Times New Roman"/>
                <w:b/>
                <w:sz w:val="20"/>
                <w:szCs w:val="20"/>
                <w:lang w:val="en-GB"/>
              </w:rPr>
              <w:t>:</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Nutritional vulnerabilities: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{"citationID":"WPlo29Qd","properties":{"formattedCitation":"(Ewart-Pierce et al., 2016)","plainCitation":"(Ewart-Pierce et al., 2016)","dontUpdate":true,"noteIndex":0},"citationItems":[{"id":170773,"uris":["http://zotero.org/users/7614071/items/NZ9D7GLH"],"uri":["http://zotero.org/users/7614071/items/NZ9D7GLH"],"itemData":{"id":170773,"type":"article-journal","container-title":"Current Obesity Reports","DOI":"10.1007/s13679-016-0226-7","ISSN":"2162-4968","issue":"3","journalAbbreviation":"Curr Obes Rep","language":"en","page":"361-374","source":"DOI.org (Crossref)","title":"“Whole-of-Community” Obesity Prevention: A Review of Challenges and Opportunities in Multilevel, Multicomponent Interventions","title-short":"“Whole-of-Community” Obesity Prevention","volume":"5","author":[{"family":"Ewart-Pierce","given":"Ella"},{"family":"Mejía Ruiz","given":"María José"},{"family":"Gittelsohn","given":"Joel"}],"issued":{"date-parts":[["2016",9]]}}}],"schema":"https://github.com/citation-style-language/schema/raw/master/csl-citation.json"}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Ewart-Pierce et al., 2016</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settings (schools, stores, restaurants, small food vendors, community centres, healthcare); general,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(Municipal law: healthier food in shops around schools and forbidden of some unhealthy products)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Equity </w:t>
            </w:r>
            <w:r w:rsidRPr="00055B95">
              <w:rPr>
                <w:rFonts w:ascii="Times New Roman" w:hAnsi="Times New Roman" w:cs="Times New Roman"/>
                <w:sz w:val="20"/>
                <w:szCs w:val="20"/>
                <w:lang w:val="en-GB"/>
              </w:rPr>
              <w:t>(gender, socio-economic)</w:t>
            </w:r>
            <w:r w:rsidRPr="00055B95">
              <w:rPr>
                <w:rFonts w:ascii="Times New Roman" w:hAnsi="Times New Roman" w:cs="Times New Roman"/>
                <w:b/>
                <w:sz w:val="20"/>
                <w:szCs w:val="20"/>
                <w:lang w:val="en-GB"/>
              </w:rPr>
              <w:t>:</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Composition + Labelling + Promotion + Provision + Retail + Prices </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(n=2)</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rPr>
              <w:fldChar w:fldCharType="begin"/>
            </w:r>
            <w:r w:rsidRPr="00055B95">
              <w:rPr>
                <w:rFonts w:ascii="Times New Roman" w:hAnsi="Times New Roman" w:cs="Times New Roman"/>
                <w:b w:val="0"/>
                <w:i/>
                <w:sz w:val="20"/>
                <w:szCs w:val="20"/>
              </w:rPr>
              <w:instrText xml:space="preserve"> ADDIN ZOTERO_ITEM CSL_CITATION {"citationID":"7HcolGJD","properties":{"formattedCitation":"(Russo et al., 2020)","plainCitation":"(Russo et al., 2020)","dontUpdate":true,"noteIndex":0},"citationItems":[{"id":170584,"uris":["http://zotero.org/users/7614071/items/YYHG368T"],"uri":["http://zotero.org/users/7614071/items/YYHG368T"],"itemData":{"id":170584,"type":"article-journal","container-title":"Preventive Medicine Reports","DOI":"10.1016/j.pmedr.2020.101135","ISSN":"22113355","journalAbbreviation":"Preventive Medicine Reports","language":"en","page":"101135","source":"DOI.org (Crossref)","title":"Dietary policies and programs in the United States: A narrative review","title-short":"Dietary policies and programs in the United States","volume":"19","author":[{"family":"Russo","given":"Rienna"},{"family":"Li","given":"Yan"},{"family":"Chong","given":"Stella"},{"family":"Siscovick","given":"David"},{"family":"Trinh-Shevrin","given":"Chau"},{"family":"Yi","given":"Stella"}],"issued":{"date-parts":[["2020",9]]}}}],"schema":"https://github.com/citation-style-language/schema/raw/master/csl-citation.json"} </w:instrText>
            </w:r>
            <w:r w:rsidRPr="00055B95">
              <w:rPr>
                <w:rFonts w:ascii="Times New Roman" w:hAnsi="Times New Roman" w:cs="Times New Roman"/>
                <w:i/>
                <w:sz w:val="20"/>
                <w:szCs w:val="20"/>
              </w:rPr>
              <w:fldChar w:fldCharType="separate"/>
            </w:r>
            <w:r w:rsidRPr="00055B95">
              <w:rPr>
                <w:rFonts w:ascii="Times New Roman" w:hAnsi="Times New Roman" w:cs="Times New Roman"/>
                <w:b w:val="0"/>
                <w:i/>
                <w:sz w:val="20"/>
                <w:szCs w:val="20"/>
              </w:rPr>
              <w:t>Russo et al., 2020</w:t>
            </w:r>
            <w:r w:rsidRPr="00055B95">
              <w:rPr>
                <w:rFonts w:ascii="Times New Roman" w:hAnsi="Times New Roman" w:cs="Times New Roman"/>
                <w:i/>
                <w:sz w:val="20"/>
                <w:szCs w:val="20"/>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Narrative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United States; national, subnational, settings (schools, workplace); general, group (marketing: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 Marketing)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(Increase supermarket and grocery stores, restrict convenience stores and fast-food restaurants)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lastRenderedPageBreak/>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(Taxes and subsidies)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composition, promotion, provision, prices; for multi-component interventions at workplace),</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labelling, retail)</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Food composition: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labelling)</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{"citationID":"wO9xrWke","properties":{"formattedCitation":"(Hillier-Brown et al., 2017)","plainCitation":"(Hillier-Brown et al., 2017)","dontUpdate":true,"noteIndex":0},"citationItems":[{"id":170747,"uris":["http://zotero.org/users/7614071/items/ITTIWL5U"],"uri":["http://zotero.org/users/7614071/items/ITTIWL5U"],"itemData":{"id":170747,"type":"article-journal","container-title":"Obesity Reviews","DOI":"10.1111/obr.12479","ISSN":"14677881","issue":"2","journalAbbreviation":"Obesity Reviews","language":"en","page":"227-246","source":"DOI.org (Crossref)","title":"The impact of interventions to promote healthier ready-to-eat meals (to eat in, to take away or to be delivered) sold by specific food outlets open to the general public: a systematic review: Promoting healthier food outlet meals","title-short":"The impact of interventions to promote healthier ready-to-eat meals (to eat in, to take away or to be delivered) sold by specific food outlets open to the general public","volume":"18","author":[{"family":"Hillier-Brown","given":"F. C."},{"family":"Summerbell","given":"C. D."},{"family":"Moore","given":"H. J."},{"family":"Routen","given":"A."},{"family":"Lake","given":"A. A."},{"family":"Adams","given":"J."},{"family":"White","given":"M."},{"family":"Araujo-Soares","given":"V."},{"family":"Abraham","given":"C."},{"family":"Adamson","given":"A. J."},{"family":"Brown","given":"T. J."}],"issued":{"date-parts":[["2017",2]]}}}],"schema":"https://github.com/citation-style-language/schema/raw/master/csl-citation.json"}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Hillier-Brown et al., 2017</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(food outlets); general</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 Marketing)</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 calorie labelling law, voluntary nutrient labelling)</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 unhealthy food reduction)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in stores: signposting)</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(Taxes and subsidies)</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composition; labelling: voluntary; promotion; prices: subsidies alone and with nudging, taxes only with nudging),</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prices: taxes alone; for labelling: calorie law)</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retail)</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Food composition: </w:t>
            </w:r>
            <w:r w:rsidRPr="00055B95">
              <w:rPr>
                <w:rStyle w:val="eop"/>
                <w:rFonts w:ascii="Times New Roman" w:hAnsi="Times New Roman" w:cs="Times New Roman"/>
                <w:sz w:val="20"/>
                <w:szCs w:val="20"/>
              </w:rPr>
              <w:t xml:space="preserve">~ </w:t>
            </w:r>
            <w:r w:rsidRPr="00055B95">
              <w:rPr>
                <w:rFonts w:ascii="Times New Roman" w:hAnsi="Times New Roman" w:cs="Times New Roman"/>
                <w:sz w:val="20"/>
                <w:szCs w:val="20"/>
                <w:lang w:val="en-GB"/>
              </w:rPr>
              <w:t>(for labelling: calorie law)</w:t>
            </w: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Moderate</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sz w:val="20"/>
                <w:szCs w:val="20"/>
                <w:lang w:val="en-GB"/>
              </w:rPr>
              <w:t>Production + provision</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(n=2)</w:t>
            </w: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{"citationID":"YojtBvpp","properties":{"formattedCitation":"(Chaudhary et al., 2020)","plainCitation":"(Chaudhary et al., 2020)","dontUpdate":true,"noteIndex":0},"citationItems":[{"id":170551,"uris":["http://zotero.org/users/7614071/items/9DYK39NI"],"uri":["http://zotero.org/users/7614071/items/9DYK39NI"],"itemData":{"id":170551,"type":"article-journal","abstract":"Intro: Globally, the prevalence of overweight and obesity is increasing among children and younger adults and is associated with unhealthy dietary habits and lack of physical activity. School food is increasingly brought forward as a policy to address the unhealthy eating patterns among young people. Aim: This study investigated the evidence for the effectiveness of school-based food and nutrition interventions on health outcomes by reviewing scientific evidence-based intervention studies amongst children at the international level. Methods: This study was based on a systematic review using the PRISMA guidelines. Three electronic databases were systematically searched, reference lists were screened for studies evaluating school-based food and nutrition interventions that promoted children’s dietary behaviour and health aiming changes in the body composition among children. Articles dating from 2014 to 2019 were selected and reported effects on anthropometry, dietary behaviour, nutritional knowledge, and attitude. Results: The review showed that school-based interventions in general were able to affect attitudes, knowledge, behaviour and anthropometry, but that the design of the intervention affects the size of the effect. In general, food focused interventions taking an environmental approach seemed to be most effective. Conclusions: School-based interventions (including multicomponent interventions) can be an effective and promising means for promoting healthy eating, improving dietary behaviour, attitude and anthropometry among young children. Thus, schools as a system have the potential to make lasting improvements, ensuring healthy school environment around the globe for the betterment of children’s short- and long-term health.","container-title":"Nutrients","DOI":"10.3390/nu12092894","ISSN":"2072-6643","issue":"9","journalAbbreviation":"Nutrients","language":"en","page":"2894","source":"DOI.org (Crossref)","title":"Promoting Healthy Eating among Young People—A Review of the Evidence of the Impact of School-Based Interventions","volume":"12","author":[{"family":"Chaudhary","given":"Abina"},{"family":"Sudzina","given":"František"},{"family":"Mikkelsen","given":"Bent Egberg"}],"issued":{"date-parts":[["2020",9,22]]}}}],"schema":"https://github.com/citation-style-language/schema/raw/master/csl-citation.json"}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Chaudhary et al., 2020</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(schools); group (children)</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rPr>
              <w:t>(Garden-based interventions)</w:t>
            </w:r>
            <w:r w:rsidRPr="00055B95">
              <w:rPr>
                <w:rFonts w:ascii="Times New Roman" w:hAnsi="Times New Roman" w:cs="Times New Roman"/>
                <w:sz w:val="20"/>
                <w:szCs w:val="20"/>
                <w:lang w:val="en-GB"/>
              </w:rPr>
              <w:t xml:space="preserve"> </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Nutritional vulnerabilities: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{"citationID":"0kLISNsp","properties":{"formattedCitation":"(Bleich et al., 2013)","plainCitation":"(Bleich et al., 2013)","dontUpdate":true,"noteIndex":0},"citationItems":[{"id":170848,"uris":["http://zotero.org/users/7614071/items/HNFLGLEQ"],"uri":["http://zotero.org/users/7614071/items/HNFLGLEQ"],"itemData":{"id":170848,"type":"article-journal","abstract":"OBJECTIVE:\n              This study systematically reviewed community-based childhood obesity prevention programs in the United States and high-income countries.\n            \n            \n              METHODS:\n              We searched Medline, Embase, PsychInfo, CINAHL, clinicaltrials.gov, and the Cochrane Library for relevant English-language studies. Studies were eligible if the intervention was primarily implemented in the community setting; had at least 1 year of follow-up after baseline; and compared results from an intervention to a comparison group. Two independent reviewers conducted title scans and abstract reviews and reviewed the full articles to assess eligibility. Each article received a double review for data abstraction. The second reviewer confirmed the first reviewer’s data abstraction for completeness and accuracy.\n            \n            \n              RESULTS:\n              Nine community-based studies were included; 5 randomized controlled trials and 4 non–randomized controlled trials. One study was conducted only in the community setting, 3 were conducted in the community and school setting, and 5 were conducted in the community setting in combination with at least 1 other setting such as the home. Desirable changes in BMI or BMI z-score were found in 4 of the 9 studies. Two studies reported significant improvements in behavioral outcomes (1 in physical activity and 1 in vegetable intake).\n            \n            \n              CONCLUSIONS:\n              The strength of evidence is moderate that a combined diet and physical activity intervention conducted in the community with a school component is more effective at preventing obesity or overweight. More research and consistent methods are needed to understand the comparative effectiveness of childhood obesity prevention programs in the community setting.","container-title":"Pediatrics","DOI":"10.1542/peds.2013-0886","ISSN":"0031-4005, 1098-4275","issue":"1","language":"en","page":"e201-e210","source":"DOI.org (Crossref)","title":"Systematic Review of Community-Based Childhood Obesity Prevention Studies","volume":"132","author":[{"family":"Bleich","given":"Sara N."},{"family":"Segal","given":"Jodi"},{"family":"Wu","given":"Yang"},{"family":"Wilson","given":"Renee"},{"family":"Wang","given":"Youfa"}],"issued":{"date-parts":[["2013",7,1]]}}}],"schema":"https://github.com/citation-style-language/schema/raw/master/csl-citation.json"}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Bleich et al., 2013</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HICs; settings (schools, community, households, </w:t>
            </w:r>
            <w:r w:rsidRPr="00055B95">
              <w:rPr>
                <w:rFonts w:ascii="Times New Roman" w:hAnsi="Times New Roman" w:cs="Times New Roman"/>
                <w:sz w:val="20"/>
                <w:szCs w:val="20"/>
                <w:lang w:val="en-GB"/>
              </w:rPr>
              <w:lastRenderedPageBreak/>
              <w:t>healthcare);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lastRenderedPageBreak/>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(Garden-based interventions)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availability)</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lastRenderedPageBreak/>
              <w:t>Nutritional vulnerabilities: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Labelling + Provision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(n=2)</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{"citationID":"ewhzBNpM","properties":{"formattedCitation":"(N\\uc0\\u248{}rnberg et al., 2016)","plainCitation":"(Nørnberg et al., 2016)","dontUpdate":true,"noteIndex":0},"citationItems":[{"id":170779,"uris":["http://zotero.org/users/7614071/items/ZYV5W38W"],"uri":["http://zotero.org/users/7614071/items/ZYV5W38W"],"itemData":{"id":170779,"type":"article-journal","abstract":"Aims:\n              The primary objective of this review is to assess the prevalence and quality of published studies on the effect of choice architectural nudge interventions promoting vegetable consumption among adolescents. Additionally, this review aims to identify studies estimating adolescents’ attitude towards choice architectural nudge interventions.\n            \n            \n              Methods:\n              Web of Science, Scopus and PubMed were searched systematically for experimental studies with a predefined search strategy in the period November–December 2013. Publications were included following predetermined inclusion criteria. Studies were evaluated as of high, moderate or weak quality. Finally, studies were grouped by the type of intervention and underwent a narrative synthesis.\n            \n            \n              Results:\n              The search showed that only very few studies investigated the effects of choice architectural nudging interventions on vegetable consumption, and none of them had attitude towards behavioural interventions as an outcome measure. Twelve studies met the inclusion criteria. The results of the 12 studies were inconclusive, and the majority of studies were of weak or moderate quality.\n            \n            \n              Conclusion:\n              This review uncovers a gap in knowledge on the effect of choice architectural nudge interventions aiming to promote the intake of vegetables among adolescents in a school context. It also highlights that no previous studies have considered the attitudes towards choice architectural nudge interventions as a potential factor for their success – or lack thereof – in achieving the desired goal of increased vegetable consumption.","container-title":"Perspectives in Public Health","DOI":"10.1177/1757913915596017","ISSN":"1757-9139, 1757-9147","issue":"3","journalAbbreviation":"Perspect Public Health","language":"en","page":"132-142","source":"DOI.org (Crossref)","title":"Choice architecture interventions for increased vegetable intake and behaviour change in a school setting: a systematic review","title-short":"Choice architecture interventions for increased vegetable intake and behaviour change in a school setting","volume":"136","author":[{"family":"Nørnberg","given":"Trine Riebeling"},{"family":"Houlby","given":"Louise"},{"family":"Skov","given":"Laurits Rohden"},{"family":"Peréz-Cueto","given":"Federico Jose Armando"}],"issued":{"date-parts":[["2016",5]]}}}],"schema":"https://github.com/citation-style-language/schema/raw/master/csl-citation.json"}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Nørnberg et al., 2016</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(schools);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(Menu labelling)</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Style w:val="eop"/>
                <w:rFonts w:ascii="Times New Roman" w:hAnsi="Times New Roman" w:cs="Times New Roman"/>
                <w:sz w:val="20"/>
                <w:szCs w:val="20"/>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Nutritional vulnerabilities: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{"citationID":"gNFx8RV1","properties":{"formattedCitation":"(Wang &amp; Stewart, 2013)","plainCitation":"(Wang &amp; Stewart, 2013)","dontUpdate":true,"noteIndex":0},"citationItems":[{"id":170846,"uris":["http://zotero.org/users/7614071/items/G4LLW5SW"],"uri":["http://zotero.org/users/7614071/items/G4LLW5SW"],"itemData":{"id":170846,"type":"article-journal","abstract":"Abstract\n            \n              Objective\n              To evaluate implementation and effectiveness of nutrition promotion programmes using the health-promoting schools (HPS) approach, to indicate areas where further research is needed and to make recommendations for practice in this field.\n            \n            \n              Design\n              The searched electronic databases included: CINAHL, Cochrane Library, Health Reference Center, Informit Search, MEDLINE, ProQuest, PsycINFO, PubMed, ScienceDirect, Scopus, Social Services Abstracts and Web of Science. Inclusion criteria were: (i) controlled or before-and-after studies evaluating a nutrition intervention and involving the HPS approach, either fully or in part; (ii) provision of information about components and delivery of the intervention; and (iii) report on all evaluated outcomes.\n            \n            \n              Setting\n              Schools.\n            \n            \n              Subjects\n              Students, parents and school staff.\n            \n            \n              Results\n              All included studies described intervention delivery and six reported on process evaluation. In intervention schools school environment and ethos were more supportive, appropriate curriculum was delivered and parents and/or the community were more engaged and involved. Students participated in interventions at differing levels, but the majority was satisfied with the intervention. The evidence indicates that nutrition promotion programmes using the HPS approach can increase participants’ consumption of high-fibre foods, healthier snacks, water, milk, fruit and vegetables. It can also reduce participants’ ‘breakfast skipping’, as well as reduce intakes of red food, low-nutrient dense foods, fatty and cream foods, sweet drinks consumption and eating disorders. It can help to develop hygienic habits and improved food safety behaviours.\n            \n            \n              Conclusions\n              More professional training for teachers in the HPS approach, further qualitative studies, longer intervention periods, improved follow-up evaluations and adequate funding are required for future school-based nutrition promotion programmes.","container-title":"Public Health Nutrition","DOI":"10.1017/S1368980012003497","ISSN":"1368-9800, 1475-2727","issue":"6","journalAbbreviation":"Public Health Nutr.","language":"en","page":"1082-1100","source":"DOI.org (Crossref)","title":"The implementation and effectiveness of school-based nutrition promotion programmes using a health-promoting schools approach: a systematic review","title-short":"The implementation and effectiveness of school-based nutrition promotion programmes using a health-promoting schools approach","volume":"16","author":[{"family":"Wang","given":"Dongxu"},{"family":"Stewart","given":"Donald"}],"issued":{"date-parts":[["2013",6]]}}}],"schema":"https://github.com/citation-style-language/schema/raw/master/csl-citation.json"}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Wang &amp; Stewart, 2013</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(schools); group (children)</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Nutritional vulnerabilities: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Labelling + Provision + Retail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(n=2)</w:t>
            </w: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{"citationID":"kvbMzY5E","properties":{"formattedCitation":"(Naicker et al., 2021)","plainCitation":"(Naicker et al., 2021)","dontUpdate":true,"noteIndex":0},"citationItems":[{"id":170549,"uris":["http://zotero.org/users/7614071/items/CEC82IAC"],"uri":["http://zotero.org/users/7614071/items/CEC82IAC"],"itemData":{"id":170549,"type":"article-journal","container-title":"Preventive Medicine Reports","DOI":"10.1016/j.pmedr.2021.101333","ISSN":"22113355","journalAbbreviation":"Preventive Medicine Reports","language":"en","page":"101333","source":"DOI.org (Crossref)","title":"Workplace cafeteria and other multicomponent interventions to promote healthy eating among adults: A systematic review","title-short":"Workplace cafeteria and other multicomponent interventions to promote healthy eating among adults","volume":"22","author":[{"family":"Naicker","given":"Ashika"},{"family":"Shrestha","given":"Archana"},{"family":"Joshi","given":"Chandni"},{"family":"Willett","given":"Walter"},{"family":"Spiegelman","given":"Donna"}],"issued":{"date-parts":[["2021",6]]}}}],"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Naicker et al., 2021</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(workplace); general</w:t>
            </w:r>
          </w:p>
        </w:tc>
        <w:tc>
          <w:tcPr>
            <w:tcW w:w="2059" w:type="dxa"/>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 unhealthy food reduction)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availability, promotion/prices)</w:t>
            </w:r>
          </w:p>
        </w:tc>
        <w:tc>
          <w:tcPr>
            <w:tcW w:w="1860"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b/>
                <w:sz w:val="20"/>
                <w:szCs w:val="20"/>
                <w:lang w:val="en-GB"/>
              </w:rPr>
              <w:t xml:space="preserve"> </w:t>
            </w:r>
            <w:r w:rsidRPr="00055B95">
              <w:rPr>
                <w:rFonts w:ascii="Times New Roman" w:hAnsi="Times New Roman" w:cs="Times New Roman"/>
                <w:sz w:val="20"/>
                <w:szCs w:val="20"/>
                <w:lang w:val="en-GB"/>
              </w:rPr>
              <w:t>(for provision, multi-component)</w:t>
            </w:r>
            <w:r w:rsidRPr="00055B95">
              <w:rPr>
                <w:rFonts w:ascii="Times New Roman" w:hAnsi="Times New Roman" w:cs="Times New Roman"/>
                <w:b/>
                <w:sz w:val="20"/>
                <w:szCs w:val="20"/>
                <w:lang w:val="en-GB"/>
              </w:rPr>
              <w:t xml:space="preserve"> </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BMI, overweight with multi-component interventions that included provision)</w:t>
            </w:r>
            <w:r w:rsidRPr="00055B95">
              <w:rPr>
                <w:rFonts w:ascii="Times New Roman" w:hAnsi="Times New Roman" w:cs="Times New Roman"/>
                <w:b/>
                <w:sz w:val="20"/>
                <w:szCs w:val="20"/>
                <w:lang w:val="en-GB"/>
              </w:rPr>
              <w:t xml:space="preserve"> </w:t>
            </w:r>
          </w:p>
        </w:tc>
        <w:tc>
          <w:tcPr>
            <w:tcW w:w="727"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sz w:val="20"/>
                <w:szCs w:val="20"/>
                <w:lang w:val="en-GB"/>
              </w:rPr>
            </w:pPr>
            <w:r w:rsidRPr="00055B95">
              <w:rPr>
                <w:rFonts w:ascii="Times New Roman" w:hAnsi="Times New Roman" w:cs="Times New Roman"/>
                <w:b/>
                <w:i/>
                <w:sz w:val="20"/>
                <w:szCs w:val="20"/>
                <w:lang w:val="en-GB"/>
              </w:rPr>
              <w:t>Only for provision</w:t>
            </w:r>
          </w:p>
          <w:p w:rsidR="00A050C9" w:rsidRPr="00055B95" w:rsidRDefault="00A050C9" w:rsidP="009874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{"citationID":"WTdO7xgg","properties":{"formattedCitation":"(Roy et al., 2015)","plainCitation":"(Roy et al., 2015)","dontUpdate":true,"noteIndex":0},"citationItems":[{"id":170804,"uris":["http://zotero.org/users/7614071/items/497CNJHH"],"uri":["http://zotero.org/users/7614071/items/497CNJHH"],"itemData":{"id":170804,"type":"article-journal","container-title":"Journal of the Academy of Nutrition and Dietetics","DOI":"10.1016/j.jand.2015.06.380","ISSN":"22122672","issue":"10","journalAbbreviation":"Journal of the Academy of Nutrition and Dietetics","language":"en","page":"1647-1681.e1","source":"DOI.org (Crossref)","title":"Food Environment Interventions to Improve the Dietary Behavior of Young Adults in Tertiary Education Settings: A Systematic Literature Review","title-short":"Food Environment Interventions to Improve the Dietary Behavior of Young Adults in Tertiary Education Settings","volume":"115","author":[{"family":"Roy","given":"Rajshri"},{"family":"Kelly","given":"Bridget"},{"family":"Rangan","given":"Anna"},{"family":"Allman-Farinelli","given":"Margaret"}],"issued":{"date-parts":[["2015",10]]}}}],"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Roy et al., 2015</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settings (universities, stores around the campus);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availability, promotion, prices, placement)</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Obesity/NCDs:</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0</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Production + Prices</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{"citationID":"doLDOek5","properties":{"formattedCitation":"(Noy et al., 2019)","plainCitation":"(Noy et al., 2019)","dontUpdate":true,"noteIndex":0},"citationItems":[{"id":170652,"uris":["http://zotero.org/users/7614071/items/PGQNDG6D"],"uri":["http://zotero.org/users/7614071/items/PGQNDG6D"],"itemData":{"id":170652,"type":"article-journal","container-title":"Health Promotion Journal of Australia","DOI":"10.1002/hpja.207","ISSN":"1036-1073, 2201-1617","issue":"S1","journalAbbreviation":"Health Promot J Austral","language":"en","page":"52-61","source":"DOI.org (Crossref)","title":"New frontiers in community initiatives to increase vegetable consumption","volume":"30","author":[{"family":"Noy","given":"Sue"},{"family":"Patrick","given":"Rebecca"},{"family":"Henderson‐Wilson","given":"Claire"},{"family":"Nuttman","given":"Sonia"},{"family":"Ryan","given":"Isabella"}],"issued":{"date-parts":[["2019",12]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Noy et al., 2019</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Scoping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HICs; national, subnational: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(Garden-based interventions)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lang w:val="en-GB"/>
              </w:rPr>
              <w:t>(Taxes incentives)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BE"/>
              </w:rPr>
            </w:pPr>
            <w:proofErr w:type="spellStart"/>
            <w:r w:rsidRPr="00055B95">
              <w:rPr>
                <w:rFonts w:ascii="Times New Roman" w:hAnsi="Times New Roman" w:cs="Times New Roman"/>
                <w:b/>
                <w:sz w:val="20"/>
                <w:szCs w:val="20"/>
                <w:lang w:val="fr-BE"/>
              </w:rPr>
              <w:t>Undernutrition</w:t>
            </w:r>
            <w:proofErr w:type="spellEnd"/>
            <w:r w:rsidRPr="00055B95">
              <w:rPr>
                <w:rFonts w:ascii="Times New Roman" w:hAnsi="Times New Roman" w:cs="Times New Roman"/>
                <w:b/>
                <w:sz w:val="20"/>
                <w:szCs w:val="20"/>
                <w:lang w:val="fr-BE"/>
              </w:rPr>
              <w:t>:</w:t>
            </w:r>
            <w:r w:rsidRPr="00055B95">
              <w:rPr>
                <w:rFonts w:ascii="Times New Roman" w:hAnsi="Times New Roman" w:cs="Times New Roman"/>
                <w:sz w:val="20"/>
                <w:szCs w:val="20"/>
                <w:lang w:val="fr-BE"/>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fr-BE"/>
              </w:rPr>
            </w:pPr>
            <w:r w:rsidRPr="00055B95">
              <w:rPr>
                <w:rFonts w:ascii="Times New Roman" w:hAnsi="Times New Roman" w:cs="Times New Roman"/>
                <w:b/>
                <w:sz w:val="20"/>
                <w:szCs w:val="20"/>
                <w:lang w:val="fr-BE"/>
              </w:rPr>
              <w:t>Nutrition:</w:t>
            </w:r>
            <w:r w:rsidRPr="00055B95">
              <w:rPr>
                <w:rFonts w:ascii="Times New Roman" w:hAnsi="Times New Roman" w:cs="Times New Roman"/>
                <w:sz w:val="20"/>
                <w:szCs w:val="20"/>
                <w:lang w:val="fr-BE"/>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Provision + Prices</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{"citationID":"WeJWhLN1","properties":{"formattedCitation":"(Jensen et al., 2011)","plainCitation":"(Jensen et al., 2011)","dontUpdate":true,"noteIndex":0},"citationItems":[{"id":170867,"uris":["http://zotero.org/users/7614071/items/EX62QHRX"],"uri":["http://zotero.org/users/7614071/items/EX62QHRX"],"itemData":{"id":170867,"type":"article-journal","container-title":"Nutrition Reviews","DOI":"10.1111/j.1753-4887.2011.00422.x","ISSN":"00296643","issue":"11","language":"en","page":"660-674","source":"DOI.org (Crossref)","title":"Economic incentives and nutritional behavior of children in the school setting: A systematic review: Nutrition Reviews©, Vol. ••, No. ••","title-short":"Economic incentives and nutritional behavior of children in the school setting","volume":"69","author":[{"family":"Jensen","given":"Jørgen Dejgård"},{"family":"Hartmann","given":"Helene"},{"family":"Mul","given":"Anika","non-dropping-particle":"de"},{"family":"Schuit","given":"Albertine"},{"family":"Brug","given":"Johannes"},{"literal":"on behalf of the ENERGY Consortium"}],"issued":{"date-parts":[["2011",11]]}}}],"schema":"https://github.com/citation-style-language/schema/raw/master/csl-citation.json"}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Jensen et al., 2011</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 (schools);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(Subsidies: price incentives or reward incentives; in combination with nudging or alone)</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lang w:val="en-GB"/>
              </w:rPr>
              <w:t>(Nudging: availability of healthy food)</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subsidies alone and in combination with availability)</w:t>
            </w:r>
            <w:r w:rsidRPr="00055B95">
              <w:rPr>
                <w:rFonts w:ascii="Times New Roman" w:hAnsi="Times New Roman" w:cs="Times New Roman"/>
                <w:b/>
                <w:sz w:val="20"/>
                <w:szCs w:val="20"/>
              </w:rPr>
              <w:t xml:space="preserve">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rPr>
              <w:t>Nutritional vulnerabilities:</w:t>
            </w:r>
            <w:r w:rsidRPr="00055B95">
              <w:rPr>
                <w:rFonts w:ascii="Times New Roman" w:hAnsi="Times New Roman" w:cs="Times New Roman"/>
                <w:sz w:val="20"/>
                <w:szCs w:val="20"/>
              </w:rPr>
              <w:t xml:space="preserve"> </w:t>
            </w:r>
            <w:r w:rsidRPr="00055B95">
              <w:rPr>
                <w:rStyle w:val="eop"/>
                <w:rFonts w:ascii="Times New Roman" w:hAnsi="Times New Roman" w:cs="Times New Roman"/>
                <w:sz w:val="20"/>
                <w:szCs w:val="20"/>
              </w:rPr>
              <w:sym w:font="Wingdings" w:char="F0F1"/>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0"/>
                <w:lang w:val="en-GB"/>
              </w:rPr>
            </w:pPr>
            <w:r w:rsidRPr="00055B95">
              <w:rPr>
                <w:rFonts w:ascii="Times New Roman" w:hAnsi="Times New Roman" w:cs="Times New Roman"/>
                <w:b/>
                <w:i/>
                <w:sz w:val="20"/>
                <w:szCs w:val="20"/>
                <w:lang w:val="en-GB"/>
              </w:rPr>
              <w:t>Only for prices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Labelling + Retail + Prices </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{"citationID":"MH0nYmvT","properties":{"formattedCitation":"(Gittelsohn et al., 2017)","plainCitation":"(Gittelsohn et al., 2017)","dontUpdate":true,"noteIndex":0},"citationItems":[{"id":170749,"uris":["http://zotero.org/users/7614071/items/QBTAR7NW"],"uri":["http://zotero.org/users/7614071/items/QBTAR7NW"],"itemData":{"id":170749,"type":"article-journal","container-title":"Preventing Chronic Disease","DOI":"10.5888/pcd14.170213","ISSN":"1545-1151","journalAbbreviation":"Prev. Chronic Dis.","page":"170213","source":"DOI.org (Crossref)","title":"Pricing Strategies to Encourage Availability, Purchase, and Consumption of Healthy Foods and Beverages: A Systematic Review","title-short":"Pricing Strategies to Encourage Availability, Purchase, and Consumption of Healthy Foods and Beverages","volume":"14","author":[{"family":"Gittelsohn","given":"Joel"},{"family":"Trude","given":"Angela Cristina Bizzotto"},{"family":"Kim","given":"Hyunju"}],"issued":{"date-parts":[["2017",11,2]]}}}],"schema":"https://github.com/citation-style-language/schema/raw/master/csl-citation.json"}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Gittelsohn et al., 2017</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HMICs; national, subnational, setting (stores);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GB"/>
              </w:rPr>
            </w:pPr>
            <w:r w:rsidRPr="00055B95">
              <w:rPr>
                <w:rFonts w:ascii="Times New Roman" w:hAnsi="Times New Roman" w:cs="Times New Roman"/>
                <w:i/>
                <w:sz w:val="20"/>
                <w:szCs w:val="20"/>
                <w:lang w:val="en-GB"/>
              </w:rPr>
              <w:t>Pricing interventions alone or in combination with labelling or nudging: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lastRenderedPageBreak/>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(Nudging: promotion, coupons, cash-back rebates)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lang w:val="en-GB"/>
              </w:rPr>
              <w:t>(Taxes and subsidies)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prices alone, and in combination with labelling and/or retail)</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prices </w:t>
            </w:r>
            <w:r w:rsidRPr="00055B95">
              <w:rPr>
                <w:rFonts w:ascii="Times New Roman" w:hAnsi="Times New Roman" w:cs="Times New Roman"/>
                <w:sz w:val="20"/>
                <w:szCs w:val="20"/>
                <w:lang w:val="en-GB"/>
              </w:rPr>
              <w:lastRenderedPageBreak/>
              <w:t>alone and in combination with labelling and/or retail on BMI)</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0"/>
                <w:szCs w:val="20"/>
                <w:lang w:val="en-GB"/>
              </w:rPr>
            </w:pPr>
            <w:r w:rsidRPr="00055B95">
              <w:rPr>
                <w:rFonts w:ascii="Times New Roman" w:hAnsi="Times New Roman" w:cs="Times New Roman"/>
                <w:b/>
                <w:i/>
                <w:sz w:val="20"/>
                <w:szCs w:val="20"/>
                <w:lang w:val="en-GB"/>
              </w:rPr>
              <w:t>Only for prices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Labelling + Promotion + Provision + Prices </w:t>
            </w:r>
          </w:p>
          <w:p w:rsidR="00A050C9" w:rsidRPr="00055B95" w:rsidRDefault="00A050C9" w:rsidP="0098748A">
            <w:pPr>
              <w:jc w:val="left"/>
              <w:rPr>
                <w:rFonts w:ascii="Times New Roman" w:hAnsi="Times New Roman" w:cs="Times New Roman"/>
                <w:b w:val="0"/>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{"citationID":"FNjQAQlk","properties":{"formattedCitation":"(Gittelsohn et al., 2013)","plainCitation":"(Gittelsohn et al., 2013)","dontUpdate":true,"noteIndex":0},"citationItems":[{"id":170851,"uris":["http://zotero.org/users/7614071/items/J4N9PRBK"],"uri":["http://zotero.org/users/7614071/items/J4N9PRBK"],"itemData":{"id":170851,"type":"article-journal","container-title":"Preventing Chronic Disease","DOI":"10.5888/pcd10.130073","ISSN":"1545-1151","journalAbbreviation":"Prev. Chronic Dis.","page":"130073","source":"DOI.org (Crossref)","title":"Community-Based Interventions in Prepared-Food Sources: A Systematic Review","title-short":"Community-Based Interventions in Prepared-Food Sources","volume":"10","author":[{"family":"Gittelsohn","given":"Joel"},{"family":"Lee-Kwan","given":"Seung Hee"},{"family":"Batorsky","given":"Benjamin"}],"issued":{"date-parts":[["2013",10,31]]}}}],"schema":"https://github.com/citation-style-language/schema/raw/master/csl-citation.json"}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Gittelsohn et al., 2013</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settings (stores, restaurants, cafeterias);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(Marketing: community promotion)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(Menu labelling)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lang w:val="en-GB"/>
              </w:rPr>
              <w:t>(Subsidies)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8299" w:type="dxa"/>
            <w:gridSpan w:val="6"/>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Storage/processing + Prices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c>
          <w:tcPr>
            <w:tcW w:w="1061" w:type="dxa"/>
            <w:shd w:val="clear" w:color="auto" w:fill="F2F2F2" w:themeFill="background1" w:themeFillShade="F2"/>
          </w:tcPr>
          <w:p w:rsidR="00A050C9" w:rsidRPr="00055B95" w:rsidRDefault="00A050C9" w:rsidP="0098748A">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{"citationID":"4lVxgoB0","properties":{"formattedCitation":"(Urgell-Lahuerta et al., 2021)","plainCitation":"(Urgell-Lahuerta et al., 2021)","dontUpdate":true,"noteIndex":0},"citationItems":[{"id":170568,"uris":["http://zotero.org/users/7614071/items/JKJBHNG7"],"uri":["http://zotero.org/users/7614071/items/JKJBHNG7"],"itemData":{"id":170568,"type":"article-journal","abstract":"Malnutrition is a global health issue concerning children and pregnant women in low- and middle-income countries (LMICs). The aim of this review was to assess the health-impact outcomes of interventions addressing food security, water quality and hygiene in order to address the improvement of the nutritional status in children below five years and pregnant women in LMICs. Using PRISMA procedures, a systematic review was conducted by searching in biomedical databases clinical trials and interventions for children and pregnant women. Full articles were screened (nf = 252) and critically appraised. The review included 27 randomized and non-randomized trials and interventions. Based on the analysis, three agents concerning nutritional status were identified. First, exclusive breastfeeding and complementary feeding were fundamental elements in preventing malnutrition. Second, provision of sanitation facilities and the promotion of hygienic practices were also essential to prevent infections spread and the consequent deterioration of nutritional status. Finally, seasonality was also seen to be a relevant factor to consider while planning and implementing interventions in the populations under study. In spite of the efforts conducted over last decades, the improvement in food insecurity rates has remained insufficient. Therefore, the development of global health programs is fundamental to guide future actions.","container-title":"International Journal of Environmental Research and Public Health","DOI":"10.3390/ijerph18094799","ISSN":"1660-4601","issue":"9","journalAbbreviation":"IJERPH","language":"en","page":"4799","source":"DOI.org (Crossref)","title":"Interventions on Food Security and Water Uses for Improving Nutritional Status of Pregnant Women and Children Younger Than Five Years in Low-Middle Income Countries: A Systematic Review","title-short":"Interventions on Food Security and Water Uses for Improving Nutritional Status of Pregnant Women and Children Younger Than Five Years in Low-Middle Income Countries","volume":"18","author":[{"family":"Urgell-Lahuerta","given":"Cristina"},{"family":"Carrillo-Álvarez","given":"Elena"},{"family":"Salinas-Roca","given":"Blanca"}],"issued":{"date-parts":[["2021",5,2]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Urgell-Lahuerta et al., 2021</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LMICs; subnational, setting (households); groups (women,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sz w:val="20"/>
                <w:szCs w:val="20"/>
                <w:lang w:val="en-GB"/>
              </w:rPr>
              <w:t xml:space="preserve">Change the governance of production </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(Fortification, supplementation)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055B95">
              <w:rPr>
                <w:rFonts w:ascii="Times New Roman" w:hAnsi="Times New Roman" w:cs="Times New Roman"/>
                <w:sz w:val="20"/>
                <w:szCs w:val="20"/>
              </w:rPr>
              <w:t>Disincentivize</w:t>
            </w:r>
            <w:proofErr w:type="spellEnd"/>
            <w:r w:rsidRPr="00055B95">
              <w:rPr>
                <w:rFonts w:ascii="Times New Roman" w:hAnsi="Times New Roman" w:cs="Times New Roman"/>
                <w:sz w:val="20"/>
                <w:szCs w:val="20"/>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rPr>
              <w:t>(Subsidies)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(Vouchers)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Undernutrition: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Nutrition:</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t>0</w:t>
            </w:r>
            <w:r w:rsidRPr="00055B95">
              <w:rPr>
                <w:rFonts w:ascii="Times New Roman" w:hAnsi="Times New Roman" w:cs="Times New Roman"/>
                <w:iCs/>
                <w:sz w:val="20"/>
                <w:szCs w:val="20"/>
                <w:lang w:val="en-GB"/>
              </w:rPr>
              <w:t xml:space="preserve"> </w:t>
            </w:r>
            <w:r w:rsidRPr="00055B95">
              <w:rPr>
                <w:rFonts w:ascii="Times New Roman" w:hAnsi="Times New Roman" w:cs="Times New Roman"/>
                <w:sz w:val="20"/>
                <w:szCs w:val="20"/>
                <w:lang w:val="en-GB"/>
              </w:rPr>
              <w:t xml:space="preserve">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Food waste:</w:t>
            </w:r>
            <w:r w:rsidRPr="00055B95">
              <w:rPr>
                <w:rFonts w:ascii="Times New Roman" w:hAnsi="Times New Roman" w:cs="Times New Roman"/>
                <w:sz w:val="20"/>
                <w:szCs w:val="20"/>
                <w:lang w:val="en-GB"/>
              </w:rPr>
              <w:t xml:space="preserve">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vouchers)</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Storage/processing + Composition + Labelling + Provision + Prices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lastRenderedPageBreak/>
              <w:fldChar w:fldCharType="begin"/>
            </w:r>
            <w:r w:rsidRPr="00055B95">
              <w:rPr>
                <w:rFonts w:ascii="Times New Roman" w:hAnsi="Times New Roman" w:cs="Times New Roman"/>
                <w:b w:val="0"/>
                <w:i/>
                <w:sz w:val="20"/>
                <w:szCs w:val="20"/>
                <w:lang w:val="en-GB"/>
              </w:rPr>
              <w:instrText xml:space="preserve"> ADDIN ZOTERO_ITEM CSL_CITATION {"citationID":"nihT0L7M","properties":{"formattedCitation":"(Thomson et al., 2018)","plainCitation":"(Thomson et al., 2018)","dontUpdate":true,"noteIndex":0},"citationItems":[{"id":170700,"uris":["http://zotero.org/users/7614071/items/7NWGPWV7"],"uri":["http://zotero.org/users/7614071/items/7NWGPWV7"],"itemData":{"id":170700,"type":"article-journal","container-title":"BMC Public Health","DOI":"10.1186/s12889-018-5677-1","ISSN":"1471-2458","issue":"1","journalAbbreviation":"BMC Public Health","language":"en","page":"869","source":"DOI.org (Crossref)","title":"The effects of public health policies on health inequalities in high-income countries: an umbrella review","title-short":"The effects of public health policies on health inequalities in high-income countries","volume":"18","author":[{"family":"Thomson","given":"Katie"},{"family":"Hillier-Brown","given":"Frances"},{"family":"Todd","given":"Adam"},{"family":"McNamara","given":"Courtney"},{"family":"Huijts","given":"Tim"},{"family":"Bambra","given":"Clare"}],"issued":{"date-parts":[["2018",12]]}}}],"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Thomson et al., 2018</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Umbrella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HICs; national, subnational, setting (schools); groups (low-income, women,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sz w:val="20"/>
                <w:szCs w:val="20"/>
                <w:lang w:val="en-GB"/>
              </w:rPr>
              <w:t xml:space="preserve">Change the governance of production </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(Mandatory fortification)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 calorie labelling; menu labelling)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(Taxes and subsidies)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u w:val="single"/>
                <w:lang w:val="en-GB"/>
              </w:rPr>
            </w:pPr>
            <w:r w:rsidRPr="00055B95">
              <w:rPr>
                <w:rFonts w:ascii="Times New Roman" w:hAnsi="Times New Roman" w:cs="Times New Roman"/>
                <w:b/>
                <w:sz w:val="20"/>
                <w:szCs w:val="20"/>
                <w:u w:val="single"/>
                <w:lang w:val="en-GB"/>
              </w:rPr>
              <w:t>Equity</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Undernutrition: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subsidies),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processing)</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subsidies for women and children; for taxes),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calorie labelling),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composition; for multi-component interventions), </w:t>
            </w:r>
            <w:r w:rsidRPr="00055B95">
              <w:rPr>
                <w:rStyle w:val="eop"/>
                <w:rFonts w:ascii="Times New Roman" w:eastAsia="Wingdings" w:hAnsi="Times New Roman" w:cs="Times New Roman"/>
                <w:sz w:val="20"/>
                <w:szCs w:val="20"/>
              </w:rPr>
              <w:sym w:font="Wingdings" w:char="F0F2"/>
            </w:r>
            <w:r w:rsidRPr="00055B95">
              <w:rPr>
                <w:rFonts w:ascii="Times New Roman" w:hAnsi="Times New Roman" w:cs="Times New Roman"/>
                <w:sz w:val="20"/>
                <w:szCs w:val="20"/>
                <w:lang w:val="en-GB"/>
              </w:rPr>
              <w:t xml:space="preserve"> (for provision and menu labelling law)</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taxes),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eastAsia="Wingdings" w:hAnsi="Times New Roman" w:cs="Times New Roman"/>
                <w:sz w:val="20"/>
                <w:szCs w:val="20"/>
              </w:rPr>
              <w:sym w:font="Wingdings" w:char="F0F3"/>
            </w:r>
            <w:r w:rsidRPr="00055B95">
              <w:rPr>
                <w:rFonts w:ascii="Times New Roman" w:hAnsi="Times New Roman" w:cs="Times New Roman"/>
                <w:sz w:val="20"/>
                <w:szCs w:val="20"/>
                <w:lang w:val="en-GB"/>
              </w:rPr>
              <w:t xml:space="preserve"> (for the rest)</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Nutritional vulnerabilities: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subsidies)</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Moderate</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 (education + labelling + composition)</w:t>
            </w: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Trade + Composition + Labelling + Promotion + Provision + Prices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shd w:val="clear" w:color="auto" w:fill="auto"/>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{"citationID":"53h3cUOm","properties":{"formattedCitation":"(Hyseni, Atkinson, et al., 2017)","plainCitation":"(Hyseni, Atkinson, et al., 2017)","dontUpdate":true,"noteIndex":0},"citationItems":[{"id":6890,"uris":["http://zotero.org/users/7614071/items/3M942DJF"],"uri":["http://zotero.org/users/7614071/items/3M942DJF"],"itemData":{"id":6890,"type":"article-journal","archive":"Scopus","container-title":"European Journal of Clinical Nutrition","DOI":"10.1038/ejcn.2016.234","issue":"6","page":"694-711","title":"The effects of policy actions to improve population dietary patterns and prevent diet-related non-communicable diseases: Scoping review","volume":"71","author":[{"family":"Hyseni","given":"L."},{"family":"Atkinson","given":"M."},{"family":"Bromley","given":"H."},{"family":"Orton","given":"L."},{"family":"Lloyd-Williams","given":"F."},{"family":"McGill","given":"R."},{"family":"Capewell","given":"S."}],"issued":{"date-parts":[["2017"]]}}}],"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Hyseni, Atkinson, et al., 2017</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Scoping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multinational, national, settings (schools, workplace); general,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 marketing)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(FOPNL, menu labelling: calorie)</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roofErr w:type="spellStart"/>
            <w:r w:rsidRPr="00055B95">
              <w:rPr>
                <w:rFonts w:ascii="Times New Roman" w:hAnsi="Times New Roman" w:cs="Times New Roman"/>
                <w:sz w:val="20"/>
                <w:szCs w:val="20"/>
                <w:lang w:val="en-GB"/>
              </w:rPr>
              <w:t>Disincentivize</w:t>
            </w:r>
            <w:proofErr w:type="spellEnd"/>
            <w:r w:rsidRPr="00055B95">
              <w:rPr>
                <w:rFonts w:ascii="Times New Roman" w:hAnsi="Times New Roman" w:cs="Times New Roman"/>
                <w:sz w:val="20"/>
                <w:szCs w:val="20"/>
                <w:lang w:val="en-GB"/>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(Taxes and subsidies; trade: legislation or regulation affecting production </w:t>
            </w:r>
            <w:r w:rsidRPr="00055B95">
              <w:rPr>
                <w:rFonts w:ascii="Times New Roman" w:hAnsi="Times New Roman" w:cs="Times New Roman"/>
                <w:sz w:val="20"/>
                <w:szCs w:val="20"/>
                <w:lang w:val="en-GB"/>
              </w:rPr>
              <w:lastRenderedPageBreak/>
              <w:t>policies or supply-chain logistics)</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lastRenderedPageBreak/>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prices, composition, and multicomponent: labelling + composition, provision + promotion, composition + labelling + promotion),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b/>
                <w:sz w:val="20"/>
                <w:szCs w:val="20"/>
                <w:lang w:val="en-GB"/>
              </w:rPr>
              <w:t xml:space="preserve"> </w:t>
            </w:r>
            <w:r w:rsidRPr="00055B95">
              <w:rPr>
                <w:rFonts w:ascii="Times New Roman" w:hAnsi="Times New Roman" w:cs="Times New Roman"/>
                <w:sz w:val="20"/>
                <w:szCs w:val="20"/>
                <w:lang w:val="en-GB"/>
              </w:rPr>
              <w:t>(for labelling, provision, promotion, trade)</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Composition + Labelling + Provision + Prices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{"citationID":"JAkA2TX2","properties":{"formattedCitation":"(Hyseni, Elliot-Green, et al., 2017)","plainCitation":"(Hyseni, Elliot-Green, et al., 2017)","dontUpdate":true,"noteIndex":0},"citationItems":[{"id":170741,"uris":["http://zotero.org/users/7614071/items/CFZQZ6MX"],"uri":["http://zotero.org/users/7614071/items/CFZQZ6MX"],"itemData":{"id":170741,"type":"article-journal","container-title":"PLOS ONE","DOI":"10.1371/journal.pone.0177535","ISSN":"1932-6203","issue":"5","journalAbbreviation":"PLoS ONE","language":"en","page":"e0177535","source":"DOI.org (Crossref)","title":"Systematic review of dietary salt reduction policies: Evidence for an effectiveness hierarchy?","title-short":"Systematic review of dietary salt reduction policies","volume":"12","author":[{"family":"Hyseni","given":"Lirije"},{"family":"Elliot-Green","given":"Alex"},{"family":"Lloyd-Williams","given":"Ffion"},{"family":"Kypridemos","given":"Chris"},{"family":"O’Flaherty","given":"Martin"},{"family":"McGill","given":"Rory"},{"family":"Orton","given":"Lois"},{"family":"Bromley","given":"Helen"},{"family":"Cappuccio","given":"Francesco P."},{"family":"Capewell","given":"Simon"}],"editor":[{"family":"Shankar","given":"Bhavani"}],"issued":{"date-parts":[["2017",5,18]]}}}],"schema":"https://github.com/citation-style-language/schema/raw/master/csl-citation.json"}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lang w:val="en-GB"/>
              </w:rPr>
              <w:t>Hyseni, Elliot-Green, et al., 2017</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Global; national, settings (schools, workplace); general</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(Reformulation)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55B95">
              <w:rPr>
                <w:rFonts w:ascii="Times New Roman" w:hAnsi="Times New Roman" w:cs="Times New Roman"/>
                <w:sz w:val="20"/>
                <w:szCs w:val="20"/>
              </w:rPr>
              <w:t>Inform or empower consumers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(Labelling)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055B95">
              <w:rPr>
                <w:rFonts w:ascii="Times New Roman" w:hAnsi="Times New Roman" w:cs="Times New Roman"/>
                <w:sz w:val="20"/>
                <w:szCs w:val="20"/>
              </w:rPr>
              <w:t>Disincentivize</w:t>
            </w:r>
            <w:proofErr w:type="spellEnd"/>
            <w:r w:rsidRPr="00055B95">
              <w:rPr>
                <w:rFonts w:ascii="Times New Roman" w:hAnsi="Times New Roman" w:cs="Times New Roman"/>
                <w:sz w:val="20"/>
                <w:szCs w:val="20"/>
              </w:rPr>
              <w:t xml:space="preserve"> or incentivize choices through fiscal measures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rPr>
              <w:t>(Taxes: sodium)</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eastAsia="Wingdings" w:hAnsi="Times New Roman" w:cs="Times New Roman"/>
                <w:sz w:val="20"/>
                <w:szCs w:val="20"/>
              </w:rPr>
              <w:sym w:font="Wingdings" w:char="F0F3"/>
            </w:r>
            <w:r w:rsidRPr="00055B95">
              <w:rPr>
                <w:rStyle w:val="eop"/>
                <w:rFonts w:ascii="Times New Roman" w:eastAsia="Wingdings" w:hAnsi="Times New Roman" w:cs="Times New Roman"/>
                <w:sz w:val="20"/>
                <w:szCs w:val="20"/>
              </w:rPr>
              <w:t>*</w:t>
            </w:r>
            <w:r w:rsidRPr="00055B95">
              <w:rPr>
                <w:rFonts w:ascii="Times New Roman" w:hAnsi="Times New Roman" w:cs="Times New Roman"/>
                <w:sz w:val="20"/>
                <w:szCs w:val="20"/>
                <w:lang w:val="en-GB"/>
              </w:rPr>
              <w:t xml:space="preserve"> (for labelling),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prices, and multi-component interventions),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provision)</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composition on NCDs; and for multi-component interventions)</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vAlign w:val="center"/>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Promotion + Provision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{"citationID":"Ruq1z2Ts","properties":{"formattedCitation":"(P\\uc0\\u233{}rez-Cueto et al., 2012)","plainCitation":"(Pérez-Cueto et al., 2012)","dontUpdate":true,"noteIndex":0},"citationItems":[{"id":170861,"uris":["http://zotero.org/users/7614071/items/LP2LC9DS"],"uri":["http://zotero.org/users/7614071/items/LP2LC9DS"],"itemData":{"id":170861,"type":"article-journal","abstract":"Abstract\n            \n              Objective\n              To identify and assess healthy eating policies at national level which have been evaluated in terms of their impact on awareness of healthy eating, food consumption, health outcome or cost/benefit.\n            \n            \n              Design\n              Review of policy documents and their evaluations when available.\n            \n            \n              Setting\n              European Member States.\n            \n            \n              Subjects\n              One hundred and twenty-one policy documents revised, 107 retained.\n            \n            \n              Results\n              Of the 107 selected interventions, twenty-two had been evaluated for their impact on awareness or knowledge and twenty-seven for their impact on consumption. Furthermore sixteen interventions provided an evaluation of health impact, while three actions specifically measured any cost/benefit ratio. The indicators used in these evaluations were in most cases not comparable. Evaluation was more often found for public information campaigns, regulation of meals at schools/canteens and nutrition education programmes.\n            \n            \n              Conclusions\n              The study highlights the need not only to develop harmonized and verifiable procedures but also indicators for measuring effectiveness and success and for comparing between interventions and countries. EU policies are recommended to provide a set of indicators that may be measured consistently and regularly in all countries. Furthermore, public information campaigns should be accompanied by other interventions, as evaluations may show an impact on awareness and intention, but rarely on consumption patterns and health outcome.","container-title":"Public Health Nutrition","DOI":"10.1017/S1368980011003107","ISSN":"1368-9800, 1475-2727","issue":"8","journalAbbreviation":"Public Health Nutr.","language":"en","page":"1489-1496","source":"DOI.org (Crossref)","title":"Assessment of evaluations made to healthy eating policies in Europe: a review within the EATWELL Project","title-short":"Assessment of evaluations made to healthy eating policies in Europe","volume":"15","author":[{"family":"Pérez-Cueto","given":"Federico JA"},{"family":"Aschemann-Witzel","given":"Jessica"},{"family":"Shankar","given":"Bhavani"},{"family":"Brambila-Macias","given":"José"},{"family":"Bech-Larsen","given":"Tino"},{"family":"Mazzocchi","given":"Mario"},{"family":"Capacci","given":"Sara"},{"family":"Saba","given":"Anna"},{"family":"Turrini","given":"Aida"},{"family":"Niedzwiedzka","given":"Barbara"},{"family":"Piorecka","given":"Beata"},{"family":"Kozioł-Kozakowska","given":"Agniezska"},{"family":"Wills","given":"Josephine"},{"family":"Traill","given":"W Bruce"},{"family":"Verbeke","given":"Wim"}],"issued":{"date-parts":[["2012",8]]}}}],"schema":"https://github.com/citation-style-language/schema/raw/master/csl-citation.json"}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Pérez-Cueto et al., 2012</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Policy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EU MS; multinational, national, setting (schools, workplace); general, group (children)</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(Marketing)</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(Healthy food provision)</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b/>
                <w:sz w:val="20"/>
                <w:szCs w:val="20"/>
                <w:lang w:val="en-GB"/>
              </w:rPr>
              <w:t xml:space="preserve">Nutrition: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provision), </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Style w:val="eop"/>
                <w:rFonts w:ascii="Times New Roman" w:hAnsi="Times New Roman" w:cs="Times New Roman"/>
                <w:sz w:val="20"/>
                <w:szCs w:val="20"/>
              </w:rPr>
              <w:t>0</w:t>
            </w:r>
            <w:r w:rsidRPr="00055B95">
              <w:rPr>
                <w:rFonts w:ascii="Times New Roman" w:hAnsi="Times New Roman" w:cs="Times New Roman"/>
                <w:sz w:val="20"/>
                <w:szCs w:val="20"/>
                <w:lang w:val="en-GB"/>
              </w:rPr>
              <w:t xml:space="preserve"> (for promotion)</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Nutritional vulnerabilities: </w:t>
            </w:r>
            <w:r w:rsidRPr="00055B95">
              <w:rPr>
                <w:rStyle w:val="eop"/>
                <w:rFonts w:ascii="Times New Roman" w:hAnsi="Times New Roman" w:cs="Times New Roman"/>
                <w:sz w:val="20"/>
                <w:szCs w:val="20"/>
              </w:rPr>
              <w:sym w:font="Wingdings" w:char="F0F1"/>
            </w:r>
            <w:r w:rsidRPr="00055B95">
              <w:rPr>
                <w:rFonts w:ascii="Times New Roman" w:hAnsi="Times New Roman" w:cs="Times New Roman"/>
                <w:sz w:val="20"/>
                <w:szCs w:val="20"/>
                <w:lang w:val="en-GB"/>
              </w:rPr>
              <w:t xml:space="preserve"> (for provision)</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Yes</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r w:rsidR="00A050C9" w:rsidRPr="00055B95" w:rsidTr="0098748A">
        <w:tc>
          <w:tcPr>
            <w:cnfStyle w:val="001000000000" w:firstRow="0" w:lastRow="0" w:firstColumn="1" w:lastColumn="0" w:oddVBand="0" w:evenVBand="0" w:oddHBand="0" w:evenHBand="0" w:firstRowFirstColumn="0" w:firstRowLastColumn="0" w:lastRowFirstColumn="0" w:lastRowLastColumn="0"/>
            <w:tcW w:w="9360" w:type="dxa"/>
            <w:gridSpan w:val="7"/>
            <w:shd w:val="clear" w:color="auto" w:fill="F2F2F2" w:themeFill="background1" w:themeFillShade="F2"/>
          </w:tcPr>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 xml:space="preserve">Promotion + Provision + Retail </w:t>
            </w:r>
          </w:p>
          <w:p w:rsidR="00A050C9" w:rsidRPr="00055B95" w:rsidRDefault="00A050C9" w:rsidP="0098748A">
            <w:pPr>
              <w:jc w:val="left"/>
              <w:rPr>
                <w:rFonts w:ascii="Times New Roman" w:hAnsi="Times New Roman" w:cs="Times New Roman"/>
                <w:sz w:val="20"/>
                <w:szCs w:val="20"/>
                <w:lang w:val="en-GB"/>
              </w:rPr>
            </w:pPr>
            <w:r w:rsidRPr="00055B95">
              <w:rPr>
                <w:rFonts w:ascii="Times New Roman" w:hAnsi="Times New Roman" w:cs="Times New Roman"/>
                <w:sz w:val="20"/>
                <w:szCs w:val="20"/>
                <w:lang w:val="en-GB"/>
              </w:rPr>
              <w:t>(n=1)</w:t>
            </w:r>
          </w:p>
        </w:tc>
      </w:tr>
      <w:tr w:rsidR="00A050C9" w:rsidRPr="00055B95" w:rsidTr="009874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0" w:type="dxa"/>
          </w:tcPr>
          <w:p w:rsidR="00A050C9" w:rsidRPr="00055B95" w:rsidRDefault="00A050C9" w:rsidP="0098748A">
            <w:pPr>
              <w:jc w:val="left"/>
              <w:rPr>
                <w:rFonts w:ascii="Times New Roman" w:hAnsi="Times New Roman" w:cs="Times New Roman"/>
                <w:b w:val="0"/>
                <w:i/>
                <w:sz w:val="20"/>
                <w:szCs w:val="20"/>
                <w:lang w:val="en-GB"/>
              </w:rPr>
            </w:pPr>
            <w:r w:rsidRPr="00055B95">
              <w:rPr>
                <w:rFonts w:ascii="Times New Roman" w:hAnsi="Times New Roman" w:cs="Times New Roman"/>
                <w:i/>
                <w:sz w:val="20"/>
                <w:szCs w:val="20"/>
                <w:lang w:val="en-GB"/>
              </w:rPr>
              <w:fldChar w:fldCharType="begin"/>
            </w:r>
            <w:r w:rsidRPr="00055B95">
              <w:rPr>
                <w:rFonts w:ascii="Times New Roman" w:hAnsi="Times New Roman" w:cs="Times New Roman"/>
                <w:b w:val="0"/>
                <w:i/>
                <w:sz w:val="20"/>
                <w:szCs w:val="20"/>
                <w:lang w:val="en-GB"/>
              </w:rPr>
              <w:instrText xml:space="preserve"> ADDIN ZOTERO_ITEM CSL_CITATION {"citationID":"PVaUa8G9","properties":{"formattedCitation":"(Calancie et al., 2015)","plainCitation":"(Calancie et al., 2015)","dontUpdate":true,"noteIndex":0},"citationItems":[{"id":170798,"uris":["http://zotero.org/users/7614071/items/BCKBYU2J"],"uri":["http://zotero.org/users/7614071/items/BCKBYU2J"],"itemData":{"id":170798,"type":"article-journal","container-title":"Preventing Chronic Disease","DOI":"10.5888/pcd12.140540","ISSN":"1545-1151","journalAbbreviation":"Prev. Chronic Dis.","page":"140540","source":"DOI.org (Crossref)","title":"Nutrition-Related Policy and Environmental Strategies to Prevent Obesity in Rural Communities: A Systematic Review of the Literature, 2002–2013","title-short":"Nutrition-Related Policy and Environmental Strategies to Prevent Obesity in Rural Communities","volume":"12","author":[{"family":"Calancie","given":"Larissa"},{"family":"Leeman","given":"Jennifer"},{"family":"Jilcott Pitts","given":"Stephanie B."},{"family":"Khan","given":"Laura Kettel"},{"family":"Fleischhacker","given":"Sheila"},{"family":"Evenson","given":"Kelly R."},{"family":"Schreiner","given":"Michelle"},{"family":"Byker","given":"Carmen"},{"family":"Owens","given":"Clint"},{"family":"McGuirt","given":"Jared"},{"family":"Barnidge","given":"Ellen"},{"family":"Dean","given":"Wesley"},{"family":"Johnson","given":"Donna"},{"family":"Kolodinsky","given":"Jane"},{"family":"Piltch","given":"Emily"},{"family":"Pinard","given":"Courtney"},{"family":"Quinn","given":"Emilee"},{"family":"Whetstone","given":"Lauren"},{"family":"Ammerman","given":"Alice"}],"issued":{"date-parts":[["2015",4,30]]}}}],"schema":"https://github.com/citation-style-language/schema/raw/master/csl-citation.json"} </w:instrText>
            </w:r>
            <w:r w:rsidRPr="00055B95">
              <w:rPr>
                <w:rFonts w:ascii="Times New Roman" w:hAnsi="Times New Roman" w:cs="Times New Roman"/>
                <w:i/>
                <w:sz w:val="20"/>
                <w:szCs w:val="20"/>
                <w:lang w:val="en-GB"/>
              </w:rPr>
              <w:fldChar w:fldCharType="separate"/>
            </w:r>
            <w:r w:rsidRPr="00055B95">
              <w:rPr>
                <w:rFonts w:ascii="Times New Roman" w:hAnsi="Times New Roman" w:cs="Times New Roman"/>
                <w:b w:val="0"/>
                <w:i/>
                <w:sz w:val="20"/>
                <w:szCs w:val="20"/>
              </w:rPr>
              <w:t>Calancie et al., 2015</w:t>
            </w:r>
            <w:r w:rsidRPr="00055B95">
              <w:rPr>
                <w:rFonts w:ascii="Times New Roman" w:hAnsi="Times New Roman" w:cs="Times New Roman"/>
                <w:i/>
                <w:sz w:val="20"/>
                <w:szCs w:val="20"/>
                <w:lang w:val="en-GB"/>
              </w:rPr>
              <w:fldChar w:fldCharType="end"/>
            </w:r>
          </w:p>
        </w:tc>
        <w:tc>
          <w:tcPr>
            <w:tcW w:w="94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Systematic review</w:t>
            </w:r>
          </w:p>
        </w:tc>
        <w:tc>
          <w:tcPr>
            <w:tcW w:w="1533"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United States and Canada; subnational (rural settings); group (rural communities)</w:t>
            </w:r>
          </w:p>
        </w:tc>
        <w:tc>
          <w:tcPr>
            <w:tcW w:w="2059" w:type="dxa"/>
          </w:tcPr>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Encourage collaboration and shared agreements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(Limit marketing of unhealthy products)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Change the governance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(Smaller portion size options)</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Modify the context, defaults and norms of consumption</w:t>
            </w:r>
          </w:p>
          <w:p w:rsidR="00A050C9" w:rsidRPr="00055B95" w:rsidRDefault="00A050C9" w:rsidP="0098748A">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lastRenderedPageBreak/>
              <w:t>(Nudging in supermarkets: accessibility)</w:t>
            </w:r>
          </w:p>
        </w:tc>
        <w:tc>
          <w:tcPr>
            <w:tcW w:w="1860"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lastRenderedPageBreak/>
              <w:t xml:space="preserve">Nutrition: </w:t>
            </w:r>
            <w:r w:rsidRPr="00055B95">
              <w:rPr>
                <w:rStyle w:val="eop"/>
                <w:rFonts w:ascii="Times New Roman" w:hAnsi="Times New Roman" w:cs="Times New Roman"/>
                <w:sz w:val="20"/>
                <w:szCs w:val="20"/>
              </w:rPr>
              <w:sym w:font="Wingdings" w:char="F0F1"/>
            </w:r>
            <w:r w:rsidRPr="00055B95">
              <w:rPr>
                <w:rStyle w:val="eop"/>
                <w:rFonts w:ascii="Times New Roman" w:hAnsi="Times New Roman" w:cs="Times New Roman"/>
                <w:sz w:val="20"/>
                <w:szCs w:val="20"/>
              </w:rPr>
              <w:t>*</w:t>
            </w:r>
            <w:r w:rsidRPr="00055B95">
              <w:rPr>
                <w:rFonts w:ascii="Times New Roman" w:hAnsi="Times New Roman" w:cs="Times New Roman"/>
                <w:sz w:val="20"/>
                <w:szCs w:val="20"/>
                <w:lang w:val="en-GB"/>
              </w:rPr>
              <w:t xml:space="preserve"> (for F&amp;Vs, SSBs, fat),</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Obesity/NCDs: </w:t>
            </w:r>
            <w:r w:rsidRPr="00055B95">
              <w:rPr>
                <w:rStyle w:val="eop"/>
                <w:rFonts w:ascii="Times New Roman" w:eastAsia="Wingdings" w:hAnsi="Times New Roman" w:cs="Times New Roman"/>
                <w:sz w:val="20"/>
                <w:szCs w:val="20"/>
              </w:rPr>
              <w:sym w:font="Wingdings" w:char="F0F3"/>
            </w:r>
            <w:r w:rsidRPr="00055B95">
              <w:rPr>
                <w:rStyle w:val="eop"/>
                <w:rFonts w:ascii="Times New Roman" w:eastAsia="Wingdings" w:hAnsi="Times New Roman" w:cs="Times New Roman"/>
                <w:sz w:val="20"/>
                <w:szCs w:val="20"/>
              </w:rPr>
              <w:t>*</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 xml:space="preserve">Nutritional vulnerabilities: </w:t>
            </w:r>
            <w:r w:rsidRPr="00055B95">
              <w:rPr>
                <w:rStyle w:val="eop"/>
                <w:rFonts w:ascii="Times New Roman" w:hAnsi="Times New Roman" w:cs="Times New Roman"/>
                <w:sz w:val="20"/>
                <w:szCs w:val="20"/>
              </w:rPr>
              <w:sym w:font="Wingdings" w:char="F0F1"/>
            </w:r>
            <w:r w:rsidRPr="00055B95">
              <w:rPr>
                <w:rStyle w:val="eop"/>
                <w:rFonts w:ascii="Times New Roman" w:hAnsi="Times New Roman" w:cs="Times New Roman"/>
                <w:sz w:val="20"/>
                <w:szCs w:val="20"/>
              </w:rPr>
              <w:t>*</w:t>
            </w:r>
          </w:p>
        </w:tc>
        <w:tc>
          <w:tcPr>
            <w:tcW w:w="727"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055B95">
              <w:rPr>
                <w:rFonts w:ascii="Times New Roman" w:hAnsi="Times New Roman" w:cs="Times New Roman"/>
                <w:sz w:val="20"/>
                <w:szCs w:val="20"/>
                <w:lang w:val="en-GB"/>
              </w:rPr>
              <w:t>Critically low</w:t>
            </w:r>
          </w:p>
        </w:tc>
        <w:tc>
          <w:tcPr>
            <w:tcW w:w="1061" w:type="dxa"/>
          </w:tcPr>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r w:rsidRPr="00055B95">
              <w:rPr>
                <w:rFonts w:ascii="Times New Roman" w:hAnsi="Times New Roman" w:cs="Times New Roman"/>
                <w:b/>
                <w:sz w:val="20"/>
                <w:szCs w:val="20"/>
                <w:lang w:val="en-GB"/>
              </w:rPr>
              <w:t>No</w:t>
            </w:r>
          </w:p>
          <w:p w:rsidR="00A050C9" w:rsidRPr="00055B95" w:rsidRDefault="00A050C9" w:rsidP="009874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GB"/>
              </w:rPr>
            </w:pPr>
          </w:p>
        </w:tc>
      </w:tr>
    </w:tbl>
    <w:p w:rsidR="00A050C9" w:rsidRPr="00055B95" w:rsidRDefault="00A050C9" w:rsidP="00A050C9">
      <w:pPr>
        <w:spacing w:after="0" w:line="240" w:lineRule="auto"/>
        <w:rPr>
          <w:rFonts w:ascii="Times New Roman" w:hAnsi="Times New Roman" w:cs="Times New Roman"/>
          <w:iCs/>
          <w:sz w:val="20"/>
          <w:szCs w:val="20"/>
        </w:rPr>
      </w:pPr>
      <w:r w:rsidRPr="00055B95">
        <w:rPr>
          <w:rFonts w:ascii="Times New Roman" w:hAnsi="Times New Roman" w:cs="Times New Roman"/>
          <w:b/>
          <w:sz w:val="20"/>
          <w:szCs w:val="20"/>
        </w:rPr>
        <w:t>Legend:</w:t>
      </w:r>
      <w:r w:rsidRPr="00055B95">
        <w:rPr>
          <w:rFonts w:ascii="Times New Roman" w:hAnsi="Times New Roman" w:cs="Times New Roman"/>
          <w:sz w:val="20"/>
          <w:szCs w:val="20"/>
        </w:rPr>
        <w:t xml:space="preserve"> </w:t>
      </w:r>
      <w:r w:rsidRPr="00055B95">
        <w:rPr>
          <w:rStyle w:val="eop"/>
          <w:rFonts w:ascii="Times New Roman" w:hAnsi="Times New Roman" w:cs="Times New Roman"/>
          <w:sz w:val="20"/>
          <w:szCs w:val="20"/>
        </w:rPr>
        <w:sym w:font="Wingdings" w:char="F0F1"/>
      </w:r>
      <w:r w:rsidRPr="00055B95">
        <w:rPr>
          <w:rStyle w:val="eop"/>
          <w:rFonts w:ascii="Times New Roman" w:hAnsi="Times New Roman" w:cs="Times New Roman"/>
          <w:sz w:val="20"/>
          <w:szCs w:val="20"/>
        </w:rPr>
        <w:t xml:space="preserve"> (positive effect); </w:t>
      </w:r>
      <w:r w:rsidRPr="00055B95">
        <w:rPr>
          <w:rStyle w:val="eop"/>
          <w:rFonts w:ascii="Times New Roman" w:eastAsia="Wingdings" w:hAnsi="Times New Roman" w:cs="Times New Roman"/>
          <w:sz w:val="20"/>
          <w:szCs w:val="20"/>
        </w:rPr>
        <w:sym w:font="Wingdings" w:char="F0F3"/>
      </w:r>
      <w:r w:rsidRPr="00055B95">
        <w:rPr>
          <w:rStyle w:val="eop"/>
          <w:rFonts w:ascii="Times New Roman" w:hAnsi="Times New Roman" w:cs="Times New Roman"/>
          <w:sz w:val="20"/>
          <w:szCs w:val="20"/>
        </w:rPr>
        <w:t xml:space="preserve">(neutral effect); </w:t>
      </w:r>
      <w:r w:rsidRPr="00055B95">
        <w:rPr>
          <w:rStyle w:val="eop"/>
          <w:rFonts w:ascii="Times New Roman" w:eastAsia="Wingdings" w:hAnsi="Times New Roman" w:cs="Times New Roman"/>
          <w:sz w:val="20"/>
          <w:szCs w:val="20"/>
        </w:rPr>
        <w:sym w:font="Wingdings" w:char="F0F2"/>
      </w:r>
      <w:r w:rsidRPr="00055B95">
        <w:rPr>
          <w:rStyle w:val="eop"/>
          <w:rFonts w:ascii="Times New Roman" w:hAnsi="Times New Roman" w:cs="Times New Roman"/>
          <w:sz w:val="20"/>
          <w:szCs w:val="20"/>
        </w:rPr>
        <w:t xml:space="preserve"> (negative effect); ~ (</w:t>
      </w:r>
      <w:r w:rsidRPr="00055B95">
        <w:rPr>
          <w:rFonts w:ascii="Times New Roman" w:hAnsi="Times New Roman" w:cs="Times New Roman"/>
          <w:iCs/>
          <w:sz w:val="20"/>
          <w:szCs w:val="20"/>
          <w:lang w:val="en-GB"/>
        </w:rPr>
        <w:t xml:space="preserve">inconclusive/mixed results) or </w:t>
      </w:r>
      <w:r w:rsidRPr="00055B95">
        <w:rPr>
          <w:rStyle w:val="eop"/>
          <w:rFonts w:ascii="Times New Roman" w:hAnsi="Times New Roman" w:cs="Times New Roman"/>
          <w:sz w:val="20"/>
          <w:szCs w:val="20"/>
        </w:rPr>
        <w:t>0</w:t>
      </w:r>
      <w:r w:rsidRPr="00055B95">
        <w:rPr>
          <w:rFonts w:ascii="Times New Roman" w:hAnsi="Times New Roman" w:cs="Times New Roman"/>
          <w:iCs/>
          <w:sz w:val="20"/>
          <w:szCs w:val="20"/>
          <w:lang w:val="en-GB"/>
        </w:rPr>
        <w:t xml:space="preserve"> (no data/literature gap); * (data available is limited or it was not considered </w:t>
      </w:r>
      <w:r w:rsidRPr="00055B95">
        <w:rPr>
          <w:rFonts w:ascii="Times New Roman" w:hAnsi="Times New Roman" w:cs="Times New Roman"/>
          <w:iCs/>
          <w:sz w:val="20"/>
          <w:szCs w:val="20"/>
        </w:rPr>
        <w:t>statistically </w:t>
      </w:r>
      <w:r w:rsidRPr="00055B95">
        <w:rPr>
          <w:rFonts w:ascii="Times New Roman" w:hAnsi="Times New Roman" w:cs="Times New Roman"/>
          <w:bCs/>
          <w:iCs/>
          <w:sz w:val="20"/>
          <w:szCs w:val="20"/>
        </w:rPr>
        <w:t>significant</w:t>
      </w:r>
      <w:r w:rsidRPr="00055B95">
        <w:rPr>
          <w:rFonts w:ascii="Times New Roman" w:hAnsi="Times New Roman" w:cs="Times New Roman"/>
          <w:iCs/>
          <w:sz w:val="20"/>
          <w:szCs w:val="20"/>
        </w:rPr>
        <w:t> by the review’s authors).</w:t>
      </w:r>
    </w:p>
    <w:p w:rsidR="00A050C9" w:rsidRPr="00055B95" w:rsidRDefault="00A050C9" w:rsidP="00A050C9">
      <w:pPr>
        <w:rPr>
          <w:rFonts w:ascii="Times New Roman" w:hAnsi="Times New Roman" w:cs="Times New Roman"/>
          <w:sz w:val="20"/>
          <w:szCs w:val="20"/>
          <w:lang w:val="en-GB"/>
        </w:rPr>
      </w:pPr>
      <w:r w:rsidRPr="00055B95">
        <w:rPr>
          <w:rFonts w:ascii="Times New Roman" w:hAnsi="Times New Roman" w:cs="Times New Roman"/>
          <w:sz w:val="20"/>
          <w:szCs w:val="20"/>
          <w:lang w:val="en-GB"/>
        </w:rPr>
        <w:t>LMICs: low and middle income countries; LLMIC: low- and/or lower-middle income country; WIC: woman, infants and children intervention; SNAP: supplemental nutrition assistance program; GMO: genetically modified organism; OPP: output price policies; PDSP: public distribution system policies; EU MS: European Union Member States</w:t>
      </w:r>
    </w:p>
    <w:p w:rsidR="00A050C9" w:rsidRPr="00055B95" w:rsidRDefault="00A050C9" w:rsidP="00A050C9">
      <w:pPr>
        <w:rPr>
          <w:rFonts w:ascii="Times New Roman" w:hAnsi="Times New Roman" w:cs="Times New Roman"/>
          <w:sz w:val="20"/>
          <w:szCs w:val="20"/>
          <w:lang w:val="en-GB"/>
        </w:rPr>
      </w:pPr>
    </w:p>
    <w:p w:rsidR="00A050C9" w:rsidRPr="00A050C9" w:rsidRDefault="00A050C9">
      <w:pPr>
        <w:rPr>
          <w:lang w:val="en-GB"/>
        </w:rPr>
      </w:pPr>
    </w:p>
    <w:sectPr w:rsidR="00A050C9" w:rsidRPr="00A050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C9"/>
    <w:rsid w:val="008600AD"/>
    <w:rsid w:val="00860B7E"/>
    <w:rsid w:val="00A050C9"/>
    <w:rsid w:val="00A77DDD"/>
    <w:rsid w:val="00CE6B6A"/>
    <w:rsid w:val="00D3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4A77"/>
  <w15:chartTrackingRefBased/>
  <w15:docId w15:val="{BC7D44D7-3C0F-462C-B70D-BFD0C30A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0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50C9"/>
    <w:rPr>
      <w:b/>
      <w:bCs/>
      <w:color w:val="auto"/>
    </w:rPr>
  </w:style>
  <w:style w:type="table" w:styleId="PlainTable2">
    <w:name w:val="Plain Table 2"/>
    <w:basedOn w:val="TableNormal"/>
    <w:uiPriority w:val="42"/>
    <w:rsid w:val="00A050C9"/>
    <w:pPr>
      <w:spacing w:after="0" w:line="240" w:lineRule="auto"/>
      <w:jc w:val="both"/>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eop">
    <w:name w:val="eop"/>
    <w:basedOn w:val="DefaultParagraphFont"/>
    <w:rsid w:val="00A05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1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9340</Words>
  <Characters>53243</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SCIENSANO</Company>
  <LinksUpToDate>false</LinksUpToDate>
  <CharactersWithSpaces>62459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 Burgaz</dc:creator>
  <cp:keywords/>
  <dc:description/>
  <cp:lastModifiedBy>Celia Burgaz</cp:lastModifiedBy>
  <cp:revision>4</cp:revision>
  <dcterms:created xsi:type="dcterms:W3CDTF">2022-06-22T13:44:00Z</dcterms:created>
  <dcterms:modified xsi:type="dcterms:W3CDTF">2022-06-24T07:00:00Z</dcterms:modified>
</cp:coreProperties>
</file>