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011E" w:rsidRPr="006B181C" w:rsidRDefault="00BF011E" w:rsidP="006B181C">
      <w:pPr>
        <w:spacing w:line="240" w:lineRule="auto"/>
        <w:ind w:firstLineChars="0" w:firstLine="0"/>
        <w:rPr>
          <w:rFonts w:ascii="Arial" w:hAnsi="Arial" w:cs="Arial"/>
          <w:b/>
          <w:bCs/>
          <w:sz w:val="18"/>
          <w:szCs w:val="18"/>
        </w:rPr>
      </w:pPr>
      <w:r w:rsidRPr="006B181C">
        <w:rPr>
          <w:rFonts w:ascii="Arial" w:hAnsi="Arial" w:cs="Arial"/>
          <w:b/>
          <w:bCs/>
          <w:sz w:val="18"/>
          <w:szCs w:val="18"/>
        </w:rPr>
        <w:t>Text S1 Water cycle intensity framework (WCI)</w:t>
      </w:r>
    </w:p>
    <w:p w:rsidR="00BF011E" w:rsidRPr="006B181C" w:rsidRDefault="00BF011E" w:rsidP="00E56D7F">
      <w:pPr>
        <w:widowControl/>
        <w:spacing w:line="240" w:lineRule="auto"/>
        <w:ind w:firstLine="31680"/>
        <w:rPr>
          <w:rFonts w:ascii="Arial" w:hAnsi="Arial" w:cs="Arial"/>
          <w:sz w:val="18"/>
          <w:szCs w:val="18"/>
        </w:rPr>
      </w:pPr>
      <w:r w:rsidRPr="006B181C">
        <w:rPr>
          <w:rFonts w:ascii="Arial" w:hAnsi="Arial" w:cs="Arial"/>
          <w:sz w:val="18"/>
          <w:szCs w:val="18"/>
        </w:rPr>
        <w:t>Huntington et al. (2018) have demonstrated that the sum of precipitation and evapotranspiration can be used to quantify changes in the terrestrial component of the water cycle, which describes the total amount of water exchanged between the atmosphere and the land and has been extended to a global scale (Godoy and Markonis, 2023). First, we begin our discussion with the equation of the terrestrial water balance:</w:t>
      </w:r>
    </w:p>
    <w:tbl>
      <w:tblPr>
        <w:tblW w:w="0" w:type="auto"/>
        <w:tblInd w:w="-106" w:type="dxa"/>
        <w:tblLook w:val="00A0"/>
      </w:tblPr>
      <w:tblGrid>
        <w:gridCol w:w="7275"/>
        <w:gridCol w:w="1031"/>
      </w:tblGrid>
      <w:tr w:rsidR="00BF011E" w:rsidRPr="006B181C">
        <w:tc>
          <w:tcPr>
            <w:tcW w:w="7275" w:type="dxa"/>
            <w:vAlign w:val="center"/>
          </w:tcPr>
          <w:p w:rsidR="00BF011E" w:rsidRPr="006B181C" w:rsidRDefault="00BF011E" w:rsidP="00BF011E">
            <w:pPr>
              <w:spacing w:line="240" w:lineRule="auto"/>
              <w:ind w:firstLine="31680"/>
              <w:rPr>
                <w:rFonts w:ascii="Arial" w:hAnsi="Arial" w:cs="Arial"/>
                <w:sz w:val="18"/>
                <w:szCs w:val="18"/>
              </w:rPr>
            </w:pPr>
            <w:r w:rsidRPr="00153826">
              <w:rPr>
                <w:rFonts w:ascii="Arial" w:hAnsi="Arial" w:cs="Arial"/>
                <w:position w:val="-10"/>
                <w:sz w:val="18"/>
                <w:szCs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9pt;height:12.75pt">
                  <v:imagedata r:id="rId6" o:title=""/>
                </v:shape>
              </w:pict>
            </w:r>
          </w:p>
        </w:tc>
        <w:tc>
          <w:tcPr>
            <w:tcW w:w="1031" w:type="dxa"/>
            <w:vAlign w:val="center"/>
          </w:tcPr>
          <w:p w:rsidR="00BF011E" w:rsidRPr="006B181C" w:rsidRDefault="00BF011E" w:rsidP="00BF011E">
            <w:pPr>
              <w:spacing w:line="240" w:lineRule="auto"/>
              <w:ind w:firstLine="31680"/>
              <w:rPr>
                <w:rFonts w:ascii="Arial" w:hAnsi="Arial" w:cs="Arial"/>
                <w:sz w:val="18"/>
                <w:szCs w:val="18"/>
              </w:rPr>
            </w:pPr>
            <w:r w:rsidRPr="006B181C">
              <w:rPr>
                <w:rFonts w:ascii="Arial" w:hAnsi="Arial" w:cs="Arial"/>
                <w:sz w:val="18"/>
                <w:szCs w:val="18"/>
              </w:rPr>
              <w:t>(1)</w:t>
            </w:r>
          </w:p>
        </w:tc>
      </w:tr>
    </w:tbl>
    <w:p w:rsidR="00BF011E" w:rsidRPr="006B181C" w:rsidRDefault="00BF011E" w:rsidP="00BF011E">
      <w:pPr>
        <w:widowControl/>
        <w:spacing w:line="240" w:lineRule="auto"/>
        <w:ind w:firstLine="31680"/>
        <w:rPr>
          <w:rFonts w:ascii="Arial" w:hAnsi="Arial" w:cs="Arial"/>
          <w:sz w:val="18"/>
          <w:szCs w:val="18"/>
        </w:rPr>
      </w:pPr>
      <w:r w:rsidRPr="006B181C">
        <w:rPr>
          <w:rFonts w:ascii="Arial" w:hAnsi="Arial" w:cs="Arial"/>
          <w:sz w:val="18"/>
          <w:szCs w:val="18"/>
        </w:rPr>
        <w:t xml:space="preserve">where Pre is precipitation, AET is actual evapotranspiration, and Q is actual runoff (surface water flow); </w:t>
      </w:r>
      <w:r w:rsidRPr="00153826">
        <w:rPr>
          <w:rFonts w:ascii="Arial" w:hAnsi="Arial" w:cs="Arial"/>
          <w:position w:val="-6"/>
          <w:sz w:val="18"/>
          <w:szCs w:val="18"/>
        </w:rPr>
        <w:pict>
          <v:shape id="_x0000_i1026" type="#_x0000_t75" style="width:27.75pt;height:10.5pt">
            <v:imagedata r:id="rId7" o:title=""/>
          </v:shape>
        </w:pict>
      </w:r>
      <w:r w:rsidRPr="006B181C">
        <w:rPr>
          <w:rFonts w:ascii="Arial" w:hAnsi="Arial" w:cs="Arial"/>
          <w:sz w:val="18"/>
          <w:szCs w:val="18"/>
        </w:rPr>
        <w:t>is the change in soil water storage. We assume that all storage changes in a time step occur on soil moisture, and by adjusting equation (1), the storage regulated runoff Q' is:</w:t>
      </w:r>
    </w:p>
    <w:tbl>
      <w:tblPr>
        <w:tblW w:w="0" w:type="auto"/>
        <w:tblInd w:w="-106" w:type="dxa"/>
        <w:tblLook w:val="00A0"/>
      </w:tblPr>
      <w:tblGrid>
        <w:gridCol w:w="7341"/>
        <w:gridCol w:w="965"/>
      </w:tblGrid>
      <w:tr w:rsidR="00BF011E" w:rsidRPr="006B181C">
        <w:tc>
          <w:tcPr>
            <w:tcW w:w="7341" w:type="dxa"/>
            <w:vAlign w:val="center"/>
          </w:tcPr>
          <w:p w:rsidR="00BF011E" w:rsidRPr="006B181C" w:rsidRDefault="00BF011E" w:rsidP="00BF011E">
            <w:pPr>
              <w:spacing w:line="240" w:lineRule="auto"/>
              <w:ind w:firstLine="31680"/>
              <w:rPr>
                <w:rFonts w:ascii="Arial" w:hAnsi="Arial" w:cs="Arial"/>
                <w:sz w:val="18"/>
                <w:szCs w:val="18"/>
              </w:rPr>
            </w:pPr>
            <w:r w:rsidRPr="00153826">
              <w:rPr>
                <w:rFonts w:ascii="Arial" w:hAnsi="Arial" w:cs="Arial"/>
                <w:position w:val="-10"/>
                <w:sz w:val="18"/>
                <w:szCs w:val="18"/>
              </w:rPr>
              <w:pict>
                <v:shape id="_x0000_i1027" type="#_x0000_t75" style="width:120.75pt;height:12.75pt">
                  <v:imagedata r:id="rId8" o:title=""/>
                </v:shape>
              </w:pict>
            </w:r>
          </w:p>
        </w:tc>
        <w:tc>
          <w:tcPr>
            <w:tcW w:w="965" w:type="dxa"/>
            <w:vAlign w:val="center"/>
          </w:tcPr>
          <w:p w:rsidR="00BF011E" w:rsidRPr="006B181C" w:rsidRDefault="00BF011E" w:rsidP="00BF011E">
            <w:pPr>
              <w:spacing w:line="240" w:lineRule="auto"/>
              <w:ind w:firstLine="31680"/>
              <w:rPr>
                <w:rFonts w:ascii="Arial" w:hAnsi="Arial" w:cs="Arial"/>
                <w:sz w:val="18"/>
                <w:szCs w:val="18"/>
              </w:rPr>
            </w:pPr>
            <w:r w:rsidRPr="006B181C">
              <w:rPr>
                <w:rFonts w:ascii="Arial" w:hAnsi="Arial" w:cs="Arial"/>
                <w:sz w:val="18"/>
                <w:szCs w:val="18"/>
              </w:rPr>
              <w:t>(2)</w:t>
            </w:r>
          </w:p>
        </w:tc>
      </w:tr>
    </w:tbl>
    <w:p w:rsidR="00BF011E" w:rsidRPr="006B181C" w:rsidRDefault="00BF011E" w:rsidP="00BF011E">
      <w:pPr>
        <w:widowControl/>
        <w:spacing w:line="240" w:lineRule="auto"/>
        <w:ind w:firstLine="31680"/>
        <w:rPr>
          <w:rFonts w:ascii="Arial" w:hAnsi="Arial" w:cs="Arial"/>
          <w:sz w:val="18"/>
          <w:szCs w:val="18"/>
        </w:rPr>
      </w:pPr>
      <w:r w:rsidRPr="006B181C">
        <w:rPr>
          <w:rFonts w:ascii="Arial" w:hAnsi="Arial" w:cs="Arial"/>
          <w:sz w:val="18"/>
          <w:szCs w:val="18"/>
        </w:rPr>
        <w:t xml:space="preserve">where Q is always greater than or equal to 0. When AET exceeds Pre, the excess AET can be compensated by the depletion of soil moisture. Therefore, Q' provides more information about the hydrological response of the unit during dry periods than Q. So, the WCI is expressed as follows (Huntington et al., 2018) </w:t>
      </w:r>
      <w:r w:rsidRPr="006B181C">
        <w:rPr>
          <w:rFonts w:ascii="Arial" w:cs="Arial" w:hint="eastAsia"/>
          <w:sz w:val="18"/>
          <w:szCs w:val="18"/>
        </w:rPr>
        <w:t>：</w:t>
      </w:r>
    </w:p>
    <w:tbl>
      <w:tblPr>
        <w:tblW w:w="0" w:type="auto"/>
        <w:tblInd w:w="-106" w:type="dxa"/>
        <w:tblLook w:val="00A0"/>
      </w:tblPr>
      <w:tblGrid>
        <w:gridCol w:w="7274"/>
        <w:gridCol w:w="1032"/>
      </w:tblGrid>
      <w:tr w:rsidR="00BF011E" w:rsidRPr="006B181C">
        <w:tc>
          <w:tcPr>
            <w:tcW w:w="7274" w:type="dxa"/>
            <w:vAlign w:val="center"/>
          </w:tcPr>
          <w:p w:rsidR="00BF011E" w:rsidRPr="006B181C" w:rsidRDefault="00BF011E" w:rsidP="00BF011E">
            <w:pPr>
              <w:spacing w:line="240" w:lineRule="auto"/>
              <w:ind w:firstLine="31680"/>
              <w:rPr>
                <w:rFonts w:ascii="Arial" w:hAnsi="Arial" w:cs="Arial"/>
                <w:sz w:val="18"/>
                <w:szCs w:val="18"/>
              </w:rPr>
            </w:pPr>
            <w:r w:rsidRPr="00153826">
              <w:rPr>
                <w:rFonts w:ascii="Arial" w:hAnsi="Arial" w:cs="Arial"/>
                <w:position w:val="-6"/>
                <w:sz w:val="18"/>
                <w:szCs w:val="18"/>
              </w:rPr>
              <w:pict>
                <v:shape id="_x0000_i1028" type="#_x0000_t75" style="width:75.75pt;height:9pt">
                  <v:imagedata r:id="rId9" o:title=""/>
                </v:shape>
              </w:pict>
            </w:r>
          </w:p>
        </w:tc>
        <w:tc>
          <w:tcPr>
            <w:tcW w:w="1032" w:type="dxa"/>
            <w:vAlign w:val="center"/>
          </w:tcPr>
          <w:p w:rsidR="00BF011E" w:rsidRPr="006B181C" w:rsidRDefault="00BF011E" w:rsidP="00BF011E">
            <w:pPr>
              <w:spacing w:line="240" w:lineRule="auto"/>
              <w:ind w:firstLine="31680"/>
              <w:rPr>
                <w:rFonts w:ascii="Arial" w:hAnsi="Arial" w:cs="Arial"/>
                <w:sz w:val="18"/>
                <w:szCs w:val="18"/>
              </w:rPr>
            </w:pPr>
            <w:r w:rsidRPr="006B181C">
              <w:rPr>
                <w:rFonts w:ascii="Arial" w:hAnsi="Arial" w:cs="Arial"/>
                <w:sz w:val="18"/>
                <w:szCs w:val="18"/>
              </w:rPr>
              <w:t>(3)</w:t>
            </w:r>
          </w:p>
        </w:tc>
      </w:tr>
    </w:tbl>
    <w:p w:rsidR="00BF011E" w:rsidRDefault="00BF011E" w:rsidP="00BF011E">
      <w:pPr>
        <w:widowControl/>
        <w:spacing w:line="240" w:lineRule="auto"/>
        <w:ind w:firstLine="31680"/>
        <w:rPr>
          <w:rFonts w:ascii="Arial" w:hAnsi="Arial" w:cs="Arial"/>
          <w:sz w:val="18"/>
          <w:szCs w:val="18"/>
        </w:rPr>
      </w:pPr>
      <w:r w:rsidRPr="006B181C">
        <w:rPr>
          <w:rFonts w:ascii="Arial" w:hAnsi="Arial" w:cs="Arial"/>
          <w:sz w:val="18"/>
          <w:szCs w:val="18"/>
        </w:rPr>
        <w:t>where WCI applies to Pre and AET observations and simulations values at any spatiotemporal scale (Huntington et al., 2018). Q' quantifies the difference between the two components of the hydrological cycle, while WCI quantifies their sum. This enables a coupled graphical representation of the overall response of the hydrologic cycle to climate change in the study area (Fig. S1).</w:t>
      </w:r>
    </w:p>
    <w:p w:rsidR="00BF011E" w:rsidRPr="006B181C" w:rsidRDefault="00BF011E" w:rsidP="00E56D7F">
      <w:pPr>
        <w:widowControl/>
        <w:spacing w:line="240" w:lineRule="auto"/>
        <w:ind w:firstLine="31680"/>
        <w:rPr>
          <w:rFonts w:ascii="Arial" w:hAnsi="Arial" w:cs="Arial"/>
          <w:sz w:val="18"/>
          <w:szCs w:val="18"/>
        </w:rPr>
      </w:pPr>
    </w:p>
    <w:p w:rsidR="00BF011E" w:rsidRPr="00D02FF9" w:rsidRDefault="00BF011E" w:rsidP="00D02FF9">
      <w:pPr>
        <w:spacing w:line="240" w:lineRule="auto"/>
        <w:ind w:firstLineChars="0" w:firstLine="0"/>
        <w:jc w:val="center"/>
      </w:pPr>
      <w:r>
        <w:pict>
          <v:shape id="_x0000_i1029" type="#_x0000_t75" style="width:284.25pt;height:276.75pt">
            <v:imagedata r:id="rId10" o:title=""/>
          </v:shape>
        </w:pict>
      </w:r>
    </w:p>
    <w:p w:rsidR="00BF011E" w:rsidRPr="006B181C" w:rsidRDefault="00BF011E" w:rsidP="006B181C">
      <w:pPr>
        <w:pStyle w:val="Caption"/>
        <w:spacing w:line="240" w:lineRule="auto"/>
        <w:ind w:firstLineChars="0" w:firstLine="0"/>
        <w:rPr>
          <w:rFonts w:ascii="Arial" w:hAnsi="Arial" w:cs="Arial"/>
          <w:sz w:val="15"/>
          <w:szCs w:val="15"/>
        </w:rPr>
      </w:pPr>
      <w:r w:rsidRPr="006B181C">
        <w:rPr>
          <w:rFonts w:ascii="Arial" w:hAnsi="Arial" w:cs="Arial"/>
          <w:sz w:val="15"/>
          <w:szCs w:val="15"/>
        </w:rPr>
        <w:t>Figure S</w:t>
      </w:r>
      <w:r w:rsidRPr="006B181C">
        <w:rPr>
          <w:rFonts w:ascii="Arial" w:hAnsi="Arial" w:cs="Arial"/>
          <w:noProof/>
          <w:sz w:val="15"/>
          <w:szCs w:val="15"/>
        </w:rPr>
        <w:t>1.</w:t>
      </w:r>
      <w:r w:rsidRPr="006B181C">
        <w:rPr>
          <w:rFonts w:ascii="Arial" w:hAnsi="Arial" w:cs="Arial"/>
          <w:sz w:val="15"/>
          <w:szCs w:val="15"/>
        </w:rPr>
        <w:t xml:space="preserve"> The regional hydrological cycle status in the Pre―AET space. Vectors represent changes in the hydrologic cycle. The blue and red dashed lines indicate the equivalents of Q' and WCI, respectively, and the movement of these lines (blue vector/red vector) describes the changes in hydrologic cycle storage/water cycle intensity. The complementary relationship between ΔQ' and ΔWCI contributes to a more in-depth understanding of hydrologic response to climate change. For example, climate changes in ΔPre and ΔAET will cause changes in regional Q' and WCI (Huntington et al., 2018).</w:t>
      </w:r>
    </w:p>
    <w:p w:rsidR="00BF011E" w:rsidRPr="006B181C" w:rsidRDefault="00BF011E" w:rsidP="00E56D7F">
      <w:pPr>
        <w:widowControl/>
        <w:spacing w:line="240" w:lineRule="auto"/>
        <w:ind w:firstLine="31680"/>
        <w:jc w:val="left"/>
        <w:rPr>
          <w:rFonts w:ascii="Arial" w:hAnsi="Arial" w:cs="Arial"/>
          <w:sz w:val="18"/>
          <w:szCs w:val="18"/>
        </w:rPr>
      </w:pPr>
      <w:r w:rsidRPr="006B181C">
        <w:rPr>
          <w:rFonts w:ascii="Arial" w:hAnsi="Arial" w:cs="Arial"/>
          <w:sz w:val="18"/>
          <w:szCs w:val="18"/>
        </w:rPr>
        <w:br w:type="page"/>
      </w:r>
    </w:p>
    <w:p w:rsidR="00BF011E" w:rsidRPr="006B181C" w:rsidRDefault="00BF011E" w:rsidP="006B181C">
      <w:pPr>
        <w:spacing w:line="240" w:lineRule="auto"/>
        <w:ind w:firstLineChars="0" w:firstLine="0"/>
        <w:rPr>
          <w:rFonts w:ascii="Arial" w:hAnsi="Arial" w:cs="Arial"/>
          <w:b/>
          <w:bCs/>
          <w:sz w:val="18"/>
          <w:szCs w:val="18"/>
        </w:rPr>
      </w:pPr>
      <w:r w:rsidRPr="006B181C">
        <w:rPr>
          <w:rFonts w:ascii="Arial" w:hAnsi="Arial" w:cs="Arial"/>
          <w:b/>
          <w:bCs/>
          <w:sz w:val="18"/>
          <w:szCs w:val="18"/>
        </w:rPr>
        <w:t>Text S2 Theil-Sen median analysis and Mann–Kendall significance test</w:t>
      </w:r>
    </w:p>
    <w:p w:rsidR="00BF011E" w:rsidRPr="006B181C" w:rsidRDefault="00BF011E" w:rsidP="00E56D7F">
      <w:pPr>
        <w:widowControl/>
        <w:spacing w:line="240" w:lineRule="auto"/>
        <w:ind w:firstLine="31680"/>
        <w:jc w:val="left"/>
        <w:rPr>
          <w:rFonts w:ascii="Arial" w:hAnsi="Arial" w:cs="Arial"/>
          <w:sz w:val="18"/>
          <w:szCs w:val="18"/>
        </w:rPr>
      </w:pPr>
      <w:r w:rsidRPr="006B181C">
        <w:rPr>
          <w:rFonts w:ascii="Arial" w:hAnsi="Arial" w:cs="Arial"/>
          <w:sz w:val="18"/>
          <w:szCs w:val="18"/>
        </w:rPr>
        <w:t>Theil-Sen median analysis is a robust nonparametric statistical estimator (Sen, 1968) that is widely applied to estimate the changing rate of long-term series data. This method does not require the data to follow a certain distribution and is not affected by small outliers and missing values. The calculation formula is as follows:</w:t>
      </w:r>
    </w:p>
    <w:tbl>
      <w:tblPr>
        <w:tblW w:w="0" w:type="auto"/>
        <w:tblInd w:w="-106" w:type="dxa"/>
        <w:tblLook w:val="00A0"/>
      </w:tblPr>
      <w:tblGrid>
        <w:gridCol w:w="7757"/>
        <w:gridCol w:w="765"/>
      </w:tblGrid>
      <w:tr w:rsidR="00BF011E" w:rsidRPr="006B181C">
        <w:tc>
          <w:tcPr>
            <w:tcW w:w="7757" w:type="dxa"/>
          </w:tcPr>
          <w:p w:rsidR="00BF011E" w:rsidRPr="006B181C" w:rsidRDefault="00BF011E" w:rsidP="006B181C">
            <w:pPr>
              <w:spacing w:line="240" w:lineRule="auto"/>
              <w:ind w:firstLineChars="0" w:firstLine="0"/>
              <w:rPr>
                <w:rFonts w:ascii="Arial" w:hAnsi="Arial" w:cs="Arial"/>
                <w:sz w:val="18"/>
                <w:szCs w:val="18"/>
              </w:rPr>
            </w:pPr>
            <w:r w:rsidRPr="00153826">
              <w:rPr>
                <w:rFonts w:ascii="Arial" w:hAnsi="Arial" w:cs="Arial"/>
                <w:position w:val="-22"/>
                <w:sz w:val="18"/>
                <w:szCs w:val="18"/>
              </w:rPr>
              <w:pict>
                <v:shape id="_x0000_i1030" type="#_x0000_t75" style="width:118.5pt;height:26.25pt">
                  <v:imagedata r:id="rId11" o:title=""/>
                </v:shape>
              </w:pict>
            </w:r>
          </w:p>
        </w:tc>
        <w:tc>
          <w:tcPr>
            <w:tcW w:w="765" w:type="dxa"/>
          </w:tcPr>
          <w:p w:rsidR="00BF011E" w:rsidRPr="006B181C" w:rsidRDefault="00BF011E" w:rsidP="006B181C">
            <w:pPr>
              <w:spacing w:line="240" w:lineRule="auto"/>
              <w:ind w:firstLineChars="0" w:firstLine="0"/>
              <w:rPr>
                <w:rFonts w:ascii="Arial" w:hAnsi="Arial" w:cs="Arial"/>
                <w:sz w:val="18"/>
                <w:szCs w:val="18"/>
              </w:rPr>
            </w:pPr>
            <w:r w:rsidRPr="006B181C">
              <w:rPr>
                <w:rFonts w:ascii="Arial" w:hAnsi="Arial" w:cs="Arial"/>
                <w:sz w:val="18"/>
                <w:szCs w:val="18"/>
              </w:rPr>
              <w:t>(4)</w:t>
            </w:r>
          </w:p>
        </w:tc>
      </w:tr>
    </w:tbl>
    <w:p w:rsidR="00BF011E" w:rsidRPr="006B181C" w:rsidRDefault="00BF011E" w:rsidP="00BF011E">
      <w:pPr>
        <w:spacing w:line="240" w:lineRule="auto"/>
        <w:ind w:firstLine="31680"/>
        <w:rPr>
          <w:rFonts w:ascii="Arial" w:hAnsi="Arial" w:cs="Arial"/>
          <w:sz w:val="18"/>
          <w:szCs w:val="18"/>
        </w:rPr>
      </w:pPr>
      <w:r w:rsidRPr="006B181C">
        <w:rPr>
          <w:rFonts w:ascii="Arial" w:hAnsi="Arial" w:cs="Arial"/>
          <w:color w:val="1F1F1F"/>
          <w:sz w:val="18"/>
          <w:szCs w:val="18"/>
        </w:rPr>
        <w:t>where</w:t>
      </w:r>
      <w:r w:rsidRPr="00153826">
        <w:rPr>
          <w:rFonts w:ascii="Arial" w:hAnsi="Arial" w:cs="Arial"/>
          <w:position w:val="-10"/>
          <w:sz w:val="18"/>
          <w:szCs w:val="18"/>
        </w:rPr>
        <w:pict>
          <v:shape id="_x0000_i1031" type="#_x0000_t75" style="width:9pt;height:10.5pt">
            <v:imagedata r:id="rId12" o:title=""/>
          </v:shape>
        </w:pict>
      </w:r>
      <w:r w:rsidRPr="006B181C">
        <w:rPr>
          <w:rFonts w:ascii="Arial" w:hAnsi="Arial" w:cs="Arial"/>
          <w:color w:val="1F1F1F"/>
          <w:sz w:val="18"/>
          <w:szCs w:val="18"/>
        </w:rPr>
        <w:t xml:space="preserve">is the changing rate of WCI for the study period. </w:t>
      </w:r>
      <w:r w:rsidRPr="006B181C">
        <w:rPr>
          <w:rFonts w:ascii="Arial" w:hAnsi="Arial" w:cs="Arial"/>
          <w:sz w:val="18"/>
          <w:szCs w:val="18"/>
        </w:rPr>
        <w:t xml:space="preserve">where </w:t>
      </w:r>
      <w:r w:rsidRPr="006B181C">
        <w:rPr>
          <w:rFonts w:ascii="Cambria Math" w:hAnsi="Cambria Math" w:cs="Cambria Math"/>
          <w:sz w:val="18"/>
          <w:szCs w:val="18"/>
        </w:rPr>
        <w:t>𝑥</w:t>
      </w:r>
      <w:r w:rsidRPr="006B181C">
        <w:rPr>
          <w:rFonts w:ascii="Cambria Math" w:hAnsi="Cambria Math" w:cs="Cambria Math"/>
          <w:sz w:val="18"/>
          <w:szCs w:val="18"/>
          <w:vertAlign w:val="subscript"/>
        </w:rPr>
        <w:t>𝑚</w:t>
      </w:r>
      <w:r w:rsidRPr="006B181C">
        <w:rPr>
          <w:rFonts w:ascii="Arial" w:hAnsi="Arial" w:cs="Arial"/>
          <w:sz w:val="18"/>
          <w:szCs w:val="18"/>
        </w:rPr>
        <w:t xml:space="preserve"> and </w:t>
      </w:r>
      <w:r w:rsidRPr="006B181C">
        <w:rPr>
          <w:rFonts w:ascii="Cambria Math" w:hAnsi="Cambria Math" w:cs="Cambria Math"/>
          <w:sz w:val="18"/>
          <w:szCs w:val="18"/>
        </w:rPr>
        <w:t>𝑥</w:t>
      </w:r>
      <w:r w:rsidRPr="006B181C">
        <w:rPr>
          <w:rFonts w:ascii="Cambria Math" w:hAnsi="Cambria Math" w:cs="Cambria Math"/>
          <w:sz w:val="18"/>
          <w:szCs w:val="18"/>
          <w:vertAlign w:val="subscript"/>
        </w:rPr>
        <w:t>𝑛</w:t>
      </w:r>
      <w:r w:rsidRPr="006B181C">
        <w:rPr>
          <w:rFonts w:ascii="Arial" w:hAnsi="Arial" w:cs="Arial"/>
          <w:sz w:val="18"/>
          <w:szCs w:val="18"/>
        </w:rPr>
        <w:t xml:space="preserve"> show the time series of WCI in months m and n, respectively.</w:t>
      </w:r>
    </w:p>
    <w:p w:rsidR="00BF011E" w:rsidRPr="006B181C" w:rsidRDefault="00BF011E" w:rsidP="00E56D7F">
      <w:pPr>
        <w:spacing w:line="240" w:lineRule="auto"/>
        <w:ind w:firstLine="31680"/>
        <w:rPr>
          <w:rFonts w:ascii="Arial" w:hAnsi="Arial" w:cs="Arial"/>
          <w:sz w:val="18"/>
          <w:szCs w:val="18"/>
        </w:rPr>
      </w:pPr>
      <w:r w:rsidRPr="006B181C">
        <w:rPr>
          <w:rFonts w:ascii="Arial" w:hAnsi="Arial" w:cs="Arial"/>
          <w:sz w:val="18"/>
          <w:szCs w:val="18"/>
        </w:rPr>
        <w:t>The Mann–Kendall significance test, which is a nonparametric and rank-based test, is defined as follows:</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425"/>
        <w:gridCol w:w="881"/>
      </w:tblGrid>
      <w:tr w:rsidR="00BF011E" w:rsidRPr="006B181C">
        <w:tc>
          <w:tcPr>
            <w:tcW w:w="7425" w:type="dxa"/>
            <w:tcBorders>
              <w:top w:val="nil"/>
              <w:left w:val="nil"/>
              <w:bottom w:val="nil"/>
              <w:right w:val="nil"/>
            </w:tcBorders>
            <w:vAlign w:val="center"/>
          </w:tcPr>
          <w:p w:rsidR="00BF011E" w:rsidRPr="006B181C" w:rsidRDefault="00BF011E" w:rsidP="00BF011E">
            <w:pPr>
              <w:spacing w:line="240" w:lineRule="auto"/>
              <w:ind w:firstLine="31680"/>
              <w:rPr>
                <w:rFonts w:ascii="Arial" w:hAnsi="Arial" w:cs="Arial"/>
                <w:sz w:val="18"/>
                <w:szCs w:val="18"/>
              </w:rPr>
            </w:pPr>
            <w:r w:rsidRPr="00153826">
              <w:rPr>
                <w:rFonts w:ascii="Arial" w:hAnsi="Arial" w:cs="Arial"/>
                <w:position w:val="-74"/>
                <w:sz w:val="18"/>
                <w:szCs w:val="18"/>
              </w:rPr>
              <w:pict>
                <v:shape id="_x0000_i1032" type="#_x0000_t75" style="width:105.75pt;height:78pt">
                  <v:imagedata r:id="rId13" o:title=""/>
                </v:shape>
              </w:pict>
            </w:r>
          </w:p>
        </w:tc>
        <w:tc>
          <w:tcPr>
            <w:tcW w:w="881" w:type="dxa"/>
            <w:tcBorders>
              <w:top w:val="nil"/>
              <w:left w:val="nil"/>
              <w:bottom w:val="nil"/>
              <w:right w:val="nil"/>
            </w:tcBorders>
            <w:vAlign w:val="center"/>
          </w:tcPr>
          <w:p w:rsidR="00BF011E" w:rsidRPr="006B181C" w:rsidRDefault="00BF011E" w:rsidP="00BF011E">
            <w:pPr>
              <w:spacing w:line="240" w:lineRule="auto"/>
              <w:ind w:firstLine="31680"/>
              <w:jc w:val="center"/>
              <w:rPr>
                <w:rFonts w:ascii="Arial" w:hAnsi="Arial" w:cs="Arial"/>
                <w:sz w:val="18"/>
                <w:szCs w:val="18"/>
              </w:rPr>
            </w:pPr>
            <w:r w:rsidRPr="006B181C">
              <w:rPr>
                <w:rFonts w:ascii="Arial" w:hAnsi="Arial" w:cs="Arial"/>
                <w:sz w:val="18"/>
                <w:szCs w:val="18"/>
              </w:rPr>
              <w:t>(5)</w:t>
            </w:r>
          </w:p>
        </w:tc>
      </w:tr>
      <w:tr w:rsidR="00BF011E" w:rsidRPr="006B181C">
        <w:tc>
          <w:tcPr>
            <w:tcW w:w="7425" w:type="dxa"/>
            <w:tcBorders>
              <w:top w:val="nil"/>
              <w:left w:val="nil"/>
              <w:bottom w:val="nil"/>
              <w:right w:val="nil"/>
            </w:tcBorders>
            <w:vAlign w:val="center"/>
          </w:tcPr>
          <w:p w:rsidR="00BF011E" w:rsidRPr="006B181C" w:rsidRDefault="00BF011E" w:rsidP="00BF011E">
            <w:pPr>
              <w:spacing w:line="240" w:lineRule="auto"/>
              <w:ind w:firstLine="31680"/>
              <w:rPr>
                <w:rFonts w:ascii="Arial" w:hAnsi="Arial" w:cs="Arial"/>
                <w:sz w:val="18"/>
                <w:szCs w:val="18"/>
              </w:rPr>
            </w:pPr>
            <w:r w:rsidRPr="00153826">
              <w:rPr>
                <w:rFonts w:ascii="Arial" w:hAnsi="Arial" w:cs="Arial"/>
                <w:position w:val="-26"/>
                <w:sz w:val="18"/>
                <w:szCs w:val="18"/>
              </w:rPr>
              <w:pict>
                <v:shape id="_x0000_i1033" type="#_x0000_t75" style="width:97.5pt;height:26.25pt">
                  <v:imagedata r:id="rId14" o:title=""/>
                </v:shape>
              </w:pict>
            </w:r>
          </w:p>
        </w:tc>
        <w:tc>
          <w:tcPr>
            <w:tcW w:w="881" w:type="dxa"/>
            <w:tcBorders>
              <w:top w:val="nil"/>
              <w:left w:val="nil"/>
              <w:bottom w:val="nil"/>
              <w:right w:val="nil"/>
            </w:tcBorders>
            <w:vAlign w:val="center"/>
          </w:tcPr>
          <w:p w:rsidR="00BF011E" w:rsidRPr="006B181C" w:rsidRDefault="00BF011E" w:rsidP="00BF011E">
            <w:pPr>
              <w:spacing w:line="240" w:lineRule="auto"/>
              <w:ind w:firstLine="31680"/>
              <w:jc w:val="center"/>
              <w:rPr>
                <w:rFonts w:ascii="Arial" w:hAnsi="Arial" w:cs="Arial"/>
                <w:sz w:val="18"/>
                <w:szCs w:val="18"/>
              </w:rPr>
            </w:pPr>
            <w:r w:rsidRPr="006B181C">
              <w:rPr>
                <w:rFonts w:ascii="Arial" w:hAnsi="Arial" w:cs="Arial"/>
                <w:sz w:val="18"/>
                <w:szCs w:val="18"/>
              </w:rPr>
              <w:t>(6)</w:t>
            </w:r>
          </w:p>
        </w:tc>
      </w:tr>
      <w:tr w:rsidR="00BF011E" w:rsidRPr="006B181C">
        <w:tc>
          <w:tcPr>
            <w:tcW w:w="7425" w:type="dxa"/>
            <w:tcBorders>
              <w:top w:val="nil"/>
              <w:left w:val="nil"/>
              <w:bottom w:val="nil"/>
              <w:right w:val="nil"/>
            </w:tcBorders>
            <w:vAlign w:val="center"/>
          </w:tcPr>
          <w:p w:rsidR="00BF011E" w:rsidRPr="006B181C" w:rsidRDefault="00BF011E" w:rsidP="00BF011E">
            <w:pPr>
              <w:spacing w:line="240" w:lineRule="auto"/>
              <w:ind w:firstLine="31680"/>
              <w:rPr>
                <w:rFonts w:ascii="Arial" w:hAnsi="Arial" w:cs="Arial"/>
                <w:sz w:val="18"/>
                <w:szCs w:val="18"/>
              </w:rPr>
            </w:pPr>
            <w:r w:rsidRPr="00153826">
              <w:rPr>
                <w:rFonts w:ascii="Arial" w:hAnsi="Arial" w:cs="Arial"/>
                <w:position w:val="-22"/>
                <w:sz w:val="18"/>
                <w:szCs w:val="18"/>
              </w:rPr>
              <w:pict>
                <v:shape id="_x0000_i1034" type="#_x0000_t75" style="width:101.25pt;height:26.25pt">
                  <v:imagedata r:id="rId15" o:title=""/>
                </v:shape>
              </w:pict>
            </w:r>
          </w:p>
        </w:tc>
        <w:tc>
          <w:tcPr>
            <w:tcW w:w="881" w:type="dxa"/>
            <w:tcBorders>
              <w:top w:val="nil"/>
              <w:left w:val="nil"/>
              <w:bottom w:val="nil"/>
              <w:right w:val="nil"/>
            </w:tcBorders>
            <w:vAlign w:val="center"/>
          </w:tcPr>
          <w:p w:rsidR="00BF011E" w:rsidRPr="006B181C" w:rsidRDefault="00BF011E" w:rsidP="00BF011E">
            <w:pPr>
              <w:spacing w:line="240" w:lineRule="auto"/>
              <w:ind w:firstLine="31680"/>
              <w:jc w:val="center"/>
              <w:rPr>
                <w:rFonts w:ascii="Arial" w:hAnsi="Arial" w:cs="Arial"/>
                <w:sz w:val="18"/>
                <w:szCs w:val="18"/>
              </w:rPr>
            </w:pPr>
            <w:r w:rsidRPr="006B181C">
              <w:rPr>
                <w:rFonts w:ascii="Arial" w:hAnsi="Arial" w:cs="Arial"/>
                <w:sz w:val="18"/>
                <w:szCs w:val="18"/>
              </w:rPr>
              <w:t>(7)</w:t>
            </w:r>
          </w:p>
        </w:tc>
      </w:tr>
      <w:tr w:rsidR="00BF011E" w:rsidRPr="006B181C">
        <w:tc>
          <w:tcPr>
            <w:tcW w:w="7425" w:type="dxa"/>
            <w:tcBorders>
              <w:top w:val="nil"/>
              <w:left w:val="nil"/>
              <w:bottom w:val="nil"/>
              <w:right w:val="nil"/>
            </w:tcBorders>
            <w:vAlign w:val="center"/>
          </w:tcPr>
          <w:p w:rsidR="00BF011E" w:rsidRPr="006B181C" w:rsidRDefault="00BF011E" w:rsidP="00BF011E">
            <w:pPr>
              <w:spacing w:line="240" w:lineRule="auto"/>
              <w:ind w:firstLine="31680"/>
              <w:rPr>
                <w:rFonts w:ascii="Arial" w:hAnsi="Arial" w:cs="Arial"/>
                <w:sz w:val="18"/>
                <w:szCs w:val="18"/>
              </w:rPr>
            </w:pPr>
            <w:r w:rsidRPr="00153826">
              <w:rPr>
                <w:rFonts w:ascii="Arial" w:hAnsi="Arial" w:cs="Arial"/>
                <w:position w:val="-48"/>
                <w:sz w:val="18"/>
                <w:szCs w:val="18"/>
              </w:rPr>
              <w:pict>
                <v:shape id="_x0000_i1035" type="#_x0000_t75" style="width:138pt;height:51.75pt">
                  <v:imagedata r:id="rId16" o:title=""/>
                </v:shape>
              </w:pict>
            </w:r>
          </w:p>
        </w:tc>
        <w:tc>
          <w:tcPr>
            <w:tcW w:w="881" w:type="dxa"/>
            <w:tcBorders>
              <w:top w:val="nil"/>
              <w:left w:val="nil"/>
              <w:bottom w:val="nil"/>
              <w:right w:val="nil"/>
            </w:tcBorders>
            <w:vAlign w:val="center"/>
          </w:tcPr>
          <w:p w:rsidR="00BF011E" w:rsidRPr="006B181C" w:rsidRDefault="00BF011E" w:rsidP="00BF011E">
            <w:pPr>
              <w:spacing w:line="240" w:lineRule="auto"/>
              <w:ind w:firstLine="31680"/>
              <w:jc w:val="center"/>
              <w:rPr>
                <w:rFonts w:ascii="Arial" w:hAnsi="Arial" w:cs="Arial"/>
                <w:sz w:val="18"/>
                <w:szCs w:val="18"/>
              </w:rPr>
            </w:pPr>
            <w:r w:rsidRPr="006B181C">
              <w:rPr>
                <w:rFonts w:ascii="Arial" w:hAnsi="Arial" w:cs="Arial"/>
                <w:sz w:val="18"/>
                <w:szCs w:val="18"/>
              </w:rPr>
              <w:t>(8)</w:t>
            </w:r>
          </w:p>
        </w:tc>
      </w:tr>
    </w:tbl>
    <w:p w:rsidR="00BF011E" w:rsidRPr="006B181C" w:rsidRDefault="00BF011E" w:rsidP="00BF011E">
      <w:pPr>
        <w:spacing w:line="240" w:lineRule="auto"/>
        <w:ind w:firstLine="31680"/>
        <w:rPr>
          <w:rFonts w:ascii="Arial" w:hAnsi="Arial" w:cs="Arial"/>
          <w:sz w:val="18"/>
          <w:szCs w:val="18"/>
        </w:rPr>
      </w:pPr>
      <w:r w:rsidRPr="006B181C">
        <w:rPr>
          <w:rFonts w:ascii="Arial" w:hAnsi="Arial" w:cs="Arial"/>
          <w:sz w:val="18"/>
          <w:szCs w:val="18"/>
        </w:rPr>
        <w:t xml:space="preserve">where </w:t>
      </w:r>
      <w:r w:rsidRPr="006B181C">
        <w:rPr>
          <w:rFonts w:ascii="Cambria Math" w:hAnsi="Cambria Math" w:cs="Cambria Math"/>
          <w:sz w:val="18"/>
          <w:szCs w:val="18"/>
        </w:rPr>
        <w:t>𝑥</w:t>
      </w:r>
      <w:r w:rsidRPr="006B181C">
        <w:rPr>
          <w:rFonts w:ascii="Cambria Math" w:hAnsi="Cambria Math" w:cs="Cambria Math"/>
          <w:sz w:val="18"/>
          <w:szCs w:val="18"/>
          <w:vertAlign w:val="subscript"/>
        </w:rPr>
        <w:t>𝑖</w:t>
      </w:r>
      <w:r w:rsidRPr="006B181C">
        <w:rPr>
          <w:rFonts w:ascii="Arial" w:hAnsi="Arial" w:cs="Arial"/>
          <w:sz w:val="18"/>
          <w:szCs w:val="18"/>
        </w:rPr>
        <w:t xml:space="preserve"> and </w:t>
      </w:r>
      <w:r w:rsidRPr="006B181C">
        <w:rPr>
          <w:rFonts w:ascii="Cambria Math" w:hAnsi="Cambria Math" w:cs="Cambria Math"/>
          <w:sz w:val="18"/>
          <w:szCs w:val="18"/>
        </w:rPr>
        <w:t>𝑥</w:t>
      </w:r>
      <w:r w:rsidRPr="006B181C">
        <w:rPr>
          <w:rFonts w:ascii="Cambria Math" w:hAnsi="Cambria Math" w:cs="Cambria Math"/>
          <w:sz w:val="18"/>
          <w:szCs w:val="18"/>
          <w:vertAlign w:val="subscript"/>
        </w:rPr>
        <w:t>𝑗</w:t>
      </w:r>
      <w:r w:rsidRPr="006B181C">
        <w:rPr>
          <w:rFonts w:ascii="Arial" w:hAnsi="Arial" w:cs="Arial"/>
          <w:sz w:val="18"/>
          <w:szCs w:val="18"/>
        </w:rPr>
        <w:t xml:space="preserve"> are the values of WCI in months </w:t>
      </w:r>
      <w:r w:rsidRPr="006B181C">
        <w:rPr>
          <w:rFonts w:ascii="Arial" w:hAnsi="Arial" w:cs="Arial"/>
          <w:i/>
          <w:iCs/>
          <w:sz w:val="18"/>
          <w:szCs w:val="18"/>
        </w:rPr>
        <w:t>i</w:t>
      </w:r>
      <w:r w:rsidRPr="006B181C">
        <w:rPr>
          <w:rFonts w:ascii="Arial" w:hAnsi="Arial" w:cs="Arial"/>
          <w:sz w:val="18"/>
          <w:szCs w:val="18"/>
        </w:rPr>
        <w:t xml:space="preserve"> and </w:t>
      </w:r>
      <w:r w:rsidRPr="006B181C">
        <w:rPr>
          <w:rFonts w:ascii="Arial" w:hAnsi="Arial" w:cs="Arial"/>
          <w:i/>
          <w:iCs/>
          <w:sz w:val="18"/>
          <w:szCs w:val="18"/>
        </w:rPr>
        <w:t>j</w:t>
      </w:r>
      <w:r w:rsidRPr="006B181C">
        <w:rPr>
          <w:rFonts w:ascii="Arial" w:hAnsi="Arial" w:cs="Arial"/>
          <w:sz w:val="18"/>
          <w:szCs w:val="18"/>
        </w:rPr>
        <w:t>, respectively, n is the time length of WCI, sign is the sign function, the S statistic value is equivalent to the Z statistic value of the standard normal test, the 5% significance level is defined |Z|&gt;1.96.</w:t>
      </w:r>
    </w:p>
    <w:p w:rsidR="00BF011E" w:rsidRPr="006B181C" w:rsidRDefault="00BF011E" w:rsidP="00E56D7F">
      <w:pPr>
        <w:widowControl/>
        <w:spacing w:line="240" w:lineRule="auto"/>
        <w:ind w:firstLine="31680"/>
        <w:jc w:val="left"/>
        <w:rPr>
          <w:rFonts w:ascii="Arial" w:hAnsi="Arial" w:cs="Arial"/>
          <w:b/>
          <w:bCs/>
          <w:sz w:val="18"/>
          <w:szCs w:val="18"/>
        </w:rPr>
      </w:pPr>
      <w:r w:rsidRPr="006B181C">
        <w:rPr>
          <w:rFonts w:ascii="Arial" w:hAnsi="Arial" w:cs="Arial"/>
          <w:b/>
          <w:bCs/>
          <w:sz w:val="18"/>
          <w:szCs w:val="18"/>
        </w:rPr>
        <w:br w:type="page"/>
      </w:r>
    </w:p>
    <w:p w:rsidR="00BF011E" w:rsidRPr="006B181C" w:rsidRDefault="00BF011E" w:rsidP="006B181C">
      <w:pPr>
        <w:spacing w:line="240" w:lineRule="auto"/>
        <w:ind w:firstLineChars="0" w:firstLine="0"/>
        <w:rPr>
          <w:rFonts w:ascii="Arial" w:hAnsi="Arial" w:cs="Arial"/>
          <w:b/>
          <w:bCs/>
          <w:sz w:val="18"/>
          <w:szCs w:val="18"/>
        </w:rPr>
      </w:pPr>
      <w:r w:rsidRPr="006B181C">
        <w:rPr>
          <w:rFonts w:ascii="Arial" w:hAnsi="Arial" w:cs="Arial"/>
          <w:b/>
          <w:bCs/>
          <w:sz w:val="18"/>
          <w:szCs w:val="18"/>
        </w:rPr>
        <w:t>Text S3 Changepoint detection by BEAST</w:t>
      </w:r>
    </w:p>
    <w:p w:rsidR="00BF011E" w:rsidRPr="006B181C" w:rsidRDefault="00BF011E" w:rsidP="00E56D7F">
      <w:pPr>
        <w:spacing w:line="240" w:lineRule="auto"/>
        <w:ind w:firstLine="31680"/>
        <w:rPr>
          <w:rFonts w:ascii="Arial" w:hAnsi="Arial" w:cs="Arial"/>
          <w:sz w:val="18"/>
          <w:szCs w:val="18"/>
        </w:rPr>
      </w:pPr>
      <w:bookmarkStart w:id="0" w:name="_Hlk151760054"/>
      <w:r w:rsidRPr="006B181C">
        <w:rPr>
          <w:rFonts w:ascii="Arial" w:hAnsi="Arial" w:cs="Arial"/>
          <w:sz w:val="18"/>
          <w:szCs w:val="18"/>
        </w:rPr>
        <w:t xml:space="preserve">Bayesian Estimation of abrupt change, seasonality and trend (BEAST) model developed by </w:t>
      </w:r>
      <w:r w:rsidRPr="006B181C">
        <w:rPr>
          <w:rFonts w:ascii="Arial" w:hAnsi="Arial" w:cs="Arial"/>
          <w:sz w:val="18"/>
          <w:szCs w:val="18"/>
          <w:lang w:val="da-DK"/>
        </w:rPr>
        <w:t>Zhao et al., (2019)</w:t>
      </w:r>
      <w:r w:rsidRPr="006B181C">
        <w:rPr>
          <w:rFonts w:ascii="Arial" w:hAnsi="Arial" w:cs="Arial"/>
          <w:sz w:val="18"/>
          <w:szCs w:val="18"/>
        </w:rPr>
        <w:t xml:space="preserve"> are used to analyze the time series and identify abrupt points in the time series. BEAST</w:t>
      </w:r>
      <w:r w:rsidRPr="006B181C" w:rsidDel="004D074E">
        <w:rPr>
          <w:rFonts w:ascii="Arial" w:hAnsi="Arial" w:cs="Arial"/>
          <w:sz w:val="18"/>
          <w:szCs w:val="18"/>
        </w:rPr>
        <w:t xml:space="preserve"> decomposes the time series of hydrological cycle elements into several major components: seasonal, trend, and random noise </w:t>
      </w:r>
      <w:r w:rsidRPr="006B181C">
        <w:rPr>
          <w:rFonts w:ascii="Arial" w:hAnsi="Arial" w:cs="Arial"/>
          <w:sz w:val="18"/>
          <w:szCs w:val="18"/>
        </w:rPr>
        <w:t>(White et al., 2021)</w:t>
      </w:r>
      <w:r w:rsidRPr="006B181C" w:rsidDel="004D074E">
        <w:rPr>
          <w:rFonts w:ascii="Arial" w:hAnsi="Arial" w:cs="Arial"/>
          <w:sz w:val="18"/>
          <w:szCs w:val="18"/>
        </w:rPr>
        <w:t xml:space="preserve">. The </w:t>
      </w:r>
      <w:r w:rsidRPr="006B181C">
        <w:rPr>
          <w:rFonts w:ascii="Arial" w:hAnsi="Arial" w:cs="Arial"/>
          <w:sz w:val="18"/>
          <w:szCs w:val="18"/>
        </w:rPr>
        <w:t>BEAST</w:t>
      </w:r>
      <w:r w:rsidRPr="006B181C" w:rsidDel="004D074E">
        <w:rPr>
          <w:rFonts w:ascii="Arial" w:hAnsi="Arial" w:cs="Arial"/>
          <w:sz w:val="18"/>
          <w:szCs w:val="18"/>
        </w:rPr>
        <w:t xml:space="preserve"> model employs Bayesian methods to estimate the number and timing of breakpoints, thereby effectively mitigating issues such as uncertainty, overfitting, and misspecification </w:t>
      </w:r>
      <w:r w:rsidRPr="006B181C">
        <w:rPr>
          <w:rFonts w:ascii="Arial" w:hAnsi="Arial" w:cs="Arial"/>
          <w:sz w:val="18"/>
          <w:szCs w:val="18"/>
        </w:rPr>
        <w:t>(Zhao et al., 2019)</w:t>
      </w:r>
      <w:r w:rsidRPr="006B181C" w:rsidDel="004D074E">
        <w:rPr>
          <w:rFonts w:ascii="Arial" w:hAnsi="Arial" w:cs="Arial"/>
          <w:sz w:val="18"/>
          <w:szCs w:val="18"/>
        </w:rPr>
        <w:t xml:space="preserve">. </w:t>
      </w:r>
      <w:r w:rsidRPr="006B181C">
        <w:rPr>
          <w:rFonts w:ascii="Arial" w:hAnsi="Arial" w:cs="Arial"/>
          <w:sz w:val="18"/>
          <w:szCs w:val="18"/>
        </w:rPr>
        <w:t>The BEAST algorithm is reasonable from a hydrometeorology perspective. This is because hydrological elements do not follow a purely linear pattern but exhibit complex nonlinear patterns (Rezaei and Gurdak, 2020). The model equations are as follows.</w:t>
      </w:r>
      <w:bookmarkEnd w:id="0"/>
    </w:p>
    <w:tbl>
      <w:tblPr>
        <w:tblW w:w="0" w:type="auto"/>
        <w:tblInd w:w="-106" w:type="dxa"/>
        <w:tblLook w:val="00A0"/>
      </w:tblPr>
      <w:tblGrid>
        <w:gridCol w:w="7757"/>
        <w:gridCol w:w="765"/>
      </w:tblGrid>
      <w:tr w:rsidR="00BF011E" w:rsidRPr="006B181C">
        <w:tc>
          <w:tcPr>
            <w:tcW w:w="7757" w:type="dxa"/>
          </w:tcPr>
          <w:p w:rsidR="00BF011E" w:rsidRPr="006B181C" w:rsidRDefault="00BF011E" w:rsidP="006B181C">
            <w:pPr>
              <w:spacing w:line="240" w:lineRule="auto"/>
              <w:ind w:firstLineChars="0" w:firstLine="0"/>
              <w:rPr>
                <w:rFonts w:ascii="Arial" w:hAnsi="Arial" w:cs="Arial"/>
                <w:sz w:val="18"/>
                <w:szCs w:val="18"/>
              </w:rPr>
            </w:pPr>
            <w:r w:rsidRPr="00153826">
              <w:rPr>
                <w:rFonts w:ascii="Arial" w:hAnsi="Arial" w:cs="Arial"/>
                <w:position w:val="-10"/>
                <w:sz w:val="18"/>
                <w:szCs w:val="18"/>
              </w:rPr>
              <w:pict>
                <v:shape id="_x0000_i1036" type="#_x0000_t75" style="width:125.25pt;height:17.25pt">
                  <v:imagedata r:id="rId17" o:title=""/>
                </v:shape>
              </w:pict>
            </w:r>
          </w:p>
        </w:tc>
        <w:tc>
          <w:tcPr>
            <w:tcW w:w="765" w:type="dxa"/>
          </w:tcPr>
          <w:p w:rsidR="00BF011E" w:rsidRPr="006B181C" w:rsidRDefault="00BF011E" w:rsidP="006B181C">
            <w:pPr>
              <w:spacing w:line="240" w:lineRule="auto"/>
              <w:ind w:firstLineChars="0" w:firstLine="0"/>
              <w:rPr>
                <w:rFonts w:ascii="Arial" w:hAnsi="Arial" w:cs="Arial"/>
                <w:sz w:val="18"/>
                <w:szCs w:val="18"/>
              </w:rPr>
            </w:pPr>
            <w:r w:rsidRPr="006B181C">
              <w:rPr>
                <w:rFonts w:ascii="Arial" w:hAnsi="Arial" w:cs="Arial"/>
                <w:sz w:val="18"/>
                <w:szCs w:val="18"/>
              </w:rPr>
              <w:t>(9)</w:t>
            </w:r>
          </w:p>
        </w:tc>
      </w:tr>
    </w:tbl>
    <w:p w:rsidR="00BF011E" w:rsidRPr="006B181C" w:rsidRDefault="00BF011E" w:rsidP="00BF011E">
      <w:pPr>
        <w:spacing w:line="240" w:lineRule="auto"/>
        <w:ind w:firstLine="31680"/>
        <w:rPr>
          <w:rFonts w:ascii="Arial" w:hAnsi="Arial" w:cs="Arial"/>
          <w:sz w:val="18"/>
          <w:szCs w:val="18"/>
        </w:rPr>
      </w:pPr>
      <w:r w:rsidRPr="006B181C">
        <w:rPr>
          <w:rFonts w:ascii="Arial" w:hAnsi="Arial" w:cs="Arial"/>
          <w:sz w:val="18"/>
          <w:szCs w:val="18"/>
        </w:rPr>
        <w:t xml:space="preserve">where </w:t>
      </w:r>
      <w:r w:rsidRPr="00153826">
        <w:rPr>
          <w:rFonts w:ascii="Arial" w:hAnsi="Arial" w:cs="Arial"/>
          <w:position w:val="-10"/>
          <w:sz w:val="18"/>
          <w:szCs w:val="18"/>
        </w:rPr>
        <w:pict>
          <v:shape id="_x0000_i1037" type="#_x0000_t75" style="width:17.25pt;height:17.25pt">
            <v:imagedata r:id="rId18" o:title=""/>
          </v:shape>
        </w:pict>
      </w:r>
      <w:r w:rsidRPr="006B181C">
        <w:rPr>
          <w:rFonts w:ascii="Arial" w:hAnsi="Arial" w:cs="Arial"/>
          <w:sz w:val="18"/>
          <w:szCs w:val="18"/>
        </w:rPr>
        <w:t xml:space="preserve"> and </w:t>
      </w:r>
      <w:r w:rsidRPr="00153826">
        <w:rPr>
          <w:rFonts w:ascii="Arial" w:hAnsi="Arial" w:cs="Arial"/>
          <w:position w:val="-10"/>
          <w:sz w:val="18"/>
          <w:szCs w:val="18"/>
        </w:rPr>
        <w:pict>
          <v:shape id="_x0000_i1038" type="#_x0000_t75" style="width:17.25pt;height:17.25pt">
            <v:imagedata r:id="rId19" o:title=""/>
          </v:shape>
        </w:pict>
      </w:r>
      <w:r w:rsidRPr="006B181C">
        <w:rPr>
          <w:rFonts w:ascii="Arial" w:hAnsi="Arial" w:cs="Arial"/>
          <w:sz w:val="18"/>
          <w:szCs w:val="18"/>
        </w:rPr>
        <w:t xml:space="preserve"> indicate seasonal and trend signals, </w:t>
      </w:r>
      <w:r w:rsidRPr="00153826">
        <w:rPr>
          <w:rFonts w:ascii="Arial" w:hAnsi="Arial" w:cs="Arial"/>
          <w:position w:val="-10"/>
          <w:sz w:val="18"/>
          <w:szCs w:val="18"/>
        </w:rPr>
        <w:pict>
          <v:shape id="_x0000_i1039" type="#_x0000_t75" style="width:9pt;height:17.25pt">
            <v:imagedata r:id="rId20" o:title=""/>
          </v:shape>
        </w:pict>
      </w:r>
      <w:r w:rsidRPr="006B181C">
        <w:rPr>
          <w:rFonts w:ascii="Arial" w:hAnsi="Arial" w:cs="Arial"/>
          <w:sz w:val="18"/>
          <w:szCs w:val="18"/>
        </w:rPr>
        <w:t xml:space="preserve"> represents time. The locations and numbers of the changepoints are hidden and embedded in the seasonal and trend components represented by the parameters </w:t>
      </w:r>
      <w:r w:rsidRPr="00153826">
        <w:rPr>
          <w:rFonts w:ascii="Arial" w:hAnsi="Arial" w:cs="Arial"/>
          <w:position w:val="-10"/>
          <w:sz w:val="18"/>
          <w:szCs w:val="18"/>
        </w:rPr>
        <w:pict>
          <v:shape id="_x0000_i1040" type="#_x0000_t75" style="width:17.25pt;height:17.25pt">
            <v:imagedata r:id="rId21" o:title=""/>
          </v:shape>
        </w:pict>
      </w:r>
      <w:r w:rsidRPr="006B181C">
        <w:rPr>
          <w:rFonts w:ascii="Arial" w:hAnsi="Arial" w:cs="Arial"/>
          <w:sz w:val="18"/>
          <w:szCs w:val="18"/>
        </w:rPr>
        <w:t xml:space="preserve">and </w:t>
      </w:r>
      <w:r w:rsidRPr="00153826">
        <w:rPr>
          <w:rFonts w:ascii="Arial" w:hAnsi="Arial" w:cs="Arial"/>
          <w:position w:val="-10"/>
          <w:sz w:val="18"/>
          <w:szCs w:val="18"/>
        </w:rPr>
        <w:pict>
          <v:shape id="_x0000_i1041" type="#_x0000_t75" style="width:17.25pt;height:17.25pt">
            <v:imagedata r:id="rId22" o:title=""/>
          </v:shape>
        </w:pict>
      </w:r>
      <w:r w:rsidRPr="006B181C">
        <w:rPr>
          <w:rFonts w:ascii="Arial" w:hAnsi="Arial" w:cs="Arial"/>
          <w:sz w:val="18"/>
          <w:szCs w:val="18"/>
        </w:rPr>
        <w:t xml:space="preserve">. </w:t>
      </w:r>
      <w:r w:rsidRPr="00153826">
        <w:rPr>
          <w:rFonts w:ascii="Arial" w:hAnsi="Arial" w:cs="Arial"/>
          <w:position w:val="-6"/>
          <w:sz w:val="18"/>
          <w:szCs w:val="18"/>
        </w:rPr>
        <w:pict>
          <v:shape id="_x0000_i1042" type="#_x0000_t75" style="width:9pt;height:9pt">
            <v:imagedata r:id="rId23" o:title=""/>
          </v:shape>
        </w:pict>
      </w:r>
      <w:r w:rsidRPr="006B181C">
        <w:rPr>
          <w:rFonts w:ascii="Arial" w:hAnsi="Arial" w:cs="Arial"/>
          <w:sz w:val="18"/>
          <w:szCs w:val="18"/>
        </w:rPr>
        <w:t xml:space="preserve"> is the Gaussian random error term </w:t>
      </w:r>
      <w:r w:rsidRPr="00153826">
        <w:rPr>
          <w:rFonts w:ascii="Arial" w:hAnsi="Arial" w:cs="Arial"/>
          <w:position w:val="-10"/>
          <w:sz w:val="18"/>
          <w:szCs w:val="18"/>
        </w:rPr>
        <w:pict>
          <v:shape id="_x0000_i1043" type="#_x0000_t75" style="width:41.25pt;height:17.25pt">
            <v:imagedata r:id="rId24" o:title=""/>
          </v:shape>
        </w:pict>
      </w:r>
      <w:r w:rsidRPr="006B181C">
        <w:rPr>
          <w:rFonts w:ascii="Arial" w:hAnsi="Arial" w:cs="Arial"/>
          <w:sz w:val="18"/>
          <w:szCs w:val="18"/>
        </w:rPr>
        <w:t xml:space="preserve"> for an unknown variance </w:t>
      </w:r>
      <w:r w:rsidRPr="00153826">
        <w:rPr>
          <w:rFonts w:ascii="Arial" w:hAnsi="Arial" w:cs="Arial"/>
          <w:position w:val="-6"/>
          <w:sz w:val="18"/>
          <w:szCs w:val="18"/>
        </w:rPr>
        <w:pict>
          <v:shape id="_x0000_i1044" type="#_x0000_t75" style="width:9pt;height:9pt">
            <v:imagedata r:id="rId25" o:title=""/>
          </v:shape>
        </w:pict>
      </w:r>
      <w:r w:rsidRPr="006B181C">
        <w:rPr>
          <w:rFonts w:ascii="Arial" w:hAnsi="Arial" w:cs="Arial"/>
          <w:sz w:val="18"/>
          <w:szCs w:val="18"/>
        </w:rPr>
        <w:t xml:space="preserve">. The posterior probability distribution of Markov Chain Monte Carlo (MCMC) sampling simulation with unknown parameters </w:t>
      </w:r>
      <w:r w:rsidRPr="00153826">
        <w:rPr>
          <w:rFonts w:ascii="Arial" w:hAnsi="Arial" w:cs="Arial"/>
          <w:position w:val="-10"/>
          <w:sz w:val="18"/>
          <w:szCs w:val="18"/>
        </w:rPr>
        <w:pict>
          <v:shape id="_x0000_i1045" type="#_x0000_t75" style="width:78pt;height:17.25pt">
            <v:imagedata r:id="rId26" o:title=""/>
          </v:shape>
        </w:pict>
      </w:r>
      <w:r w:rsidRPr="006B181C">
        <w:rPr>
          <w:rFonts w:ascii="Arial" w:hAnsi="Arial" w:cs="Arial"/>
          <w:sz w:val="18"/>
          <w:szCs w:val="18"/>
        </w:rPr>
        <w:t xml:space="preserve"> is obtained by using Bayes' theorem (Hu et al., 2021)</w:t>
      </w:r>
      <w:r w:rsidRPr="006B181C">
        <w:rPr>
          <w:rFonts w:ascii="Arial" w:cs="Arial" w:hint="eastAsia"/>
          <w:sz w:val="18"/>
          <w:szCs w:val="18"/>
        </w:rPr>
        <w:t>：</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757"/>
        <w:gridCol w:w="765"/>
      </w:tblGrid>
      <w:tr w:rsidR="00BF011E" w:rsidRPr="006B181C">
        <w:tc>
          <w:tcPr>
            <w:tcW w:w="7757" w:type="dxa"/>
            <w:tcBorders>
              <w:top w:val="nil"/>
              <w:left w:val="nil"/>
              <w:bottom w:val="nil"/>
              <w:right w:val="nil"/>
            </w:tcBorders>
          </w:tcPr>
          <w:p w:rsidR="00BF011E" w:rsidRPr="006B181C" w:rsidRDefault="00BF011E" w:rsidP="006B181C">
            <w:pPr>
              <w:spacing w:line="240" w:lineRule="auto"/>
              <w:ind w:firstLineChars="0" w:firstLine="0"/>
              <w:rPr>
                <w:rFonts w:ascii="Arial" w:hAnsi="Arial" w:cs="Arial"/>
                <w:sz w:val="18"/>
                <w:szCs w:val="18"/>
              </w:rPr>
            </w:pPr>
            <w:r w:rsidRPr="00153826">
              <w:rPr>
                <w:rFonts w:ascii="Arial" w:hAnsi="Arial" w:cs="Arial"/>
                <w:position w:val="-10"/>
                <w:sz w:val="18"/>
                <w:szCs w:val="18"/>
              </w:rPr>
              <w:pict>
                <v:shape id="_x0000_i1046" type="#_x0000_t75" style="width:117pt;height:17.25pt">
                  <v:imagedata r:id="rId27" o:title=""/>
                </v:shape>
              </w:pict>
            </w:r>
          </w:p>
        </w:tc>
        <w:tc>
          <w:tcPr>
            <w:tcW w:w="765" w:type="dxa"/>
            <w:tcBorders>
              <w:top w:val="nil"/>
              <w:left w:val="nil"/>
              <w:bottom w:val="nil"/>
              <w:right w:val="nil"/>
            </w:tcBorders>
          </w:tcPr>
          <w:p w:rsidR="00BF011E" w:rsidRPr="006B181C" w:rsidRDefault="00BF011E" w:rsidP="006B181C">
            <w:pPr>
              <w:spacing w:line="240" w:lineRule="auto"/>
              <w:ind w:firstLineChars="0" w:firstLine="0"/>
              <w:rPr>
                <w:rFonts w:ascii="Arial" w:hAnsi="Arial" w:cs="Arial"/>
                <w:sz w:val="18"/>
                <w:szCs w:val="18"/>
              </w:rPr>
            </w:pPr>
            <w:r w:rsidRPr="006B181C">
              <w:rPr>
                <w:rFonts w:ascii="Arial" w:hAnsi="Arial" w:cs="Arial"/>
                <w:sz w:val="18"/>
                <w:szCs w:val="18"/>
              </w:rPr>
              <w:t>(10)</w:t>
            </w:r>
          </w:p>
        </w:tc>
      </w:tr>
    </w:tbl>
    <w:p w:rsidR="00BF011E" w:rsidRPr="006B181C" w:rsidRDefault="00BF011E" w:rsidP="00BF011E">
      <w:pPr>
        <w:spacing w:line="240" w:lineRule="auto"/>
        <w:ind w:firstLine="31680"/>
        <w:rPr>
          <w:rFonts w:ascii="Arial" w:hAnsi="Arial" w:cs="Arial"/>
          <w:sz w:val="18"/>
          <w:szCs w:val="18"/>
        </w:rPr>
      </w:pPr>
      <w:r w:rsidRPr="006B181C">
        <w:rPr>
          <w:rFonts w:ascii="Arial" w:hAnsi="Arial" w:cs="Arial"/>
          <w:sz w:val="18"/>
          <w:szCs w:val="18"/>
        </w:rPr>
        <w:t>The above three terms were explained in detail by Zhao et al. (2019). This method has been successfully applied to the detection of long-term trends in hydrological elements. This research employs the R statistical software for time series decomposition, available from https://github.com/zhaokg/Rbeast.</w:t>
      </w:r>
    </w:p>
    <w:p w:rsidR="00BF011E" w:rsidRPr="006B181C" w:rsidRDefault="00BF011E" w:rsidP="006B181C">
      <w:pPr>
        <w:widowControl/>
        <w:spacing w:line="240" w:lineRule="auto"/>
        <w:ind w:firstLineChars="0" w:firstLine="0"/>
        <w:jc w:val="left"/>
        <w:rPr>
          <w:rFonts w:ascii="Arial" w:hAnsi="Arial" w:cs="Arial"/>
          <w:b/>
          <w:bCs/>
          <w:sz w:val="18"/>
          <w:szCs w:val="18"/>
        </w:rPr>
      </w:pPr>
      <w:r w:rsidRPr="006B181C">
        <w:rPr>
          <w:rFonts w:ascii="Arial" w:hAnsi="Arial" w:cs="Arial"/>
          <w:b/>
          <w:bCs/>
          <w:sz w:val="18"/>
          <w:szCs w:val="18"/>
        </w:rPr>
        <w:br w:type="page"/>
      </w:r>
    </w:p>
    <w:p w:rsidR="00BF011E" w:rsidRPr="00D02FF9" w:rsidRDefault="00BF011E" w:rsidP="00D02FF9">
      <w:pPr>
        <w:spacing w:line="240" w:lineRule="auto"/>
        <w:ind w:firstLineChars="0" w:firstLine="0"/>
        <w:jc w:val="center"/>
      </w:pPr>
      <w:r>
        <w:pict>
          <v:shape id="_x0000_i1047" type="#_x0000_t75" style="width:409.5pt;height:222pt">
            <v:imagedata r:id="rId28" o:title=""/>
          </v:shape>
        </w:pict>
      </w:r>
    </w:p>
    <w:p w:rsidR="00BF011E" w:rsidRDefault="00BF011E" w:rsidP="006B181C">
      <w:pPr>
        <w:pStyle w:val="Caption"/>
        <w:spacing w:line="240" w:lineRule="auto"/>
        <w:ind w:firstLineChars="0" w:firstLine="0"/>
        <w:rPr>
          <w:rFonts w:ascii="Arial" w:hAnsi="Arial" w:cs="Arial"/>
          <w:sz w:val="18"/>
          <w:szCs w:val="18"/>
        </w:rPr>
      </w:pPr>
      <w:r w:rsidRPr="006B181C">
        <w:rPr>
          <w:rFonts w:ascii="Arial" w:hAnsi="Arial" w:cs="Arial"/>
          <w:sz w:val="18"/>
          <w:szCs w:val="18"/>
        </w:rPr>
        <w:t>Fig</w:t>
      </w:r>
      <w:r>
        <w:rPr>
          <w:rFonts w:ascii="Arial" w:hAnsi="Arial" w:cs="Arial"/>
          <w:sz w:val="18"/>
          <w:szCs w:val="18"/>
        </w:rPr>
        <w:t xml:space="preserve">ure </w:t>
      </w:r>
      <w:r w:rsidRPr="006B181C">
        <w:rPr>
          <w:rFonts w:ascii="Arial" w:hAnsi="Arial" w:cs="Arial"/>
          <w:sz w:val="18"/>
          <w:szCs w:val="18"/>
        </w:rPr>
        <w:t>S</w:t>
      </w:r>
      <w:r w:rsidRPr="006B181C">
        <w:rPr>
          <w:rFonts w:ascii="Arial" w:hAnsi="Arial" w:cs="Arial"/>
          <w:noProof/>
          <w:sz w:val="18"/>
          <w:szCs w:val="18"/>
        </w:rPr>
        <w:t>2</w:t>
      </w:r>
      <w:r>
        <w:rPr>
          <w:rFonts w:ascii="Arial" w:hAnsi="Arial" w:cs="Arial"/>
          <w:noProof/>
          <w:sz w:val="18"/>
          <w:szCs w:val="18"/>
        </w:rPr>
        <w:t>.</w:t>
      </w:r>
      <w:r w:rsidRPr="006B181C">
        <w:rPr>
          <w:rFonts w:ascii="Arial" w:hAnsi="Arial" w:cs="Arial"/>
          <w:sz w:val="18"/>
          <w:szCs w:val="18"/>
        </w:rPr>
        <w:t xml:space="preserve"> Spatial domains for the calculation of the DMI (yellow boxes), Nino3.4 (blue box), and EMI indices (grey box)</w:t>
      </w:r>
      <w:r>
        <w:rPr>
          <w:rFonts w:ascii="Arial" w:hAnsi="Arial" w:cs="Arial"/>
          <w:sz w:val="18"/>
          <w:szCs w:val="18"/>
        </w:rPr>
        <w:t>.</w:t>
      </w:r>
    </w:p>
    <w:p w:rsidR="00BF011E" w:rsidRDefault="00BF011E" w:rsidP="00D02FF9">
      <w:pPr>
        <w:spacing w:line="240" w:lineRule="auto"/>
        <w:ind w:firstLineChars="0" w:firstLine="0"/>
        <w:jc w:val="center"/>
      </w:pPr>
    </w:p>
    <w:p w:rsidR="00BF011E" w:rsidRPr="00D02FF9" w:rsidRDefault="00BF011E" w:rsidP="00D02FF9">
      <w:pPr>
        <w:spacing w:line="240" w:lineRule="auto"/>
        <w:ind w:firstLineChars="0" w:firstLine="0"/>
        <w:jc w:val="center"/>
      </w:pPr>
      <w:r>
        <w:pict>
          <v:shape id="_x0000_i1048" type="#_x0000_t75" style="width:290.25pt;height:162pt">
            <v:imagedata r:id="rId29" o:title=""/>
          </v:shape>
        </w:pict>
      </w:r>
    </w:p>
    <w:p w:rsidR="00BF011E" w:rsidRDefault="00BF011E" w:rsidP="00E56D7F">
      <w:pPr>
        <w:pStyle w:val="Caption"/>
        <w:spacing w:line="240" w:lineRule="auto"/>
        <w:ind w:firstLine="31680"/>
        <w:jc w:val="center"/>
        <w:rPr>
          <w:rFonts w:ascii="Arial" w:hAnsi="Arial" w:cs="Arial"/>
          <w:color w:val="1F1F1F"/>
          <w:sz w:val="18"/>
          <w:szCs w:val="18"/>
        </w:rPr>
      </w:pPr>
      <w:r w:rsidRPr="006B181C">
        <w:rPr>
          <w:rFonts w:ascii="Arial" w:hAnsi="Arial" w:cs="Arial"/>
          <w:sz w:val="18"/>
          <w:szCs w:val="18"/>
        </w:rPr>
        <w:t>Fig</w:t>
      </w:r>
      <w:r>
        <w:rPr>
          <w:rFonts w:ascii="Arial" w:hAnsi="Arial" w:cs="Arial"/>
          <w:sz w:val="18"/>
          <w:szCs w:val="18"/>
        </w:rPr>
        <w:t>ure</w:t>
      </w:r>
      <w:r w:rsidRPr="006B181C">
        <w:rPr>
          <w:rFonts w:ascii="Arial" w:hAnsi="Arial" w:cs="Arial"/>
          <w:sz w:val="18"/>
          <w:szCs w:val="18"/>
        </w:rPr>
        <w:t xml:space="preserve"> S</w:t>
      </w:r>
      <w:r w:rsidRPr="006B181C">
        <w:rPr>
          <w:rFonts w:ascii="Arial" w:hAnsi="Arial" w:cs="Arial"/>
          <w:noProof/>
          <w:sz w:val="18"/>
          <w:szCs w:val="18"/>
        </w:rPr>
        <w:t>3</w:t>
      </w:r>
      <w:r>
        <w:rPr>
          <w:rFonts w:ascii="Arial" w:hAnsi="Arial" w:cs="Arial"/>
          <w:noProof/>
          <w:sz w:val="18"/>
          <w:szCs w:val="18"/>
        </w:rPr>
        <w:t>.</w:t>
      </w:r>
      <w:r w:rsidRPr="006B181C">
        <w:rPr>
          <w:rFonts w:ascii="Arial" w:hAnsi="Arial" w:cs="Arial"/>
          <w:color w:val="1F1F1F"/>
          <w:sz w:val="18"/>
          <w:szCs w:val="18"/>
        </w:rPr>
        <w:t xml:space="preserve"> Temporal variation in the WCI in Pamir from 1980 to 2019.</w:t>
      </w:r>
    </w:p>
    <w:p w:rsidR="00BF011E" w:rsidRDefault="00BF011E" w:rsidP="00D02FF9">
      <w:pPr>
        <w:ind w:firstLine="31680"/>
      </w:pPr>
    </w:p>
    <w:p w:rsidR="00BF011E" w:rsidRPr="006B181C" w:rsidRDefault="00BF011E" w:rsidP="006B181C">
      <w:pPr>
        <w:spacing w:line="240" w:lineRule="auto"/>
        <w:ind w:firstLineChars="0" w:firstLine="0"/>
        <w:rPr>
          <w:rFonts w:ascii="Arial" w:hAnsi="Arial" w:cs="Arial"/>
          <w:b/>
          <w:bCs/>
          <w:sz w:val="15"/>
          <w:szCs w:val="15"/>
        </w:rPr>
      </w:pPr>
      <w:r w:rsidRPr="006B181C">
        <w:rPr>
          <w:rFonts w:ascii="Arial" w:hAnsi="Arial" w:cs="Arial"/>
          <w:b/>
          <w:bCs/>
          <w:sz w:val="15"/>
          <w:szCs w:val="15"/>
        </w:rPr>
        <w:t>REFERENCE CITED</w:t>
      </w:r>
    </w:p>
    <w:p w:rsidR="00BF011E" w:rsidRPr="006B181C" w:rsidRDefault="00BF011E" w:rsidP="00E56D7F">
      <w:pPr>
        <w:pStyle w:val="Bibliography"/>
        <w:ind w:left="31680" w:hangingChars="200" w:firstLine="31680"/>
        <w:rPr>
          <w:rFonts w:ascii="Arial" w:hAnsi="Arial" w:cs="Arial"/>
          <w:sz w:val="15"/>
          <w:szCs w:val="15"/>
        </w:rPr>
      </w:pPr>
      <w:r w:rsidRPr="006B181C">
        <w:rPr>
          <w:rFonts w:ascii="Arial" w:hAnsi="Arial" w:cs="Arial"/>
          <w:sz w:val="15"/>
          <w:szCs w:val="15"/>
        </w:rPr>
        <w:t xml:space="preserve">Hu, T., Myers Toman, E., Chen, G., et al., 2021. Mapping fine-scale human disturbances in a working landscape with Landsat time series on Google Earth Engine. </w:t>
      </w:r>
      <w:r w:rsidRPr="006B181C">
        <w:rPr>
          <w:rFonts w:ascii="Arial" w:hAnsi="Arial" w:cs="Arial"/>
          <w:i/>
          <w:iCs/>
          <w:sz w:val="15"/>
          <w:szCs w:val="15"/>
        </w:rPr>
        <w:t>ISPRS Journal of Photogrammetry and Remote Sensing</w:t>
      </w:r>
      <w:r w:rsidRPr="006B181C">
        <w:rPr>
          <w:rFonts w:ascii="Arial" w:hAnsi="Arial" w:cs="Arial"/>
          <w:sz w:val="15"/>
          <w:szCs w:val="15"/>
        </w:rPr>
        <w:t>. 176, 250–261. https://doi.org/10.1016/j.isprsjprs.2021.04.008</w:t>
      </w:r>
    </w:p>
    <w:p w:rsidR="00BF011E" w:rsidRPr="006B181C" w:rsidRDefault="00BF011E" w:rsidP="00E56D7F">
      <w:pPr>
        <w:pStyle w:val="Bibliography"/>
        <w:ind w:left="31680" w:hangingChars="200" w:firstLine="31680"/>
        <w:rPr>
          <w:rFonts w:ascii="Arial" w:hAnsi="Arial" w:cs="Arial"/>
          <w:sz w:val="15"/>
          <w:szCs w:val="15"/>
        </w:rPr>
      </w:pPr>
      <w:r w:rsidRPr="006B181C">
        <w:rPr>
          <w:rFonts w:ascii="Arial" w:hAnsi="Arial" w:cs="Arial"/>
          <w:sz w:val="15"/>
          <w:szCs w:val="15"/>
        </w:rPr>
        <w:t xml:space="preserve">Huntington, T.G., Weiskel, P.K., Wolock, D.M., et al., 2018. A new indicator framework for quantifying the intensity of the terrestrial water cycle. </w:t>
      </w:r>
      <w:r w:rsidRPr="006B181C">
        <w:rPr>
          <w:rFonts w:ascii="Arial" w:hAnsi="Arial" w:cs="Arial"/>
          <w:i/>
          <w:iCs/>
          <w:sz w:val="15"/>
          <w:szCs w:val="15"/>
        </w:rPr>
        <w:t>Journal of Hydrology</w:t>
      </w:r>
      <w:r w:rsidRPr="006B181C">
        <w:rPr>
          <w:rFonts w:ascii="Arial" w:hAnsi="Arial" w:cs="Arial"/>
          <w:sz w:val="15"/>
          <w:szCs w:val="15"/>
        </w:rPr>
        <w:t>. 559, 361–372. https://doi.org/10.1016/j.jhydrol.2018.02.048</w:t>
      </w:r>
    </w:p>
    <w:p w:rsidR="00BF011E" w:rsidRPr="006B181C" w:rsidRDefault="00BF011E" w:rsidP="00E56D7F">
      <w:pPr>
        <w:pStyle w:val="Bibliography"/>
        <w:ind w:left="31680" w:hangingChars="200" w:firstLine="31680"/>
        <w:rPr>
          <w:rFonts w:ascii="Arial" w:hAnsi="Arial" w:cs="Arial"/>
          <w:sz w:val="15"/>
          <w:szCs w:val="15"/>
        </w:rPr>
      </w:pPr>
      <w:r w:rsidRPr="006B181C">
        <w:rPr>
          <w:rFonts w:ascii="Arial" w:hAnsi="Arial" w:cs="Arial"/>
          <w:sz w:val="15"/>
          <w:szCs w:val="15"/>
        </w:rPr>
        <w:t xml:space="preserve">Rezaei, A., Gurdak, J.J., 2020. Large-scale climate variability controls on climate, vegetation coverage, lake and groundwater storage in the Lake Urmia watershed using SSA and wavelet analysis. </w:t>
      </w:r>
      <w:r w:rsidRPr="006B181C">
        <w:rPr>
          <w:rFonts w:ascii="Arial" w:hAnsi="Arial" w:cs="Arial"/>
          <w:i/>
          <w:iCs/>
          <w:sz w:val="15"/>
          <w:szCs w:val="15"/>
        </w:rPr>
        <w:t>Science of The Total Environment</w:t>
      </w:r>
      <w:r w:rsidRPr="006B181C">
        <w:rPr>
          <w:rFonts w:ascii="Arial" w:hAnsi="Arial" w:cs="Arial"/>
          <w:sz w:val="15"/>
          <w:szCs w:val="15"/>
        </w:rPr>
        <w:t>. 724, 138273. https://doi.org/10.1016/j.scitotenv.2020.138273</w:t>
      </w:r>
    </w:p>
    <w:p w:rsidR="00BF011E" w:rsidRPr="006B181C" w:rsidRDefault="00BF011E" w:rsidP="00E56D7F">
      <w:pPr>
        <w:pStyle w:val="Bibliography"/>
        <w:ind w:left="31680" w:hangingChars="200" w:firstLine="31680"/>
        <w:rPr>
          <w:rFonts w:ascii="Arial" w:hAnsi="Arial" w:cs="Arial"/>
          <w:sz w:val="15"/>
          <w:szCs w:val="15"/>
        </w:rPr>
      </w:pPr>
      <w:r w:rsidRPr="006B181C">
        <w:rPr>
          <w:rFonts w:ascii="Arial" w:hAnsi="Arial" w:cs="Arial"/>
          <w:sz w:val="15"/>
          <w:szCs w:val="15"/>
        </w:rPr>
        <w:t xml:space="preserve">Sen, P.K., 1968. Estimates of the Regression Coefficient Based on Kendall’s Tau. </w:t>
      </w:r>
      <w:r w:rsidRPr="006B181C">
        <w:rPr>
          <w:rFonts w:ascii="Arial" w:hAnsi="Arial" w:cs="Arial"/>
          <w:i/>
          <w:iCs/>
          <w:sz w:val="15"/>
          <w:szCs w:val="15"/>
        </w:rPr>
        <w:t>Journal of the American Statistical Association</w:t>
      </w:r>
      <w:r w:rsidRPr="006B181C">
        <w:rPr>
          <w:rFonts w:ascii="Arial" w:hAnsi="Arial" w:cs="Arial"/>
          <w:sz w:val="15"/>
          <w:szCs w:val="15"/>
        </w:rPr>
        <w:t>. 63, 1379–1389. https://doi.org/10.1080/01621459.1968.10480934</w:t>
      </w:r>
    </w:p>
    <w:p w:rsidR="00BF011E" w:rsidRPr="006B181C" w:rsidRDefault="00BF011E" w:rsidP="00E56D7F">
      <w:pPr>
        <w:pStyle w:val="Bibliography"/>
        <w:ind w:left="31680" w:hangingChars="200" w:firstLine="31680"/>
        <w:rPr>
          <w:rFonts w:ascii="Arial" w:hAnsi="Arial" w:cs="Arial"/>
          <w:sz w:val="15"/>
          <w:szCs w:val="15"/>
        </w:rPr>
      </w:pPr>
      <w:r w:rsidRPr="006B181C">
        <w:rPr>
          <w:rFonts w:ascii="Arial" w:hAnsi="Arial" w:cs="Arial"/>
          <w:sz w:val="15"/>
          <w:szCs w:val="15"/>
        </w:rPr>
        <w:t xml:space="preserve">Vargas Godoy, M.R., Markonis, Y., 2023. Water cycle changes in reanalyses: a complementary framework. </w:t>
      </w:r>
      <w:r w:rsidRPr="006B181C">
        <w:rPr>
          <w:rFonts w:ascii="Arial" w:hAnsi="Arial" w:cs="Arial"/>
          <w:i/>
          <w:iCs/>
          <w:sz w:val="15"/>
          <w:szCs w:val="15"/>
        </w:rPr>
        <w:t>Scitific Reports</w:t>
      </w:r>
      <w:r w:rsidRPr="006B181C">
        <w:rPr>
          <w:rFonts w:ascii="Arial" w:hAnsi="Arial" w:cs="Arial"/>
          <w:sz w:val="15"/>
          <w:szCs w:val="15"/>
        </w:rPr>
        <w:t>. 13, 4795. https://doi.org/10.1038/s41598-023-31873-5</w:t>
      </w:r>
    </w:p>
    <w:p w:rsidR="00BF011E" w:rsidRPr="006B181C" w:rsidRDefault="00BF011E" w:rsidP="00E56D7F">
      <w:pPr>
        <w:pStyle w:val="Bibliography"/>
        <w:ind w:left="31680" w:hangingChars="200" w:firstLine="31680"/>
        <w:rPr>
          <w:rFonts w:ascii="Arial" w:hAnsi="Arial" w:cs="Arial"/>
          <w:sz w:val="15"/>
          <w:szCs w:val="15"/>
        </w:rPr>
      </w:pPr>
      <w:r w:rsidRPr="006B181C">
        <w:rPr>
          <w:rFonts w:ascii="Arial" w:hAnsi="Arial" w:cs="Arial"/>
          <w:sz w:val="15"/>
          <w:szCs w:val="15"/>
        </w:rPr>
        <w:t xml:space="preserve">White, J.H.R., Walsh, J.E., Thoman Jr, R.L., 2021. Using Bayesian statistics to detect trends in Alaskan precipitation. </w:t>
      </w:r>
      <w:r w:rsidRPr="006B181C">
        <w:rPr>
          <w:rFonts w:ascii="Arial" w:hAnsi="Arial" w:cs="Arial"/>
          <w:i/>
          <w:iCs/>
          <w:sz w:val="15"/>
          <w:szCs w:val="15"/>
        </w:rPr>
        <w:t>International Journal of Climatology</w:t>
      </w:r>
      <w:r w:rsidRPr="006B181C">
        <w:rPr>
          <w:rFonts w:ascii="Arial" w:hAnsi="Arial" w:cs="Arial"/>
          <w:sz w:val="15"/>
          <w:szCs w:val="15"/>
        </w:rPr>
        <w:t>. 41, 2045–2059. https://doi.org/10.1002/joc.6946</w:t>
      </w:r>
    </w:p>
    <w:p w:rsidR="00BF011E" w:rsidRPr="006B181C" w:rsidRDefault="00BF011E" w:rsidP="006B228F">
      <w:pPr>
        <w:pStyle w:val="Bibliography"/>
        <w:ind w:left="31680" w:hangingChars="200" w:firstLine="31680"/>
        <w:rPr>
          <w:rFonts w:ascii="Arial" w:hAnsi="Arial" w:cs="Arial"/>
          <w:sz w:val="15"/>
          <w:szCs w:val="15"/>
        </w:rPr>
      </w:pPr>
      <w:r w:rsidRPr="006B181C">
        <w:rPr>
          <w:rFonts w:ascii="Arial" w:hAnsi="Arial" w:cs="Arial"/>
          <w:sz w:val="15"/>
          <w:szCs w:val="15"/>
        </w:rPr>
        <w:t xml:space="preserve">Zhao, K., Wulder, M.A., Hu, T., et al., 2019. Detecting change-point, trend, and seasonality in satellite time series data to track abrupt changes and nonlinear dynamics: A Bayesian ensemble algorithm. </w:t>
      </w:r>
      <w:r w:rsidRPr="006B181C">
        <w:rPr>
          <w:rFonts w:ascii="Arial" w:hAnsi="Arial" w:cs="Arial"/>
          <w:i/>
          <w:iCs/>
          <w:sz w:val="15"/>
          <w:szCs w:val="15"/>
        </w:rPr>
        <w:t>Remote Sensing of Environment</w:t>
      </w:r>
      <w:r w:rsidRPr="006B181C">
        <w:rPr>
          <w:rFonts w:ascii="Arial" w:hAnsi="Arial" w:cs="Arial"/>
          <w:sz w:val="15"/>
          <w:szCs w:val="15"/>
        </w:rPr>
        <w:t>. 232, 111181. https://doi.org/10.1016/j.rse.2019.04.034</w:t>
      </w:r>
    </w:p>
    <w:sectPr w:rsidR="00BF011E" w:rsidRPr="006B181C" w:rsidSect="00A54576">
      <w:headerReference w:type="default" r:id="rId30"/>
      <w:footerReference w:type="default" r:id="rId3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011E" w:rsidRDefault="00BF011E" w:rsidP="006B228F">
      <w:pPr>
        <w:ind w:firstLine="31680"/>
      </w:pPr>
      <w:r>
        <w:separator/>
      </w:r>
    </w:p>
  </w:endnote>
  <w:endnote w:type="continuationSeparator" w:id="0">
    <w:p w:rsidR="00BF011E" w:rsidRDefault="00BF011E" w:rsidP="006B228F">
      <w:pPr>
        <w:ind w:firstLine="31680"/>
      </w:pPr>
      <w:r>
        <w:continuationSeparator/>
      </w:r>
    </w:p>
  </w:endnote>
</w:endnotes>
</file>

<file path=word/fontTable.xml><?xml version="1.0" encoding="utf-8"?>
<w:fonts xmlns:r="http://schemas.openxmlformats.org/officeDocument/2006/relationships" xmlns:w="http://schemas.openxmlformats.org/wordprocessingml/2006/main">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011E" w:rsidRDefault="00BF011E" w:rsidP="006B228F">
    <w:pPr>
      <w:pStyle w:val="Footer"/>
      <w:ind w:firstLine="3168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011E" w:rsidRDefault="00BF011E" w:rsidP="006B228F">
      <w:pPr>
        <w:ind w:firstLine="31680"/>
      </w:pPr>
      <w:r>
        <w:separator/>
      </w:r>
    </w:p>
  </w:footnote>
  <w:footnote w:type="continuationSeparator" w:id="0">
    <w:p w:rsidR="00BF011E" w:rsidRDefault="00BF011E" w:rsidP="006B228F">
      <w:pPr>
        <w:ind w:firstLine="3168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011E" w:rsidRDefault="00BF011E" w:rsidP="006B228F">
    <w:pPr>
      <w:pStyle w:val="Header"/>
      <w:ind w:firstLine="3168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bordersDoNotSurroundHeader/>
  <w:bordersDoNotSurroundFooter/>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4244E"/>
    <w:rsid w:val="00000054"/>
    <w:rsid w:val="00002380"/>
    <w:rsid w:val="0000538C"/>
    <w:rsid w:val="000311A7"/>
    <w:rsid w:val="00031E99"/>
    <w:rsid w:val="00032E7C"/>
    <w:rsid w:val="00035C29"/>
    <w:rsid w:val="00037ED4"/>
    <w:rsid w:val="00052A15"/>
    <w:rsid w:val="00052E00"/>
    <w:rsid w:val="00054EA5"/>
    <w:rsid w:val="00056730"/>
    <w:rsid w:val="00067AB4"/>
    <w:rsid w:val="0007778E"/>
    <w:rsid w:val="00087018"/>
    <w:rsid w:val="000B2CAA"/>
    <w:rsid w:val="000D3A9A"/>
    <w:rsid w:val="000E1179"/>
    <w:rsid w:val="000E439C"/>
    <w:rsid w:val="000F02A3"/>
    <w:rsid w:val="000F6350"/>
    <w:rsid w:val="000F6ACC"/>
    <w:rsid w:val="00135A5D"/>
    <w:rsid w:val="00146D7F"/>
    <w:rsid w:val="00153826"/>
    <w:rsid w:val="00154C83"/>
    <w:rsid w:val="001655E9"/>
    <w:rsid w:val="00167E38"/>
    <w:rsid w:val="00180050"/>
    <w:rsid w:val="00190764"/>
    <w:rsid w:val="00192FFE"/>
    <w:rsid w:val="00195572"/>
    <w:rsid w:val="001A0F67"/>
    <w:rsid w:val="001C70F7"/>
    <w:rsid w:val="001E2F81"/>
    <w:rsid w:val="001E5DD5"/>
    <w:rsid w:val="001F0969"/>
    <w:rsid w:val="001F13A9"/>
    <w:rsid w:val="001F7E97"/>
    <w:rsid w:val="00204FFA"/>
    <w:rsid w:val="00213AA9"/>
    <w:rsid w:val="002157BF"/>
    <w:rsid w:val="00221C84"/>
    <w:rsid w:val="002333C3"/>
    <w:rsid w:val="00241E69"/>
    <w:rsid w:val="00242E5B"/>
    <w:rsid w:val="00246CBD"/>
    <w:rsid w:val="00253999"/>
    <w:rsid w:val="00263759"/>
    <w:rsid w:val="0027728D"/>
    <w:rsid w:val="002815AA"/>
    <w:rsid w:val="00290893"/>
    <w:rsid w:val="002933F0"/>
    <w:rsid w:val="00294850"/>
    <w:rsid w:val="002958E0"/>
    <w:rsid w:val="0029778E"/>
    <w:rsid w:val="002A29F8"/>
    <w:rsid w:val="002A7E46"/>
    <w:rsid w:val="002B7AC5"/>
    <w:rsid w:val="002D6181"/>
    <w:rsid w:val="002E5734"/>
    <w:rsid w:val="002E6145"/>
    <w:rsid w:val="002F3B51"/>
    <w:rsid w:val="00312C7F"/>
    <w:rsid w:val="00314409"/>
    <w:rsid w:val="00315475"/>
    <w:rsid w:val="003353AC"/>
    <w:rsid w:val="003363B0"/>
    <w:rsid w:val="003439EA"/>
    <w:rsid w:val="0035205E"/>
    <w:rsid w:val="0035364B"/>
    <w:rsid w:val="003600D2"/>
    <w:rsid w:val="003702C4"/>
    <w:rsid w:val="00381008"/>
    <w:rsid w:val="00384943"/>
    <w:rsid w:val="003A4935"/>
    <w:rsid w:val="003A6F4B"/>
    <w:rsid w:val="003D411A"/>
    <w:rsid w:val="003E2423"/>
    <w:rsid w:val="003E70B2"/>
    <w:rsid w:val="003F41F1"/>
    <w:rsid w:val="003F5D51"/>
    <w:rsid w:val="0041467D"/>
    <w:rsid w:val="00415AE1"/>
    <w:rsid w:val="00422831"/>
    <w:rsid w:val="00425D8D"/>
    <w:rsid w:val="0045054B"/>
    <w:rsid w:val="00450949"/>
    <w:rsid w:val="004534E0"/>
    <w:rsid w:val="00463097"/>
    <w:rsid w:val="00483C44"/>
    <w:rsid w:val="004856B0"/>
    <w:rsid w:val="00486119"/>
    <w:rsid w:val="004A35E1"/>
    <w:rsid w:val="004B1588"/>
    <w:rsid w:val="004B3333"/>
    <w:rsid w:val="004C671E"/>
    <w:rsid w:val="004D074E"/>
    <w:rsid w:val="005029E4"/>
    <w:rsid w:val="00515BC9"/>
    <w:rsid w:val="005201D8"/>
    <w:rsid w:val="00522B4D"/>
    <w:rsid w:val="00535853"/>
    <w:rsid w:val="0054304A"/>
    <w:rsid w:val="00545DD7"/>
    <w:rsid w:val="0055398C"/>
    <w:rsid w:val="005721CB"/>
    <w:rsid w:val="00574FAE"/>
    <w:rsid w:val="00577269"/>
    <w:rsid w:val="005800F6"/>
    <w:rsid w:val="00582ECB"/>
    <w:rsid w:val="005923AC"/>
    <w:rsid w:val="00596839"/>
    <w:rsid w:val="005B02C2"/>
    <w:rsid w:val="005B49B0"/>
    <w:rsid w:val="005B7631"/>
    <w:rsid w:val="005C5FBD"/>
    <w:rsid w:val="005E582E"/>
    <w:rsid w:val="005F6A7D"/>
    <w:rsid w:val="00604BBF"/>
    <w:rsid w:val="00605E03"/>
    <w:rsid w:val="0060782F"/>
    <w:rsid w:val="006140E0"/>
    <w:rsid w:val="0062017B"/>
    <w:rsid w:val="00624750"/>
    <w:rsid w:val="0063374C"/>
    <w:rsid w:val="00633778"/>
    <w:rsid w:val="00633995"/>
    <w:rsid w:val="00633CEC"/>
    <w:rsid w:val="00634D6A"/>
    <w:rsid w:val="00637122"/>
    <w:rsid w:val="00642A31"/>
    <w:rsid w:val="00646FD7"/>
    <w:rsid w:val="00650E3C"/>
    <w:rsid w:val="006575DB"/>
    <w:rsid w:val="00663EEA"/>
    <w:rsid w:val="00672E71"/>
    <w:rsid w:val="00673F0E"/>
    <w:rsid w:val="006810FE"/>
    <w:rsid w:val="00681BD8"/>
    <w:rsid w:val="00685875"/>
    <w:rsid w:val="00691F81"/>
    <w:rsid w:val="00695738"/>
    <w:rsid w:val="006A6A43"/>
    <w:rsid w:val="006A74E8"/>
    <w:rsid w:val="006B181C"/>
    <w:rsid w:val="006B228F"/>
    <w:rsid w:val="006B6A9E"/>
    <w:rsid w:val="006C504C"/>
    <w:rsid w:val="006C5E35"/>
    <w:rsid w:val="006C602B"/>
    <w:rsid w:val="006C6435"/>
    <w:rsid w:val="006D0515"/>
    <w:rsid w:val="006D6354"/>
    <w:rsid w:val="006E6408"/>
    <w:rsid w:val="006F3DF4"/>
    <w:rsid w:val="00710942"/>
    <w:rsid w:val="00713116"/>
    <w:rsid w:val="00713DBC"/>
    <w:rsid w:val="00715FF2"/>
    <w:rsid w:val="00716FD5"/>
    <w:rsid w:val="00717111"/>
    <w:rsid w:val="007203F4"/>
    <w:rsid w:val="007265F2"/>
    <w:rsid w:val="00732AF1"/>
    <w:rsid w:val="00747CAB"/>
    <w:rsid w:val="00753A49"/>
    <w:rsid w:val="00754A06"/>
    <w:rsid w:val="007571D6"/>
    <w:rsid w:val="007640E8"/>
    <w:rsid w:val="00764BA4"/>
    <w:rsid w:val="00775B9D"/>
    <w:rsid w:val="0078703B"/>
    <w:rsid w:val="007979C0"/>
    <w:rsid w:val="007A3200"/>
    <w:rsid w:val="007C0611"/>
    <w:rsid w:val="007C6F86"/>
    <w:rsid w:val="007D54E1"/>
    <w:rsid w:val="007D5905"/>
    <w:rsid w:val="007D61DE"/>
    <w:rsid w:val="007D714B"/>
    <w:rsid w:val="007F123E"/>
    <w:rsid w:val="007F1AEC"/>
    <w:rsid w:val="007F1C57"/>
    <w:rsid w:val="007F456A"/>
    <w:rsid w:val="007F5C53"/>
    <w:rsid w:val="008017D9"/>
    <w:rsid w:val="008151FE"/>
    <w:rsid w:val="00820E0E"/>
    <w:rsid w:val="00825B1B"/>
    <w:rsid w:val="00830BBF"/>
    <w:rsid w:val="00867926"/>
    <w:rsid w:val="008832DB"/>
    <w:rsid w:val="00883B72"/>
    <w:rsid w:val="00884CAF"/>
    <w:rsid w:val="008954A1"/>
    <w:rsid w:val="00897405"/>
    <w:rsid w:val="008A0928"/>
    <w:rsid w:val="008A47D1"/>
    <w:rsid w:val="008A49D7"/>
    <w:rsid w:val="008A5F85"/>
    <w:rsid w:val="008B066D"/>
    <w:rsid w:val="008B38D4"/>
    <w:rsid w:val="008C0683"/>
    <w:rsid w:val="008C074C"/>
    <w:rsid w:val="008C2F2A"/>
    <w:rsid w:val="008C7747"/>
    <w:rsid w:val="008D5326"/>
    <w:rsid w:val="008D63FC"/>
    <w:rsid w:val="008D762C"/>
    <w:rsid w:val="008E4539"/>
    <w:rsid w:val="008F05C1"/>
    <w:rsid w:val="008F15A9"/>
    <w:rsid w:val="008F2FDD"/>
    <w:rsid w:val="008F4ADB"/>
    <w:rsid w:val="009019DA"/>
    <w:rsid w:val="00917B71"/>
    <w:rsid w:val="0092140F"/>
    <w:rsid w:val="00922203"/>
    <w:rsid w:val="0092313E"/>
    <w:rsid w:val="00930A9B"/>
    <w:rsid w:val="00932368"/>
    <w:rsid w:val="00936592"/>
    <w:rsid w:val="00942C7B"/>
    <w:rsid w:val="00945D17"/>
    <w:rsid w:val="0095690F"/>
    <w:rsid w:val="00957A82"/>
    <w:rsid w:val="009647CA"/>
    <w:rsid w:val="00970492"/>
    <w:rsid w:val="00972FFB"/>
    <w:rsid w:val="00977515"/>
    <w:rsid w:val="00983639"/>
    <w:rsid w:val="00984708"/>
    <w:rsid w:val="00992AFE"/>
    <w:rsid w:val="009A1E29"/>
    <w:rsid w:val="009C3D7D"/>
    <w:rsid w:val="009D6616"/>
    <w:rsid w:val="009D75E9"/>
    <w:rsid w:val="009D7AA1"/>
    <w:rsid w:val="009E10B2"/>
    <w:rsid w:val="009E6DE6"/>
    <w:rsid w:val="009E71D6"/>
    <w:rsid w:val="009E7643"/>
    <w:rsid w:val="009F02B4"/>
    <w:rsid w:val="00A01250"/>
    <w:rsid w:val="00A022E6"/>
    <w:rsid w:val="00A02B0B"/>
    <w:rsid w:val="00A07398"/>
    <w:rsid w:val="00A268C5"/>
    <w:rsid w:val="00A3257A"/>
    <w:rsid w:val="00A37CC6"/>
    <w:rsid w:val="00A44EA8"/>
    <w:rsid w:val="00A54576"/>
    <w:rsid w:val="00A57330"/>
    <w:rsid w:val="00A63E6E"/>
    <w:rsid w:val="00A65AE9"/>
    <w:rsid w:val="00A774FC"/>
    <w:rsid w:val="00A80931"/>
    <w:rsid w:val="00A85B6F"/>
    <w:rsid w:val="00A913FF"/>
    <w:rsid w:val="00A95EEC"/>
    <w:rsid w:val="00AA0354"/>
    <w:rsid w:val="00AA2AF3"/>
    <w:rsid w:val="00AA4FDC"/>
    <w:rsid w:val="00AC47C7"/>
    <w:rsid w:val="00AC624E"/>
    <w:rsid w:val="00AD7F53"/>
    <w:rsid w:val="00AF14EE"/>
    <w:rsid w:val="00AF2673"/>
    <w:rsid w:val="00AF334B"/>
    <w:rsid w:val="00B04333"/>
    <w:rsid w:val="00B049B4"/>
    <w:rsid w:val="00B11ADD"/>
    <w:rsid w:val="00B2265B"/>
    <w:rsid w:val="00B24632"/>
    <w:rsid w:val="00B26BFC"/>
    <w:rsid w:val="00B32AB4"/>
    <w:rsid w:val="00B335C3"/>
    <w:rsid w:val="00B421EB"/>
    <w:rsid w:val="00B62880"/>
    <w:rsid w:val="00B6751E"/>
    <w:rsid w:val="00B72412"/>
    <w:rsid w:val="00B77194"/>
    <w:rsid w:val="00B81E53"/>
    <w:rsid w:val="00B84230"/>
    <w:rsid w:val="00B93C5D"/>
    <w:rsid w:val="00B96911"/>
    <w:rsid w:val="00BA51AD"/>
    <w:rsid w:val="00BB23E4"/>
    <w:rsid w:val="00BD04F4"/>
    <w:rsid w:val="00BD1AB3"/>
    <w:rsid w:val="00BD3F0C"/>
    <w:rsid w:val="00BD610A"/>
    <w:rsid w:val="00BD7D8B"/>
    <w:rsid w:val="00BE2CE6"/>
    <w:rsid w:val="00BF011E"/>
    <w:rsid w:val="00BF6E20"/>
    <w:rsid w:val="00C02B7A"/>
    <w:rsid w:val="00C03EC2"/>
    <w:rsid w:val="00C03F40"/>
    <w:rsid w:val="00C11531"/>
    <w:rsid w:val="00C15893"/>
    <w:rsid w:val="00C160EC"/>
    <w:rsid w:val="00C173B6"/>
    <w:rsid w:val="00C1783D"/>
    <w:rsid w:val="00C21DFF"/>
    <w:rsid w:val="00C26DDA"/>
    <w:rsid w:val="00C3548D"/>
    <w:rsid w:val="00C35EF9"/>
    <w:rsid w:val="00C41605"/>
    <w:rsid w:val="00C4244E"/>
    <w:rsid w:val="00C42895"/>
    <w:rsid w:val="00C53AFC"/>
    <w:rsid w:val="00C57FD3"/>
    <w:rsid w:val="00C626B5"/>
    <w:rsid w:val="00C85FC2"/>
    <w:rsid w:val="00C91454"/>
    <w:rsid w:val="00C92B4D"/>
    <w:rsid w:val="00C9796C"/>
    <w:rsid w:val="00CA04DD"/>
    <w:rsid w:val="00CA293E"/>
    <w:rsid w:val="00CA7233"/>
    <w:rsid w:val="00CB4578"/>
    <w:rsid w:val="00CB46DE"/>
    <w:rsid w:val="00CB47A9"/>
    <w:rsid w:val="00CC0947"/>
    <w:rsid w:val="00CC6543"/>
    <w:rsid w:val="00CD0507"/>
    <w:rsid w:val="00CF108F"/>
    <w:rsid w:val="00CF6D5F"/>
    <w:rsid w:val="00D02FF9"/>
    <w:rsid w:val="00D1077A"/>
    <w:rsid w:val="00D218F5"/>
    <w:rsid w:val="00D2409B"/>
    <w:rsid w:val="00D24446"/>
    <w:rsid w:val="00D266BA"/>
    <w:rsid w:val="00D3004B"/>
    <w:rsid w:val="00D3147A"/>
    <w:rsid w:val="00D425EA"/>
    <w:rsid w:val="00D4794E"/>
    <w:rsid w:val="00D47A46"/>
    <w:rsid w:val="00D512CB"/>
    <w:rsid w:val="00D61480"/>
    <w:rsid w:val="00D641B0"/>
    <w:rsid w:val="00D64C76"/>
    <w:rsid w:val="00D65811"/>
    <w:rsid w:val="00D75713"/>
    <w:rsid w:val="00D81530"/>
    <w:rsid w:val="00DA24AF"/>
    <w:rsid w:val="00DB71D1"/>
    <w:rsid w:val="00DC4611"/>
    <w:rsid w:val="00DE042A"/>
    <w:rsid w:val="00DE1BA1"/>
    <w:rsid w:val="00DE2691"/>
    <w:rsid w:val="00DE5607"/>
    <w:rsid w:val="00DF26B5"/>
    <w:rsid w:val="00DF70A4"/>
    <w:rsid w:val="00E0435E"/>
    <w:rsid w:val="00E045B9"/>
    <w:rsid w:val="00E15462"/>
    <w:rsid w:val="00E25134"/>
    <w:rsid w:val="00E27F46"/>
    <w:rsid w:val="00E33CCF"/>
    <w:rsid w:val="00E356BC"/>
    <w:rsid w:val="00E50677"/>
    <w:rsid w:val="00E54DE0"/>
    <w:rsid w:val="00E56D7F"/>
    <w:rsid w:val="00E57F13"/>
    <w:rsid w:val="00E626C7"/>
    <w:rsid w:val="00E62C63"/>
    <w:rsid w:val="00E73A9B"/>
    <w:rsid w:val="00E81BB5"/>
    <w:rsid w:val="00E83736"/>
    <w:rsid w:val="00E852B9"/>
    <w:rsid w:val="00E87B69"/>
    <w:rsid w:val="00E94197"/>
    <w:rsid w:val="00E94C75"/>
    <w:rsid w:val="00EA42AA"/>
    <w:rsid w:val="00EB5B89"/>
    <w:rsid w:val="00EC2665"/>
    <w:rsid w:val="00EC2C4D"/>
    <w:rsid w:val="00EC3009"/>
    <w:rsid w:val="00ED6D65"/>
    <w:rsid w:val="00EE086F"/>
    <w:rsid w:val="00EE3EAC"/>
    <w:rsid w:val="00EE6F80"/>
    <w:rsid w:val="00F07071"/>
    <w:rsid w:val="00F23E2D"/>
    <w:rsid w:val="00F411A6"/>
    <w:rsid w:val="00F4150D"/>
    <w:rsid w:val="00F42A80"/>
    <w:rsid w:val="00F46906"/>
    <w:rsid w:val="00F65653"/>
    <w:rsid w:val="00F80D7C"/>
    <w:rsid w:val="00F96C14"/>
    <w:rsid w:val="00FA08EF"/>
    <w:rsid w:val="00FA578A"/>
    <w:rsid w:val="00FA5809"/>
    <w:rsid w:val="00FA5FC8"/>
    <w:rsid w:val="00FA7EDC"/>
    <w:rsid w:val="00FE0912"/>
    <w:rsid w:val="00FE2FE0"/>
    <w:rsid w:val="00FE7FE3"/>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等线" w:eastAsia="等线" w:hAnsi="等线"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6A6A43"/>
    <w:pPr>
      <w:widowControl w:val="0"/>
      <w:spacing w:line="360" w:lineRule="auto"/>
      <w:ind w:firstLineChars="200" w:firstLine="200"/>
      <w:jc w:val="both"/>
    </w:pPr>
    <w:rPr>
      <w:rFonts w:ascii="Times New Roman" w:eastAsia="宋体" w:hAnsi="Times New Roman"/>
    </w:rPr>
  </w:style>
  <w:style w:type="paragraph" w:styleId="Heading1">
    <w:name w:val="heading 1"/>
    <w:basedOn w:val="Normal"/>
    <w:next w:val="Normal"/>
    <w:link w:val="Heading1Char"/>
    <w:uiPriority w:val="99"/>
    <w:qFormat/>
    <w:rsid w:val="00067AB4"/>
    <w:pPr>
      <w:keepNext/>
      <w:keepLines/>
      <w:spacing w:before="340" w:after="330"/>
      <w:ind w:firstLineChars="0" w:firstLine="0"/>
      <w:outlineLvl w:val="0"/>
    </w:pPr>
    <w:rPr>
      <w:b/>
      <w:bCs/>
      <w:kern w:val="44"/>
      <w:sz w:val="24"/>
      <w:szCs w:val="44"/>
    </w:rPr>
  </w:style>
  <w:style w:type="paragraph" w:styleId="Heading2">
    <w:name w:val="heading 2"/>
    <w:basedOn w:val="Normal"/>
    <w:next w:val="Normal"/>
    <w:link w:val="Heading2Char"/>
    <w:uiPriority w:val="99"/>
    <w:qFormat/>
    <w:rsid w:val="00E15462"/>
    <w:pPr>
      <w:keepNext/>
      <w:keepLines/>
      <w:spacing w:before="260" w:after="260" w:line="480" w:lineRule="auto"/>
      <w:outlineLvl w:val="1"/>
    </w:pPr>
    <w:rPr>
      <w:b/>
      <w:bCs/>
      <w:sz w:val="24"/>
      <w:szCs w:val="32"/>
    </w:rPr>
  </w:style>
  <w:style w:type="paragraph" w:styleId="Heading4">
    <w:name w:val="heading 4"/>
    <w:basedOn w:val="Normal"/>
    <w:next w:val="Normal"/>
    <w:link w:val="Heading4Char"/>
    <w:uiPriority w:val="99"/>
    <w:qFormat/>
    <w:rsid w:val="00067AB4"/>
    <w:pPr>
      <w:keepNext/>
      <w:keepLines/>
      <w:spacing w:before="280" w:after="290" w:line="376" w:lineRule="auto"/>
      <w:outlineLvl w:val="3"/>
    </w:pPr>
    <w:rPr>
      <w:rFonts w:ascii="等线 Light" w:eastAsia="等线 Light" w:hAnsi="等线 Light"/>
      <w:b/>
      <w:b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67AB4"/>
    <w:rPr>
      <w:rFonts w:ascii="Times New Roman" w:eastAsia="宋体" w:hAnsi="Times New Roman" w:cs="Times New Roman"/>
      <w:b/>
      <w:bCs/>
      <w:kern w:val="44"/>
      <w:sz w:val="44"/>
      <w:szCs w:val="44"/>
    </w:rPr>
  </w:style>
  <w:style w:type="character" w:customStyle="1" w:styleId="Heading2Char">
    <w:name w:val="Heading 2 Char"/>
    <w:basedOn w:val="DefaultParagraphFont"/>
    <w:link w:val="Heading2"/>
    <w:uiPriority w:val="99"/>
    <w:locked/>
    <w:rsid w:val="00E15462"/>
    <w:rPr>
      <w:rFonts w:ascii="Times New Roman" w:eastAsia="宋体" w:hAnsi="Times New Roman" w:cs="Times New Roman"/>
      <w:b/>
      <w:bCs/>
      <w:sz w:val="32"/>
      <w:szCs w:val="32"/>
    </w:rPr>
  </w:style>
  <w:style w:type="character" w:customStyle="1" w:styleId="Heading4Char">
    <w:name w:val="Heading 4 Char"/>
    <w:basedOn w:val="DefaultParagraphFont"/>
    <w:link w:val="Heading4"/>
    <w:uiPriority w:val="99"/>
    <w:semiHidden/>
    <w:locked/>
    <w:rsid w:val="00067AB4"/>
    <w:rPr>
      <w:rFonts w:ascii="等线 Light" w:eastAsia="等线 Light" w:hAnsi="等线 Light" w:cs="Times New Roman"/>
      <w:b/>
      <w:bCs/>
      <w:sz w:val="28"/>
      <w:szCs w:val="28"/>
    </w:rPr>
  </w:style>
  <w:style w:type="paragraph" w:styleId="Header">
    <w:name w:val="header"/>
    <w:basedOn w:val="Normal"/>
    <w:link w:val="HeaderChar"/>
    <w:uiPriority w:val="99"/>
    <w:rsid w:val="00713116"/>
    <w:pP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713116"/>
    <w:rPr>
      <w:rFonts w:cs="Times New Roman"/>
      <w:sz w:val="18"/>
      <w:szCs w:val="18"/>
    </w:rPr>
  </w:style>
  <w:style w:type="paragraph" w:styleId="Footer">
    <w:name w:val="footer"/>
    <w:basedOn w:val="Normal"/>
    <w:link w:val="FooterChar"/>
    <w:uiPriority w:val="99"/>
    <w:rsid w:val="00713116"/>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713116"/>
    <w:rPr>
      <w:rFonts w:cs="Times New Roman"/>
      <w:sz w:val="18"/>
      <w:szCs w:val="18"/>
    </w:rPr>
  </w:style>
  <w:style w:type="paragraph" w:styleId="Caption">
    <w:name w:val="caption"/>
    <w:basedOn w:val="Normal"/>
    <w:next w:val="Normal"/>
    <w:uiPriority w:val="99"/>
    <w:qFormat/>
    <w:rsid w:val="00992AFE"/>
    <w:rPr>
      <w:sz w:val="20"/>
      <w:szCs w:val="20"/>
    </w:rPr>
  </w:style>
  <w:style w:type="table" w:styleId="TableGrid">
    <w:name w:val="Table Grid"/>
    <w:basedOn w:val="TableNormal"/>
    <w:uiPriority w:val="99"/>
    <w:rsid w:val="00CA04DD"/>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775B9D"/>
    <w:rPr>
      <w:rFonts w:cs="Times New Roman"/>
      <w:color w:val="auto"/>
      <w:u w:val="single"/>
    </w:rPr>
  </w:style>
  <w:style w:type="character" w:customStyle="1" w:styleId="UnresolvedMention">
    <w:name w:val="Unresolved Mention"/>
    <w:basedOn w:val="DefaultParagraphFont"/>
    <w:uiPriority w:val="99"/>
    <w:semiHidden/>
    <w:rsid w:val="00775B9D"/>
    <w:rPr>
      <w:rFonts w:cs="Times New Roman"/>
      <w:color w:val="auto"/>
      <w:shd w:val="clear" w:color="auto" w:fill="auto"/>
    </w:rPr>
  </w:style>
  <w:style w:type="paragraph" w:styleId="Bibliography">
    <w:name w:val="Bibliography"/>
    <w:basedOn w:val="Normal"/>
    <w:next w:val="Normal"/>
    <w:uiPriority w:val="99"/>
    <w:rsid w:val="00032E7C"/>
    <w:pPr>
      <w:spacing w:line="240" w:lineRule="auto"/>
      <w:ind w:left="720" w:hanging="720"/>
    </w:pPr>
  </w:style>
  <w:style w:type="paragraph" w:customStyle="1" w:styleId="3">
    <w:name w:val="标题3"/>
    <w:basedOn w:val="Normal"/>
    <w:link w:val="30"/>
    <w:uiPriority w:val="99"/>
    <w:rsid w:val="00E15462"/>
    <w:pPr>
      <w:widowControl/>
      <w:jc w:val="left"/>
    </w:pPr>
    <w:rPr>
      <w:b/>
      <w:sz w:val="24"/>
      <w:szCs w:val="24"/>
    </w:rPr>
  </w:style>
  <w:style w:type="character" w:customStyle="1" w:styleId="30">
    <w:name w:val="标题3 字符"/>
    <w:basedOn w:val="DefaultParagraphFont"/>
    <w:link w:val="3"/>
    <w:uiPriority w:val="99"/>
    <w:locked/>
    <w:rsid w:val="00E15462"/>
    <w:rPr>
      <w:rFonts w:ascii="Times New Roman" w:eastAsia="宋体" w:hAnsi="Times New Roman" w:cs="Times New Roman"/>
      <w:b/>
      <w:sz w:val="24"/>
      <w:szCs w:val="24"/>
    </w:rPr>
  </w:style>
  <w:style w:type="paragraph" w:customStyle="1" w:styleId="MTDisplayEquation">
    <w:name w:val="MTDisplayEquation"/>
    <w:basedOn w:val="Normal"/>
    <w:next w:val="Normal"/>
    <w:link w:val="MTDisplayEquation0"/>
    <w:uiPriority w:val="99"/>
    <w:rsid w:val="002D6181"/>
    <w:pPr>
      <w:tabs>
        <w:tab w:val="center" w:pos="4160"/>
        <w:tab w:val="right" w:pos="8300"/>
      </w:tabs>
    </w:pPr>
  </w:style>
  <w:style w:type="character" w:customStyle="1" w:styleId="MTDisplayEquation0">
    <w:name w:val="MTDisplayEquation 字符"/>
    <w:basedOn w:val="DefaultParagraphFont"/>
    <w:link w:val="MTDisplayEquation"/>
    <w:uiPriority w:val="99"/>
    <w:locked/>
    <w:rsid w:val="002D6181"/>
    <w:rPr>
      <w:rFonts w:ascii="Times New Roman" w:eastAsia="宋体" w:hAnsi="Times New Roman" w:cs="Times New Roman"/>
    </w:rPr>
  </w:style>
  <w:style w:type="paragraph" w:styleId="TOCHeading">
    <w:name w:val="TOC Heading"/>
    <w:basedOn w:val="Heading1"/>
    <w:next w:val="Normal"/>
    <w:uiPriority w:val="99"/>
    <w:qFormat/>
    <w:rsid w:val="006A6A43"/>
    <w:pPr>
      <w:widowControl/>
      <w:spacing w:before="240" w:after="0" w:line="259" w:lineRule="auto"/>
      <w:jc w:val="left"/>
      <w:outlineLvl w:val="9"/>
    </w:pPr>
    <w:rPr>
      <w:rFonts w:ascii="等线 Light" w:eastAsia="等线 Light" w:hAnsi="等线 Light"/>
      <w:b w:val="0"/>
      <w:bCs w:val="0"/>
      <w:color w:val="2F5496"/>
      <w:kern w:val="0"/>
      <w:sz w:val="32"/>
      <w:szCs w:val="32"/>
    </w:rPr>
  </w:style>
  <w:style w:type="paragraph" w:styleId="TOC2">
    <w:name w:val="toc 2"/>
    <w:basedOn w:val="Normal"/>
    <w:next w:val="Normal"/>
    <w:autoRedefine/>
    <w:uiPriority w:val="99"/>
    <w:semiHidden/>
    <w:rsid w:val="006A6A43"/>
    <w:pPr>
      <w:widowControl/>
      <w:spacing w:after="100" w:line="259" w:lineRule="auto"/>
      <w:ind w:left="220"/>
      <w:jc w:val="left"/>
    </w:pPr>
    <w:rPr>
      <w:rFonts w:ascii="等线" w:eastAsia="等线" w:hAnsi="等线"/>
      <w:kern w:val="0"/>
      <w:sz w:val="22"/>
    </w:rPr>
  </w:style>
  <w:style w:type="paragraph" w:styleId="TOC1">
    <w:name w:val="toc 1"/>
    <w:basedOn w:val="Normal"/>
    <w:next w:val="Normal"/>
    <w:autoRedefine/>
    <w:uiPriority w:val="99"/>
    <w:semiHidden/>
    <w:rsid w:val="006A6A43"/>
    <w:pPr>
      <w:widowControl/>
      <w:spacing w:after="100" w:line="259" w:lineRule="auto"/>
      <w:jc w:val="left"/>
    </w:pPr>
    <w:rPr>
      <w:rFonts w:ascii="等线" w:eastAsia="等线" w:hAnsi="等线"/>
      <w:kern w:val="0"/>
      <w:sz w:val="22"/>
    </w:rPr>
  </w:style>
  <w:style w:type="paragraph" w:styleId="TOC3">
    <w:name w:val="toc 3"/>
    <w:basedOn w:val="Normal"/>
    <w:next w:val="Normal"/>
    <w:autoRedefine/>
    <w:uiPriority w:val="99"/>
    <w:semiHidden/>
    <w:rsid w:val="006A6A43"/>
    <w:pPr>
      <w:widowControl/>
      <w:spacing w:after="100" w:line="259" w:lineRule="auto"/>
      <w:ind w:left="440"/>
      <w:jc w:val="left"/>
    </w:pPr>
    <w:rPr>
      <w:rFonts w:ascii="等线" w:eastAsia="等线" w:hAnsi="等线"/>
      <w:kern w:val="0"/>
      <w:sz w:val="22"/>
    </w:rPr>
  </w:style>
  <w:style w:type="character" w:styleId="Emphasis">
    <w:name w:val="Emphasis"/>
    <w:basedOn w:val="DefaultParagraphFont"/>
    <w:uiPriority w:val="99"/>
    <w:qFormat/>
    <w:rsid w:val="001C70F7"/>
    <w:rPr>
      <w:rFonts w:cs="Times New Roman"/>
      <w:i/>
      <w:iCs/>
    </w:rPr>
  </w:style>
  <w:style w:type="character" w:customStyle="1" w:styleId="label">
    <w:name w:val="label"/>
    <w:basedOn w:val="DefaultParagraphFont"/>
    <w:uiPriority w:val="99"/>
    <w:rsid w:val="00C03F40"/>
    <w:rPr>
      <w:rFonts w:cs="Times New Roman"/>
    </w:rPr>
  </w:style>
  <w:style w:type="paragraph" w:styleId="Revision">
    <w:name w:val="Revision"/>
    <w:hidden/>
    <w:uiPriority w:val="99"/>
    <w:semiHidden/>
    <w:rsid w:val="00192FFE"/>
    <w:rPr>
      <w:rFonts w:ascii="Times New Roman" w:eastAsia="宋体" w:hAnsi="Times New Roman"/>
    </w:rPr>
  </w:style>
</w:styles>
</file>

<file path=word/webSettings.xml><?xml version="1.0" encoding="utf-8"?>
<w:webSettings xmlns:r="http://schemas.openxmlformats.org/officeDocument/2006/relationships" xmlns:w="http://schemas.openxmlformats.org/wordprocessingml/2006/main">
  <w:divs>
    <w:div w:id="1551262579">
      <w:marLeft w:val="0"/>
      <w:marRight w:val="0"/>
      <w:marTop w:val="0"/>
      <w:marBottom w:val="0"/>
      <w:divBdr>
        <w:top w:val="none" w:sz="0" w:space="0" w:color="auto"/>
        <w:left w:val="none" w:sz="0" w:space="0" w:color="auto"/>
        <w:bottom w:val="none" w:sz="0" w:space="0" w:color="auto"/>
        <w:right w:val="none" w:sz="0" w:space="0" w:color="auto"/>
      </w:divBdr>
    </w:div>
    <w:div w:id="1551262580">
      <w:marLeft w:val="0"/>
      <w:marRight w:val="0"/>
      <w:marTop w:val="0"/>
      <w:marBottom w:val="0"/>
      <w:divBdr>
        <w:top w:val="none" w:sz="0" w:space="0" w:color="auto"/>
        <w:left w:val="none" w:sz="0" w:space="0" w:color="auto"/>
        <w:bottom w:val="none" w:sz="0" w:space="0" w:color="auto"/>
        <w:right w:val="none" w:sz="0" w:space="0" w:color="auto"/>
      </w:divBdr>
    </w:div>
    <w:div w:id="1551262581">
      <w:marLeft w:val="0"/>
      <w:marRight w:val="0"/>
      <w:marTop w:val="0"/>
      <w:marBottom w:val="0"/>
      <w:divBdr>
        <w:top w:val="none" w:sz="0" w:space="0" w:color="auto"/>
        <w:left w:val="none" w:sz="0" w:space="0" w:color="auto"/>
        <w:bottom w:val="none" w:sz="0" w:space="0" w:color="auto"/>
        <w:right w:val="none" w:sz="0" w:space="0" w:color="auto"/>
      </w:divBdr>
    </w:div>
    <w:div w:id="155126258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image" Target="media/image8.wmf"/><Relationship Id="rId18" Type="http://schemas.openxmlformats.org/officeDocument/2006/relationships/image" Target="media/image13.wmf"/><Relationship Id="rId26" Type="http://schemas.openxmlformats.org/officeDocument/2006/relationships/image" Target="media/image21.wmf"/><Relationship Id="rId3" Type="http://schemas.openxmlformats.org/officeDocument/2006/relationships/webSettings" Target="webSettings.xml"/><Relationship Id="rId21" Type="http://schemas.openxmlformats.org/officeDocument/2006/relationships/image" Target="media/image16.wmf"/><Relationship Id="rId7" Type="http://schemas.openxmlformats.org/officeDocument/2006/relationships/image" Target="media/image2.wmf"/><Relationship Id="rId12" Type="http://schemas.openxmlformats.org/officeDocument/2006/relationships/image" Target="media/image7.wmf"/><Relationship Id="rId17" Type="http://schemas.openxmlformats.org/officeDocument/2006/relationships/image" Target="media/image12.wmf"/><Relationship Id="rId25" Type="http://schemas.openxmlformats.org/officeDocument/2006/relationships/image" Target="media/image20.wmf"/><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1.wmf"/><Relationship Id="rId20" Type="http://schemas.openxmlformats.org/officeDocument/2006/relationships/image" Target="media/image15.wmf"/><Relationship Id="rId29" Type="http://schemas.openxmlformats.org/officeDocument/2006/relationships/image" Target="media/image24.jpeg"/><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image" Target="media/image6.wmf"/><Relationship Id="rId24" Type="http://schemas.openxmlformats.org/officeDocument/2006/relationships/image" Target="media/image19.wmf"/><Relationship Id="rId32"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image" Target="media/image10.wmf"/><Relationship Id="rId23" Type="http://schemas.openxmlformats.org/officeDocument/2006/relationships/image" Target="media/image18.wmf"/><Relationship Id="rId28" Type="http://schemas.openxmlformats.org/officeDocument/2006/relationships/image" Target="media/image23.jpeg"/><Relationship Id="rId10" Type="http://schemas.openxmlformats.org/officeDocument/2006/relationships/image" Target="media/image5.jpeg"/><Relationship Id="rId19" Type="http://schemas.openxmlformats.org/officeDocument/2006/relationships/image" Target="media/image14.wmf"/><Relationship Id="rId31"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wmf"/><Relationship Id="rId14" Type="http://schemas.openxmlformats.org/officeDocument/2006/relationships/image" Target="media/image9.wmf"/><Relationship Id="rId22" Type="http://schemas.openxmlformats.org/officeDocument/2006/relationships/image" Target="media/image17.wmf"/><Relationship Id="rId27" Type="http://schemas.openxmlformats.org/officeDocument/2006/relationships/image" Target="media/image22.wmf"/><Relationship Id="rId3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21</TotalTime>
  <Pages>5</Pages>
  <Words>967</Words>
  <Characters>5517</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净净 张</dc:creator>
  <cp:keywords/>
  <dc:description/>
  <cp:lastModifiedBy>PC</cp:lastModifiedBy>
  <cp:revision>9</cp:revision>
  <dcterms:created xsi:type="dcterms:W3CDTF">2024-09-05T14:40:00Z</dcterms:created>
  <dcterms:modified xsi:type="dcterms:W3CDTF">2025-09-09T00:41:00Z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id="ny8Hl3k1"/&gt;&lt;style id="http://www.zotero.org/styles/advances-in-water-resources" hasBibliography="1" bibliographyStyleHasBeenSet="1"/&gt;&lt;prefs&gt;&lt;pref name="fieldType" value="Field"/&gt;&lt;/prefs&gt;&lt;/data&gt;</vt:lpwstr>
  </property>
  <property fmtid="{D5CDD505-2E9C-101B-9397-08002B2CF9AE}" pid="3" name="MTWinEqns">
    <vt:bool>true</vt:bool>
  </property>
</Properties>
</file>