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1E6" w:rsidRDefault="00C751E6" w:rsidP="00C751E6">
      <w:r w:rsidRPr="00AF1718">
        <w:rPr>
          <w:noProof/>
        </w:rPr>
        <w:drawing>
          <wp:inline distT="0" distB="0" distL="0" distR="0" wp14:anchorId="11B79CEB" wp14:editId="4C0B8C35">
            <wp:extent cx="5486400" cy="5234045"/>
            <wp:effectExtent l="57150" t="57150" r="114300" b="119380"/>
            <wp:docPr id="1" name="Picture 1" descr="F:\fiA2\reweivers comments\new photps\MIC and MBC of FiA2 against A.s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iA2\reweivers comments\new photps\MIC and MBC of FiA2 against A.sal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34045"/>
                    </a:xfrm>
                    <a:prstGeom prst="rect">
                      <a:avLst/>
                    </a:prstGeom>
                    <a:ln w="12700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751E6" w:rsidRDefault="00C751E6" w:rsidP="00C75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S. </w:t>
      </w:r>
      <w:r w:rsidRPr="001500AA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1500A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1F51">
        <w:rPr>
          <w:rFonts w:ascii="Times New Roman" w:hAnsi="Times New Roman" w:cs="Times New Roman"/>
          <w:sz w:val="24"/>
          <w:szCs w:val="24"/>
        </w:rPr>
        <w:t>Minimal inhibitory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F51">
        <w:rPr>
          <w:rFonts w:ascii="Times New Roman" w:hAnsi="Times New Roman" w:cs="Times New Roman"/>
          <w:sz w:val="24"/>
          <w:szCs w:val="24"/>
        </w:rPr>
        <w:t>and minimal bactericidal concentration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F51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the cell-free </w:t>
      </w:r>
      <w:r w:rsidRPr="00E51F51">
        <w:rPr>
          <w:rFonts w:ascii="Times New Roman" w:hAnsi="Times New Roman" w:cs="Times New Roman"/>
          <w:sz w:val="24"/>
          <w:szCs w:val="24"/>
        </w:rPr>
        <w:t>supernatant</w:t>
      </w:r>
      <w:r>
        <w:rPr>
          <w:rFonts w:ascii="Times New Roman" w:hAnsi="Times New Roman" w:cs="Times New Roman"/>
          <w:sz w:val="24"/>
          <w:szCs w:val="24"/>
        </w:rPr>
        <w:t xml:space="preserve"> of FiA2 against </w:t>
      </w:r>
      <w:r w:rsidRPr="00AF1718">
        <w:rPr>
          <w:rFonts w:ascii="Times New Roman" w:hAnsi="Times New Roman" w:cs="Times New Roman"/>
          <w:i/>
          <w:sz w:val="24"/>
          <w:szCs w:val="24"/>
        </w:rPr>
        <w:t>A.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1718">
        <w:rPr>
          <w:rFonts w:ascii="Times New Roman" w:hAnsi="Times New Roman" w:cs="Times New Roman"/>
          <w:i/>
          <w:sz w:val="24"/>
          <w:szCs w:val="24"/>
        </w:rPr>
        <w:t>salmonicida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(A-F)</w:t>
      </w:r>
      <w:r w:rsidRPr="004E29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(1-2) </w:t>
      </w:r>
      <w:r>
        <w:rPr>
          <w:rFonts w:ascii="Times New Roman" w:hAnsi="Times New Roman" w:cs="Times New Roman"/>
          <w:sz w:val="24"/>
          <w:szCs w:val="24"/>
        </w:rPr>
        <w:t xml:space="preserve">LB broth without and with an inocula of </w:t>
      </w:r>
      <w:r w:rsidRPr="00AF1718">
        <w:rPr>
          <w:rFonts w:ascii="Times New Roman" w:hAnsi="Times New Roman" w:cs="Times New Roman"/>
          <w:i/>
          <w:sz w:val="24"/>
          <w:szCs w:val="24"/>
        </w:rPr>
        <w:t>A.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1718">
        <w:rPr>
          <w:rFonts w:ascii="Times New Roman" w:hAnsi="Times New Roman" w:cs="Times New Roman"/>
          <w:i/>
          <w:sz w:val="24"/>
          <w:szCs w:val="24"/>
        </w:rPr>
        <w:t>salmonicida</w:t>
      </w:r>
      <w:r>
        <w:rPr>
          <w:rFonts w:ascii="Times New Roman" w:hAnsi="Times New Roman" w:cs="Times New Roman"/>
          <w:sz w:val="24"/>
          <w:szCs w:val="24"/>
        </w:rPr>
        <w:t xml:space="preserve"> as negative and positive controls, respectively. </w:t>
      </w:r>
      <w:r w:rsidRPr="00AF1718">
        <w:rPr>
          <w:rFonts w:ascii="Times New Roman" w:hAnsi="Times New Roman" w:cs="Times New Roman"/>
          <w:b/>
          <w:sz w:val="24"/>
          <w:szCs w:val="24"/>
        </w:rPr>
        <w:t>(3-12)</w:t>
      </w:r>
      <w:r>
        <w:rPr>
          <w:rFonts w:ascii="Times New Roman" w:hAnsi="Times New Roman" w:cs="Times New Roman"/>
          <w:sz w:val="24"/>
          <w:szCs w:val="24"/>
        </w:rPr>
        <w:t xml:space="preserve"> LB broth containing 4%, 8%, 12%, 13%, 14%, 15%, 16%, 17%, 18%, and 19% of cell-free supernatant of FiA2, respectively, and each of it is inoculated with 1% inoculum of </w:t>
      </w:r>
      <w:r w:rsidRPr="00AF1718">
        <w:rPr>
          <w:rFonts w:ascii="Times New Roman" w:hAnsi="Times New Roman" w:cs="Times New Roman"/>
          <w:i/>
          <w:sz w:val="24"/>
          <w:szCs w:val="24"/>
        </w:rPr>
        <w:t>A.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1718">
        <w:rPr>
          <w:rFonts w:ascii="Times New Roman" w:hAnsi="Times New Roman" w:cs="Times New Roman"/>
          <w:i/>
          <w:sz w:val="24"/>
          <w:szCs w:val="24"/>
        </w:rPr>
        <w:t>salmonicidia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C65DD">
        <w:rPr>
          <w:rFonts w:ascii="Times New Roman" w:hAnsi="Times New Roman" w:cs="Times New Roman"/>
          <w:b/>
          <w:sz w:val="24"/>
          <w:szCs w:val="24"/>
        </w:rPr>
        <w:t>(B, C, and D)</w:t>
      </w:r>
      <w:r>
        <w:rPr>
          <w:rFonts w:ascii="Times New Roman" w:hAnsi="Times New Roman" w:cs="Times New Roman"/>
          <w:sz w:val="24"/>
          <w:szCs w:val="24"/>
        </w:rPr>
        <w:t xml:space="preserve"> tubes 7, 8, and 9, respectively, spread on agar plates; the red arrows on plate C indicate the weak growth of </w:t>
      </w:r>
      <w:r w:rsidRPr="00AF1718">
        <w:rPr>
          <w:rFonts w:ascii="Times New Roman" w:hAnsi="Times New Roman" w:cs="Times New Roman"/>
          <w:i/>
          <w:sz w:val="24"/>
          <w:szCs w:val="24"/>
        </w:rPr>
        <w:t>A.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1718">
        <w:rPr>
          <w:rFonts w:ascii="Times New Roman" w:hAnsi="Times New Roman" w:cs="Times New Roman"/>
          <w:i/>
          <w:sz w:val="24"/>
          <w:szCs w:val="24"/>
        </w:rPr>
        <w:t>salmonicida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from the MIC tube. </w:t>
      </w:r>
      <w:r w:rsidRPr="008C65DD">
        <w:rPr>
          <w:rFonts w:ascii="Times New Roman" w:hAnsi="Times New Roman" w:cs="Times New Roman"/>
          <w:b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 xml:space="preserve"> Negative control (tube; 1) tube spread on agar plate. </w:t>
      </w:r>
      <w:r w:rsidRPr="008C65DD">
        <w:rPr>
          <w:rFonts w:ascii="Times New Roman" w:hAnsi="Times New Roman" w:cs="Times New Roman"/>
          <w:b/>
          <w:sz w:val="24"/>
          <w:szCs w:val="24"/>
        </w:rPr>
        <w:t>(F)</w:t>
      </w:r>
      <w:r>
        <w:rPr>
          <w:rFonts w:ascii="Times New Roman" w:hAnsi="Times New Roman" w:cs="Times New Roman"/>
          <w:sz w:val="24"/>
          <w:szCs w:val="24"/>
        </w:rPr>
        <w:t xml:space="preserve"> Positive control tube (tube; 2) spread on agar plate.</w:t>
      </w:r>
    </w:p>
    <w:p w:rsidR="00C751E6" w:rsidRDefault="00C751E6" w:rsidP="00C75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1E6" w:rsidRDefault="00C751E6" w:rsidP="00C75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1E6" w:rsidRDefault="00C751E6" w:rsidP="00C75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1E6" w:rsidRDefault="00C751E6" w:rsidP="00C75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1E6" w:rsidRDefault="00C751E6" w:rsidP="00C75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1E6" w:rsidRDefault="00C751E6" w:rsidP="00C75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1E6" w:rsidRDefault="00C751E6" w:rsidP="00C751E6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00C4CEC2" wp14:editId="193C91D7">
            <wp:extent cx="5486400" cy="3409950"/>
            <wp:effectExtent l="57150" t="57150" r="114300" b="114300"/>
            <wp:docPr id="4" name="Picture 4" descr="F:\fiA2\PAPER AND CULTURE\paper pictures\Supernatant evalu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iA2\PAPER AND CULTURE\paper pictures\Supernatant evaluation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93"/>
                    <a:stretch/>
                  </pic:blipFill>
                  <pic:spPr bwMode="auto">
                    <a:xfrm>
                      <a:off x="0" y="0"/>
                      <a:ext cx="5486400" cy="3409950"/>
                    </a:xfrm>
                    <a:prstGeom prst="rect">
                      <a:avLst/>
                    </a:prstGeom>
                    <a:ln w="3175" cap="sq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51E6" w:rsidRPr="00F04B13" w:rsidRDefault="00B35D77" w:rsidP="00C751E6">
      <w:pPr>
        <w:rPr>
          <w:rFonts w:ascii="Times New Roman" w:hAnsi="Times New Roman" w:cs="Times New Roman"/>
          <w:sz w:val="24"/>
          <w:szCs w:val="24"/>
        </w:rPr>
      </w:pPr>
      <w:r w:rsidRPr="00F04B13">
        <w:rPr>
          <w:rFonts w:ascii="Times New Roman" w:hAnsi="Times New Roman" w:cs="Times New Roman"/>
          <w:b/>
          <w:sz w:val="24"/>
          <w:szCs w:val="24"/>
        </w:rPr>
        <w:t xml:space="preserve">S. </w:t>
      </w:r>
      <w:r w:rsidR="00C751E6" w:rsidRPr="00F04B13">
        <w:rPr>
          <w:rFonts w:ascii="Times New Roman" w:hAnsi="Times New Roman" w:cs="Times New Roman"/>
          <w:b/>
          <w:sz w:val="24"/>
          <w:szCs w:val="24"/>
        </w:rPr>
        <w:t>Figure. 12</w:t>
      </w:r>
      <w:r w:rsidR="00C751E6" w:rsidRPr="00F04B13">
        <w:rPr>
          <w:rFonts w:ascii="Times New Roman" w:hAnsi="Times New Roman" w:cs="Times New Roman"/>
          <w:sz w:val="24"/>
          <w:szCs w:val="24"/>
        </w:rPr>
        <w:t xml:space="preserve"> Stability evaluation of bioactive compound of FiA2 by exposing to </w:t>
      </w:r>
      <w:r w:rsidR="00C751E6" w:rsidRPr="00F04B13">
        <w:rPr>
          <w:rFonts w:ascii="Times New Roman" w:hAnsi="Times New Roman" w:cs="Times New Roman"/>
          <w:b/>
          <w:sz w:val="24"/>
          <w:szCs w:val="24"/>
        </w:rPr>
        <w:t>(A)</w:t>
      </w:r>
      <w:r w:rsidR="00C751E6" w:rsidRPr="00F04B13">
        <w:rPr>
          <w:rFonts w:ascii="Times New Roman" w:hAnsi="Times New Roman" w:cs="Times New Roman"/>
          <w:sz w:val="24"/>
          <w:szCs w:val="24"/>
        </w:rPr>
        <w:t xml:space="preserve"> chemicals, </w:t>
      </w:r>
      <w:r w:rsidR="00C751E6" w:rsidRPr="00F04B13">
        <w:rPr>
          <w:rFonts w:ascii="Times New Roman" w:hAnsi="Times New Roman" w:cs="Times New Roman"/>
          <w:b/>
          <w:sz w:val="24"/>
          <w:szCs w:val="24"/>
        </w:rPr>
        <w:t>(B)</w:t>
      </w:r>
      <w:r w:rsidR="00C751E6" w:rsidRPr="00F04B13">
        <w:rPr>
          <w:rFonts w:ascii="Times New Roman" w:hAnsi="Times New Roman" w:cs="Times New Roman"/>
          <w:sz w:val="24"/>
          <w:szCs w:val="24"/>
        </w:rPr>
        <w:t xml:space="preserve"> proteases, </w:t>
      </w:r>
      <w:r w:rsidR="00C751E6" w:rsidRPr="00F04B13">
        <w:rPr>
          <w:rFonts w:ascii="Times New Roman" w:hAnsi="Times New Roman" w:cs="Times New Roman"/>
          <w:b/>
          <w:sz w:val="24"/>
          <w:szCs w:val="24"/>
        </w:rPr>
        <w:t>(C)</w:t>
      </w:r>
      <w:r w:rsidR="00C751E6" w:rsidRPr="00F04B13">
        <w:rPr>
          <w:rFonts w:ascii="Times New Roman" w:hAnsi="Times New Roman" w:cs="Times New Roman"/>
          <w:sz w:val="24"/>
          <w:szCs w:val="24"/>
        </w:rPr>
        <w:t xml:space="preserve"> pH </w:t>
      </w:r>
      <w:r w:rsidR="00C751E6" w:rsidRPr="00F04B13">
        <w:rPr>
          <w:rFonts w:ascii="Times New Roman" w:hAnsi="Times New Roman" w:cs="Times New Roman"/>
          <w:b/>
          <w:sz w:val="24"/>
          <w:szCs w:val="24"/>
        </w:rPr>
        <w:t>(D)</w:t>
      </w:r>
      <w:r w:rsidR="00C751E6" w:rsidRPr="00F04B13">
        <w:rPr>
          <w:rFonts w:ascii="Times New Roman" w:hAnsi="Times New Roman" w:cs="Times New Roman"/>
          <w:sz w:val="24"/>
          <w:szCs w:val="24"/>
        </w:rPr>
        <w:t xml:space="preserve"> UV, and </w:t>
      </w:r>
      <w:r w:rsidR="00C751E6" w:rsidRPr="00F04B13">
        <w:rPr>
          <w:rFonts w:ascii="Times New Roman" w:hAnsi="Times New Roman" w:cs="Times New Roman"/>
          <w:b/>
          <w:sz w:val="24"/>
          <w:szCs w:val="24"/>
        </w:rPr>
        <w:t>(E)</w:t>
      </w:r>
      <w:r w:rsidR="00C751E6" w:rsidRPr="00F04B13">
        <w:rPr>
          <w:rFonts w:ascii="Times New Roman" w:hAnsi="Times New Roman" w:cs="Times New Roman"/>
          <w:sz w:val="24"/>
          <w:szCs w:val="24"/>
        </w:rPr>
        <w:t xml:space="preserve"> temperatures. </w:t>
      </w:r>
      <w:r w:rsidR="00C751E6" w:rsidRPr="00F04B13">
        <w:rPr>
          <w:rFonts w:ascii="Times New Roman" w:hAnsi="Times New Roman" w:cs="Times New Roman"/>
          <w:b/>
          <w:sz w:val="24"/>
          <w:szCs w:val="24"/>
        </w:rPr>
        <w:t>(CK)</w:t>
      </w:r>
      <w:r w:rsidR="00C751E6" w:rsidRPr="00F04B13">
        <w:rPr>
          <w:rFonts w:ascii="Times New Roman" w:hAnsi="Times New Roman" w:cs="Times New Roman"/>
          <w:sz w:val="24"/>
          <w:szCs w:val="24"/>
        </w:rPr>
        <w:t xml:space="preserve"> negative control. </w:t>
      </w: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A45B3D" w:rsidRDefault="00A45B3D" w:rsidP="00A45B3D">
      <w:pPr>
        <w:rPr>
          <w:b/>
        </w:rPr>
      </w:pPr>
      <w:r>
        <w:rPr>
          <w:noProof/>
        </w:rPr>
        <w:drawing>
          <wp:inline distT="0" distB="0" distL="0" distR="0" wp14:anchorId="5839BCE1" wp14:editId="3A0FFA93">
            <wp:extent cx="4787900" cy="3232150"/>
            <wp:effectExtent l="57150" t="57150" r="107950" b="120650"/>
            <wp:docPr id="2" name="Picture 2" descr="F:\fiA2\PAPER AND CULTURE\paper pictures\1- BUTANOL EXTRAC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iA2\PAPER AND CULTURE\paper pictures\1- BUTANOL EXTRACT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7" t="3755" r="6135" b="16614"/>
                    <a:stretch/>
                  </pic:blipFill>
                  <pic:spPr bwMode="auto">
                    <a:xfrm>
                      <a:off x="0" y="0"/>
                      <a:ext cx="4787900" cy="3232150"/>
                    </a:xfrm>
                    <a:prstGeom prst="rect">
                      <a:avLst/>
                    </a:prstGeom>
                    <a:ln w="3175" cap="sq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B3D" w:rsidRPr="004F1547" w:rsidRDefault="00A45B3D" w:rsidP="00A45B3D">
      <w:pPr>
        <w:rPr>
          <w:rFonts w:ascii="Times New Roman" w:hAnsi="Times New Roman" w:cs="Times New Roman"/>
          <w:sz w:val="24"/>
          <w:szCs w:val="24"/>
        </w:rPr>
      </w:pPr>
      <w:r w:rsidRPr="004F1547">
        <w:rPr>
          <w:rFonts w:ascii="Times New Roman" w:hAnsi="Times New Roman" w:cs="Times New Roman"/>
          <w:b/>
          <w:sz w:val="24"/>
          <w:szCs w:val="24"/>
        </w:rPr>
        <w:t xml:space="preserve">S. Figure 13. </w:t>
      </w:r>
      <w:r w:rsidRPr="004F1547">
        <w:rPr>
          <w:rFonts w:ascii="Times New Roman" w:hAnsi="Times New Roman" w:cs="Times New Roman"/>
          <w:sz w:val="24"/>
          <w:szCs w:val="24"/>
        </w:rPr>
        <w:t xml:space="preserve">Antibacterial activity of 1-Butanol exract of FiA2 against the pathogenic strain. </w:t>
      </w:r>
      <w:r w:rsidRPr="004F1547">
        <w:rPr>
          <w:rFonts w:ascii="Times New Roman" w:hAnsi="Times New Roman" w:cs="Times New Roman"/>
          <w:b/>
          <w:sz w:val="24"/>
          <w:szCs w:val="24"/>
        </w:rPr>
        <w:t>(1 and 2):</w:t>
      </w:r>
      <w:r w:rsidRPr="004F1547">
        <w:rPr>
          <w:rFonts w:ascii="Times New Roman" w:hAnsi="Times New Roman" w:cs="Times New Roman"/>
          <w:sz w:val="24"/>
          <w:szCs w:val="24"/>
        </w:rPr>
        <w:t xml:space="preserve"> the crude extract. </w:t>
      </w:r>
      <w:r w:rsidRPr="004F1547">
        <w:rPr>
          <w:rFonts w:ascii="Times New Roman" w:hAnsi="Times New Roman" w:cs="Times New Roman"/>
          <w:b/>
          <w:sz w:val="24"/>
          <w:szCs w:val="24"/>
        </w:rPr>
        <w:t>(3)</w:t>
      </w:r>
      <w:r w:rsidRPr="004F1547">
        <w:rPr>
          <w:rFonts w:ascii="Times New Roman" w:hAnsi="Times New Roman" w:cs="Times New Roman"/>
          <w:sz w:val="24"/>
          <w:szCs w:val="24"/>
        </w:rPr>
        <w:t xml:space="preserve"> Sterilized distilled water as a negative control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5B3D" w:rsidRPr="004F1547" w:rsidRDefault="00A45B3D" w:rsidP="00A45B3D"/>
    <w:p w:rsidR="00A45B3D" w:rsidRPr="00FD6132" w:rsidRDefault="00A45B3D" w:rsidP="00C751E6">
      <w:pPr>
        <w:rPr>
          <w:rFonts w:ascii="Times New Roman" w:hAnsi="Times New Roman" w:cs="Times New Roman"/>
          <w:sz w:val="20"/>
          <w:szCs w:val="20"/>
        </w:rPr>
      </w:pPr>
    </w:p>
    <w:p w:rsidR="00C751E6" w:rsidRDefault="00C751E6" w:rsidP="00C75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1E6" w:rsidRDefault="00C751E6" w:rsidP="00C751E6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1E6" w:rsidRDefault="00C751E6" w:rsidP="00C751E6"/>
    <w:p w:rsidR="00A837FC" w:rsidRDefault="00A837FC"/>
    <w:sectPr w:rsidR="00A837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3B2" w:rsidRDefault="00BD03B2" w:rsidP="00B35D77">
      <w:pPr>
        <w:spacing w:after="0" w:line="240" w:lineRule="auto"/>
      </w:pPr>
      <w:r>
        <w:separator/>
      </w:r>
    </w:p>
  </w:endnote>
  <w:endnote w:type="continuationSeparator" w:id="0">
    <w:p w:rsidR="00BD03B2" w:rsidRDefault="00BD03B2" w:rsidP="00B3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3B2" w:rsidRDefault="00BD03B2" w:rsidP="00B35D77">
      <w:pPr>
        <w:spacing w:after="0" w:line="240" w:lineRule="auto"/>
      </w:pPr>
      <w:r>
        <w:separator/>
      </w:r>
    </w:p>
  </w:footnote>
  <w:footnote w:type="continuationSeparator" w:id="0">
    <w:p w:rsidR="00BD03B2" w:rsidRDefault="00BD03B2" w:rsidP="00B35D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24"/>
    <w:rsid w:val="000D3724"/>
    <w:rsid w:val="00A45B3D"/>
    <w:rsid w:val="00A837FC"/>
    <w:rsid w:val="00B35D77"/>
    <w:rsid w:val="00BD03B2"/>
    <w:rsid w:val="00C751E6"/>
    <w:rsid w:val="00F0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94514"/>
  <w15:chartTrackingRefBased/>
  <w15:docId w15:val="{6EEF344A-0A04-40FC-A53A-A46E5F18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D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D77"/>
  </w:style>
  <w:style w:type="paragraph" w:styleId="Footer">
    <w:name w:val="footer"/>
    <w:basedOn w:val="Normal"/>
    <w:link w:val="FooterChar"/>
    <w:uiPriority w:val="99"/>
    <w:unhideWhenUsed/>
    <w:rsid w:val="00B35D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2024-11-22T03:32:00Z</dcterms:created>
  <dcterms:modified xsi:type="dcterms:W3CDTF">2024-11-22T03:52:00Z</dcterms:modified>
</cp:coreProperties>
</file>