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05272" w14:textId="77777777" w:rsidR="004B349A" w:rsidRDefault="004B349A" w:rsidP="004B349A">
      <w:pPr>
        <w:spacing w:line="360" w:lineRule="auto"/>
        <w:jc w:val="center"/>
        <w:rPr>
          <w:b/>
        </w:rPr>
      </w:pPr>
      <w:r>
        <w:rPr>
          <w:b/>
        </w:rPr>
        <w:t>SUPPLEMENTARY MATERIAL</w:t>
      </w:r>
    </w:p>
    <w:p w14:paraId="7377AA6A" w14:textId="77777777" w:rsidR="004B349A" w:rsidRDefault="004B349A" w:rsidP="004B349A">
      <w:pPr>
        <w:spacing w:line="360" w:lineRule="auto"/>
        <w:jc w:val="center"/>
        <w:rPr>
          <w:b/>
        </w:rPr>
      </w:pPr>
    </w:p>
    <w:p w14:paraId="50D19DE4" w14:textId="77777777" w:rsidR="004B349A" w:rsidRPr="006B7DDB" w:rsidRDefault="004B349A" w:rsidP="004B349A">
      <w:pPr>
        <w:spacing w:line="360" w:lineRule="auto"/>
        <w:jc w:val="center"/>
        <w:rPr>
          <w:b/>
        </w:rPr>
      </w:pPr>
      <w:r w:rsidRPr="006B7DDB">
        <w:rPr>
          <w:b/>
        </w:rPr>
        <w:t>Blood markers assessment</w:t>
      </w:r>
    </w:p>
    <w:p w14:paraId="14A31790" w14:textId="77777777" w:rsidR="004B349A" w:rsidRDefault="004B349A" w:rsidP="004B349A">
      <w:pPr>
        <w:spacing w:line="360" w:lineRule="auto"/>
        <w:jc w:val="both"/>
      </w:pPr>
      <w:r w:rsidRPr="006B7DDB">
        <w:rPr>
          <w:b/>
        </w:rPr>
        <w:t>Fatty acids</w:t>
      </w:r>
      <w:r>
        <w:rPr>
          <w:b/>
        </w:rPr>
        <w:t xml:space="preserve">. </w:t>
      </w:r>
      <w:r w:rsidRPr="006B7DDB">
        <w:t>Lipids were extracted from red blood cells after acidification</w:t>
      </w:r>
      <w:r>
        <w:t xml:space="preserve"> by </w:t>
      </w:r>
      <w:r w:rsidRPr="006B7DDB">
        <w:t>using a mixture of hexane and isopropanol</w:t>
      </w:r>
      <w:r>
        <w:t>;</w:t>
      </w:r>
      <w:r w:rsidRPr="006B7DDB">
        <w:t xml:space="preserve"> Margaric acid</w:t>
      </w:r>
      <w:r>
        <w:t xml:space="preserve"> </w:t>
      </w:r>
      <w:r w:rsidRPr="006B7DDB">
        <w:t xml:space="preserve">was added as an internal standard. Total lipid extracts were saponified and methylated. </w:t>
      </w:r>
      <w:bookmarkStart w:id="0" w:name="_Hlk89359136"/>
      <w:r w:rsidRPr="006B7DDB">
        <w:t xml:space="preserve">Fatty acid methyl esters </w:t>
      </w:r>
      <w:bookmarkEnd w:id="0"/>
      <w:r w:rsidRPr="006B7DDB">
        <w:t xml:space="preserve">were extracted with pentane and analyzed by gas chromatography using an Agilent Technologies 6890N gas chromatograph with a split injector, a bonded silica capillary column, and a flame ionization detector. Identification of </w:t>
      </w:r>
      <w:r>
        <w:t>f</w:t>
      </w:r>
      <w:r w:rsidRPr="006B7DDB">
        <w:t xml:space="preserve">atty acid methyl esters was based on retention times obtained for FAME prepared from fatty acid standards. The area under the curve </w:t>
      </w:r>
      <w:r>
        <w:t xml:space="preserve">(AUC) </w:t>
      </w:r>
      <w:r w:rsidRPr="006B7DDB">
        <w:t xml:space="preserve">was </w:t>
      </w:r>
      <w:r>
        <w:t>measured</w:t>
      </w:r>
      <w:r w:rsidRPr="006B7DDB">
        <w:t xml:space="preserve"> using </w:t>
      </w:r>
      <w:proofErr w:type="spellStart"/>
      <w:r w:rsidRPr="006B7DDB">
        <w:t>ChemStation</w:t>
      </w:r>
      <w:proofErr w:type="spellEnd"/>
      <w:r w:rsidRPr="006B7DDB">
        <w:t xml:space="preserve"> software (Agilent) and expressed as a percent of total fatty acids.</w:t>
      </w:r>
    </w:p>
    <w:p w14:paraId="4FCB99B9" w14:textId="77777777" w:rsidR="004B349A" w:rsidRDefault="004B349A" w:rsidP="004B349A">
      <w:pPr>
        <w:spacing w:line="360" w:lineRule="auto"/>
        <w:jc w:val="both"/>
        <w:rPr>
          <w:b/>
        </w:rPr>
      </w:pPr>
    </w:p>
    <w:p w14:paraId="50D520B4" w14:textId="77777777" w:rsidR="004B349A" w:rsidRPr="00E00BE4" w:rsidRDefault="004B349A" w:rsidP="004B349A">
      <w:pPr>
        <w:spacing w:line="360" w:lineRule="auto"/>
        <w:jc w:val="both"/>
        <w:rPr>
          <w:b/>
        </w:rPr>
      </w:pPr>
      <w:r w:rsidRPr="00E00BE4">
        <w:rPr>
          <w:b/>
        </w:rPr>
        <w:t xml:space="preserve">ApoE4: </w:t>
      </w:r>
      <w:r w:rsidRPr="00E00BE4">
        <w:rPr>
          <w:color w:val="2E2E2E"/>
        </w:rPr>
        <w:t xml:space="preserve">PAX gene tubes were utilized for blood collection and the </w:t>
      </w:r>
      <w:proofErr w:type="spellStart"/>
      <w:r w:rsidRPr="00E00BE4">
        <w:rPr>
          <w:color w:val="2E2E2E"/>
        </w:rPr>
        <w:t>QIAamp</w:t>
      </w:r>
      <w:proofErr w:type="spellEnd"/>
      <w:r w:rsidRPr="00E00BE4">
        <w:rPr>
          <w:color w:val="2E2E2E"/>
        </w:rPr>
        <w:t xml:space="preserve"> 96 DNA </w:t>
      </w:r>
      <w:proofErr w:type="spellStart"/>
      <w:r w:rsidRPr="00E00BE4">
        <w:rPr>
          <w:color w:val="2E2E2E"/>
        </w:rPr>
        <w:t>QIAcube</w:t>
      </w:r>
      <w:proofErr w:type="spellEnd"/>
      <w:r w:rsidRPr="00E00BE4">
        <w:rPr>
          <w:color w:val="2E2E2E"/>
        </w:rPr>
        <w:t xml:space="preserve"> HT Kit (Qiagen, France) was used for </w:t>
      </w:r>
      <w:hyperlink r:id="rId4" w:tooltip="Learn more about genomic DNA from ScienceDirect's AI-generated Topic Pages" w:history="1">
        <w:r w:rsidRPr="00E00BE4">
          <w:rPr>
            <w:color w:val="2E2E2E"/>
            <w:u w:val="single"/>
          </w:rPr>
          <w:t>genomic DNA</w:t>
        </w:r>
      </w:hyperlink>
      <w:r w:rsidRPr="00E00BE4">
        <w:rPr>
          <w:color w:val="2E2E2E"/>
        </w:rPr>
        <w:t> extraction. </w:t>
      </w:r>
      <w:r>
        <w:rPr>
          <w:color w:val="2E2E2E"/>
        </w:rPr>
        <w:t xml:space="preserve">In order to determine the </w:t>
      </w:r>
      <w:proofErr w:type="spellStart"/>
      <w:r>
        <w:rPr>
          <w:color w:val="2E2E2E"/>
        </w:rPr>
        <w:t>ApoE</w:t>
      </w:r>
      <w:proofErr w:type="spellEnd"/>
      <w:r>
        <w:rPr>
          <w:color w:val="2E2E2E"/>
        </w:rPr>
        <w:t xml:space="preserve"> genotype </w:t>
      </w:r>
      <w:hyperlink r:id="rId5" w:tooltip="Learn more about Pyrosequencing from ScienceDirect's AI-generated Topic Pages" w:history="1">
        <w:r>
          <w:rPr>
            <w:color w:val="2E2E2E"/>
            <w:u w:val="single"/>
          </w:rPr>
          <w:t>p</w:t>
        </w:r>
        <w:r w:rsidRPr="00E00BE4">
          <w:rPr>
            <w:color w:val="2E2E2E"/>
            <w:u w:val="single"/>
          </w:rPr>
          <w:t>yrosequencing</w:t>
        </w:r>
      </w:hyperlink>
      <w:r w:rsidRPr="00E00BE4">
        <w:rPr>
          <w:color w:val="2E2E2E"/>
        </w:rPr>
        <w:t xml:space="preserve"> analysis was performed through the use of a </w:t>
      </w:r>
      <w:proofErr w:type="spellStart"/>
      <w:r w:rsidRPr="00E00BE4">
        <w:rPr>
          <w:color w:val="2E2E2E"/>
        </w:rPr>
        <w:t>Pyromark</w:t>
      </w:r>
      <w:proofErr w:type="spellEnd"/>
      <w:r w:rsidRPr="00E00BE4">
        <w:rPr>
          <w:color w:val="2E2E2E"/>
        </w:rPr>
        <w:t xml:space="preserve"> PCR kit (Qiagen, France) according the manufacturer's instructions</w:t>
      </w:r>
      <w:r>
        <w:rPr>
          <w:color w:val="2E2E2E"/>
        </w:rPr>
        <w:t xml:space="preserve">. </w:t>
      </w:r>
    </w:p>
    <w:p w14:paraId="1B5472B5" w14:textId="77777777" w:rsidR="004B349A" w:rsidRPr="006B7DDB" w:rsidRDefault="004B349A" w:rsidP="004B349A">
      <w:pPr>
        <w:spacing w:line="360" w:lineRule="auto"/>
        <w:jc w:val="both"/>
      </w:pPr>
    </w:p>
    <w:p w14:paraId="11C15104" w14:textId="77777777" w:rsidR="004B349A" w:rsidRPr="0064329D" w:rsidRDefault="004B349A" w:rsidP="004B349A">
      <w:pPr>
        <w:spacing w:line="360" w:lineRule="auto"/>
        <w:jc w:val="both"/>
        <w:rPr>
          <w:b/>
        </w:rPr>
      </w:pPr>
      <w:r w:rsidRPr="006B7DDB">
        <w:rPr>
          <w:b/>
        </w:rPr>
        <w:t xml:space="preserve">Aβ </w:t>
      </w:r>
      <w:r>
        <w:rPr>
          <w:b/>
        </w:rPr>
        <w:t xml:space="preserve">assessment. </w:t>
      </w:r>
      <w:r w:rsidRPr="006B7DDB">
        <w:t xml:space="preserve">Targeted Aβ isoforms (Aβ38, Aβ40, and Aβ42) were simultaneously immunoprecipitated from 0.45 mL of plasma via a monoclonal anti-Aβ mid-domain antibody (HJ5.1, </w:t>
      </w:r>
      <w:proofErr w:type="spellStart"/>
      <w:r w:rsidRPr="006B7DDB">
        <w:t>antiA</w:t>
      </w:r>
      <w:proofErr w:type="spellEnd"/>
      <w:r w:rsidRPr="006B7DDB">
        <w:t xml:space="preserve">β13-28) conjugated to M-270 Epoxy </w:t>
      </w:r>
      <w:proofErr w:type="spellStart"/>
      <w:r w:rsidRPr="006B7DDB">
        <w:t>Dynabeads</w:t>
      </w:r>
      <w:proofErr w:type="spellEnd"/>
      <w:r w:rsidRPr="006B7DDB">
        <w:t xml:space="preserve"> (Invitrogen). </w:t>
      </w:r>
      <w:r>
        <w:t>Previous</w:t>
      </w:r>
      <w:r w:rsidRPr="006B7DDB">
        <w:t xml:space="preserve"> to immunoprecipitation, samples were spiked with a known quantity of 12C15N-Aβ38, 12C15N-Aβ40 and 12C15N-Aβ42 for use as analytical internal standards. Proteins were digested into peptides using </w:t>
      </w:r>
      <w:proofErr w:type="spellStart"/>
      <w:r w:rsidRPr="006B7DDB">
        <w:t>LysN</w:t>
      </w:r>
      <w:proofErr w:type="spellEnd"/>
      <w:r w:rsidRPr="006B7DDB">
        <w:t xml:space="preserve"> </w:t>
      </w:r>
      <w:proofErr w:type="spellStart"/>
      <w:r w:rsidRPr="006B7DDB">
        <w:t>endoprotease</w:t>
      </w:r>
      <w:proofErr w:type="spellEnd"/>
      <w:r w:rsidRPr="006B7DDB">
        <w:t xml:space="preserve">. Liquid chromatography-mass spectrometry was performed. Plasma analyses were </w:t>
      </w:r>
      <w:r>
        <w:t>realized</w:t>
      </w:r>
      <w:r w:rsidRPr="006B7DDB">
        <w:t xml:space="preserve"> as targeted parallel reaction monitoring on an Orbitrap Fusion Lumos </w:t>
      </w:r>
      <w:proofErr w:type="spellStart"/>
      <w:r w:rsidRPr="006B7DDB">
        <w:t>Tribrid</w:t>
      </w:r>
      <w:proofErr w:type="spellEnd"/>
      <w:r w:rsidRPr="006B7DDB">
        <w:t xml:space="preserve"> mass spectrometer (Thermo Fisher) interfaced with an M-class </w:t>
      </w:r>
      <w:proofErr w:type="spellStart"/>
      <w:r w:rsidRPr="006B7DDB">
        <w:t>nanoAcquity</w:t>
      </w:r>
      <w:proofErr w:type="spellEnd"/>
      <w:r w:rsidRPr="006B7DDB">
        <w:t xml:space="preserve"> chromatography system (Waters).</w:t>
      </w:r>
      <w:r>
        <w:t xml:space="preserve"> </w:t>
      </w:r>
      <w:r w:rsidRPr="006B7DDB">
        <w:t>The derived integrated peak areas were</w:t>
      </w:r>
      <w:r>
        <w:t xml:space="preserve"> thus</w:t>
      </w:r>
      <w:r w:rsidRPr="006B7DDB">
        <w:t xml:space="preserve"> analyzed </w:t>
      </w:r>
      <w:r>
        <w:t xml:space="preserve">by </w:t>
      </w:r>
      <w:r w:rsidRPr="006B7DDB">
        <w:t xml:space="preserve">using the Skyline software package. Aβ42 and Aβ40 </w:t>
      </w:r>
      <w:r>
        <w:t>levels</w:t>
      </w:r>
      <w:r w:rsidRPr="006B7DDB">
        <w:t xml:space="preserve"> were </w:t>
      </w:r>
      <w:r>
        <w:t>measured</w:t>
      </w:r>
      <w:r w:rsidRPr="006B7DDB">
        <w:t xml:space="preserve"> by integrated peak area ratios to known concentrations of the internal standards. The value of Aβ42/40 ratio (dividing plasma Aβ42 by Aβ40) was then calculated and their normalized values were used.</w:t>
      </w:r>
    </w:p>
    <w:p w14:paraId="404DAFF7" w14:textId="77777777" w:rsidR="004B349A" w:rsidRPr="006B7DDB" w:rsidRDefault="004B349A" w:rsidP="004B349A">
      <w:pPr>
        <w:spacing w:line="360" w:lineRule="auto"/>
        <w:jc w:val="both"/>
      </w:pPr>
    </w:p>
    <w:p w14:paraId="7F646254" w14:textId="77777777" w:rsidR="004B349A" w:rsidRPr="0064329D" w:rsidRDefault="004B349A" w:rsidP="004B349A">
      <w:pPr>
        <w:spacing w:line="360" w:lineRule="auto"/>
        <w:jc w:val="both"/>
        <w:rPr>
          <w:b/>
        </w:rPr>
      </w:pPr>
      <w:r w:rsidRPr="006B7DDB">
        <w:rPr>
          <w:b/>
        </w:rPr>
        <w:lastRenderedPageBreak/>
        <w:t>Neurofilaments</w:t>
      </w:r>
      <w:r>
        <w:rPr>
          <w:b/>
        </w:rPr>
        <w:t xml:space="preserve">. </w:t>
      </w:r>
      <w:r w:rsidRPr="006B7DDB">
        <w:rPr>
          <w:color w:val="2A2A2A"/>
          <w:shd w:val="clear" w:color="auto" w:fill="FFFFFF"/>
        </w:rPr>
        <w:t xml:space="preserve">Samples were diluted 4-fold in diluent buffer and tested in duplicate. Plasma </w:t>
      </w:r>
      <w:r>
        <w:rPr>
          <w:color w:val="2A2A2A"/>
          <w:shd w:val="clear" w:color="auto" w:fill="FFFFFF"/>
        </w:rPr>
        <w:t>neurofilaments</w:t>
      </w:r>
      <w:r w:rsidRPr="006B7DDB">
        <w:rPr>
          <w:color w:val="2A2A2A"/>
          <w:shd w:val="clear" w:color="auto" w:fill="FFFFFF"/>
        </w:rPr>
        <w:t xml:space="preserve"> were measured using the R-PLEX human neurofilament L antibody set (Meso Scale Discovery, F217X). Samples were diluted </w:t>
      </w:r>
      <w:r>
        <w:rPr>
          <w:color w:val="2A2A2A"/>
          <w:shd w:val="clear" w:color="auto" w:fill="FFFFFF"/>
        </w:rPr>
        <w:t>two</w:t>
      </w:r>
      <w:r w:rsidRPr="006B7DDB">
        <w:rPr>
          <w:color w:val="2A2A2A"/>
          <w:shd w:val="clear" w:color="auto" w:fill="FFFFFF"/>
        </w:rPr>
        <w:t>-fold in diluent buffer and tested in duplicate</w:t>
      </w:r>
      <w:r>
        <w:rPr>
          <w:color w:val="2A2A2A"/>
          <w:shd w:val="clear" w:color="auto" w:fill="FFFFFF"/>
        </w:rPr>
        <w:t xml:space="preserve">. </w:t>
      </w:r>
    </w:p>
    <w:p w14:paraId="491D3B48" w14:textId="77777777" w:rsidR="004B349A" w:rsidRDefault="004B349A" w:rsidP="004B349A">
      <w:pPr>
        <w:spacing w:line="360" w:lineRule="auto"/>
        <w:jc w:val="both"/>
        <w:rPr>
          <w:b/>
        </w:rPr>
      </w:pPr>
    </w:p>
    <w:p w14:paraId="01782249" w14:textId="77777777" w:rsidR="004B349A" w:rsidRPr="0064329D" w:rsidRDefault="004B349A" w:rsidP="004B349A">
      <w:pPr>
        <w:spacing w:line="360" w:lineRule="auto"/>
        <w:jc w:val="both"/>
        <w:rPr>
          <w:b/>
        </w:rPr>
      </w:pPr>
      <w:r w:rsidRPr="006B7DDB">
        <w:rPr>
          <w:b/>
        </w:rPr>
        <w:t>Progranulin assessment</w:t>
      </w:r>
      <w:r>
        <w:rPr>
          <w:b/>
        </w:rPr>
        <w:t xml:space="preserve">. </w:t>
      </w:r>
      <w:r w:rsidRPr="006B7DDB">
        <w:t>Samples were diluted 2-fold in a diluent buffer and assayed in duplicate following to the manufacturer’s instructions. Plasma PGRN levels were measured by a commercially available ELISA kit (R&amp;D Systems, DPGRN0). Samples were diluted 4-fold in diluent buffer and assayed in duplicate according to the manufacturer’s instructions</w:t>
      </w:r>
    </w:p>
    <w:p w14:paraId="78C7F7EC" w14:textId="77777777" w:rsidR="004B349A" w:rsidRPr="006B7DDB" w:rsidRDefault="004B349A" w:rsidP="004B349A">
      <w:pPr>
        <w:spacing w:line="360" w:lineRule="auto"/>
        <w:jc w:val="both"/>
      </w:pPr>
    </w:p>
    <w:p w14:paraId="2A7F1BC9" w14:textId="77777777" w:rsidR="004B349A" w:rsidRPr="0064329D" w:rsidRDefault="004B349A" w:rsidP="004B349A">
      <w:pPr>
        <w:spacing w:line="360" w:lineRule="auto"/>
        <w:jc w:val="both"/>
        <w:rPr>
          <w:b/>
        </w:rPr>
      </w:pPr>
      <w:r w:rsidRPr="006B7DDB">
        <w:rPr>
          <w:b/>
        </w:rPr>
        <w:t>Grow differentiation factor 15, Tumor necrosis factor receptor 1, Interleukin 6, Monocyte chemoattractant protein 1</w:t>
      </w:r>
      <w:r>
        <w:rPr>
          <w:b/>
        </w:rPr>
        <w:t xml:space="preserve">. </w:t>
      </w:r>
      <w:r w:rsidRPr="006B7DDB">
        <w:t xml:space="preserve">Proteins </w:t>
      </w:r>
      <w:r>
        <w:t xml:space="preserve">levels </w:t>
      </w:r>
      <w:r w:rsidRPr="006B7DDB">
        <w:t xml:space="preserve">were </w:t>
      </w:r>
      <w:r>
        <w:t>measured</w:t>
      </w:r>
      <w:r w:rsidRPr="006B7DDB">
        <w:t xml:space="preserve"> </w:t>
      </w:r>
      <w:r>
        <w:t>by u</w:t>
      </w:r>
      <w:r w:rsidRPr="006B7DDB">
        <w:t xml:space="preserve">sing a single disposable microfluidic </w:t>
      </w:r>
      <w:proofErr w:type="spellStart"/>
      <w:r w:rsidRPr="006B7DDB">
        <w:t>SimplePlexTM</w:t>
      </w:r>
      <w:proofErr w:type="spellEnd"/>
      <w:r w:rsidRPr="006B7DDB">
        <w:t xml:space="preserve"> cartridge. The plasma samples were thawed on ice and diluted 1</w:t>
      </w:r>
      <w:r>
        <w:t>-</w:t>
      </w:r>
      <w:r w:rsidRPr="006B7DDB">
        <w:t xml:space="preserve">4 in sample diluent (SD 13) </w:t>
      </w:r>
      <w:r>
        <w:t xml:space="preserve">then </w:t>
      </w:r>
      <w:r w:rsidRPr="006B7DDB">
        <w:t>loaded into cartridges with relevant high and low control concentrates. Within the cartridge</w:t>
      </w:r>
      <w:r>
        <w:t xml:space="preserve"> </w:t>
      </w:r>
      <w:r w:rsidRPr="006B7DDB">
        <w:t xml:space="preserve">each plasma sample </w:t>
      </w:r>
      <w:r>
        <w:t>was</w:t>
      </w:r>
      <w:r w:rsidRPr="006B7DDB">
        <w:t xml:space="preserve"> divided into </w:t>
      </w:r>
      <w:r>
        <w:t>4</w:t>
      </w:r>
      <w:r w:rsidRPr="006B7DDB">
        <w:t xml:space="preserve"> unique microfluidic parallel channels </w:t>
      </w:r>
      <w:r>
        <w:t>(</w:t>
      </w:r>
      <w:r w:rsidRPr="006B7DDB">
        <w:t>that are specific for each of the four proteins analyzed</w:t>
      </w:r>
      <w:r>
        <w:t>)</w:t>
      </w:r>
      <w:r w:rsidRPr="006B7DDB">
        <w:t xml:space="preserve">. </w:t>
      </w:r>
      <w:r>
        <w:t>Every</w:t>
      </w:r>
      <w:r w:rsidRPr="006B7DDB">
        <w:t xml:space="preserve"> protein channel contains </w:t>
      </w:r>
      <w:r>
        <w:t>3</w:t>
      </w:r>
      <w:r w:rsidRPr="006B7DDB">
        <w:t xml:space="preserve"> analyte-specific glass nanoreactors </w:t>
      </w:r>
      <w:r>
        <w:t>that</w:t>
      </w:r>
      <w:r w:rsidRPr="006B7DDB">
        <w:t xml:space="preserve"> allows for each plasma sample to be run in triplicates for each of the four protein samples. Cartridges include a built-in lot-specific standard curve for each protein. All steps </w:t>
      </w:r>
      <w:r>
        <w:t xml:space="preserve">previously described </w:t>
      </w:r>
      <w:r w:rsidRPr="006B7DDB">
        <w:t xml:space="preserve">were performed automatically by the instrument without user activity. The obtained protein concentrations were displayed in </w:t>
      </w:r>
      <w:proofErr w:type="spellStart"/>
      <w:r w:rsidRPr="006B7DDB">
        <w:t>pg</w:t>
      </w:r>
      <w:proofErr w:type="spellEnd"/>
      <w:r w:rsidRPr="006B7DDB">
        <w:t xml:space="preserve">/mL </w:t>
      </w:r>
      <w:r>
        <w:t xml:space="preserve">and </w:t>
      </w:r>
      <w:r w:rsidRPr="006B7DDB">
        <w:t>calculated by the internal instrument software</w:t>
      </w:r>
      <w:r>
        <w:t xml:space="preserve">. </w:t>
      </w:r>
    </w:p>
    <w:p w14:paraId="6959C78F" w14:textId="77777777" w:rsidR="00EE0A4B" w:rsidRDefault="00BD0756"/>
    <w:sectPr w:rsidR="00EE0A4B" w:rsidSect="00BE6892">
      <w:pgSz w:w="16840" w:h="11900" w:orient="landscape"/>
      <w:pgMar w:top="1417" w:right="1417" w:bottom="1417" w:left="1417" w:header="708" w:footer="708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49A"/>
    <w:rsid w:val="003311D4"/>
    <w:rsid w:val="004B349A"/>
    <w:rsid w:val="00BD0756"/>
    <w:rsid w:val="00FC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A3D0D"/>
  <w15:chartTrackingRefBased/>
  <w15:docId w15:val="{F60DDA25-B049-4703-ACF0-6A113B4DE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49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ciencedirect.com/topics/medicine-and-dentistry/pyrosequencing" TargetMode="External"/><Relationship Id="rId4" Type="http://schemas.openxmlformats.org/officeDocument/2006/relationships/hyperlink" Target="https://www.sciencedirect.com/topics/medicine-and-dentistry/genomic-dn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Toulouse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ANGIONI Davide</dc:creator>
  <cp:keywords/>
  <dc:description/>
  <cp:lastModifiedBy>Virginie Cassigneul</cp:lastModifiedBy>
  <cp:revision>2</cp:revision>
  <dcterms:created xsi:type="dcterms:W3CDTF">2022-04-21T06:25:00Z</dcterms:created>
  <dcterms:modified xsi:type="dcterms:W3CDTF">2022-04-21T06:25:00Z</dcterms:modified>
</cp:coreProperties>
</file>