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26F" w:rsidRPr="00EF74B5" w:rsidRDefault="00740505" w:rsidP="00EF74B5">
      <w:pPr>
        <w:pStyle w:val="Title"/>
        <w:rPr>
          <w:rFonts w:ascii="Arial" w:hAnsi="Arial" w:cs="Arial"/>
        </w:rPr>
      </w:pPr>
      <w:r w:rsidRPr="00EF74B5">
        <w:rPr>
          <w:rFonts w:ascii="Arial" w:hAnsi="Arial" w:cs="Arial"/>
        </w:rPr>
        <w:t xml:space="preserve">Supplementary </w:t>
      </w:r>
      <w:r w:rsidR="00422751" w:rsidRPr="00EF74B5">
        <w:rPr>
          <w:rFonts w:ascii="Arial" w:hAnsi="Arial" w:cs="Arial"/>
        </w:rPr>
        <w:t>Information Document</w:t>
      </w:r>
    </w:p>
    <w:p w:rsidR="00EF74B5" w:rsidRPr="00EF74B5" w:rsidRDefault="00EF74B5" w:rsidP="00EF74B5">
      <w:pPr>
        <w:rPr>
          <w:rFonts w:ascii="Arial" w:hAnsi="Arial" w:cs="Arial"/>
        </w:rPr>
      </w:pPr>
    </w:p>
    <w:p w:rsidR="00EF74B5" w:rsidRPr="00EF74B5" w:rsidRDefault="00EF74B5" w:rsidP="00EF74B5">
      <w:pPr>
        <w:rPr>
          <w:rFonts w:ascii="Arial" w:hAnsi="Arial" w:cs="Arial"/>
          <w:sz w:val="40"/>
        </w:rPr>
      </w:pPr>
      <w:r w:rsidRPr="00EF74B5">
        <w:rPr>
          <w:rFonts w:ascii="Arial" w:hAnsi="Arial" w:cs="Arial"/>
          <w:sz w:val="40"/>
        </w:rPr>
        <w:t xml:space="preserve">Waste and Biomass </w:t>
      </w:r>
      <w:proofErr w:type="spellStart"/>
      <w:r w:rsidRPr="00EF74B5">
        <w:rPr>
          <w:rFonts w:ascii="Arial" w:hAnsi="Arial" w:cs="Arial"/>
          <w:sz w:val="40"/>
        </w:rPr>
        <w:t>Valorization</w:t>
      </w:r>
      <w:proofErr w:type="spellEnd"/>
    </w:p>
    <w:p w:rsidR="004F5DEF" w:rsidRPr="00EF74B5" w:rsidRDefault="004F5DEF" w:rsidP="004F5DEF">
      <w:pPr>
        <w:rPr>
          <w:rFonts w:ascii="Arial" w:hAnsi="Arial" w:cs="Arial"/>
        </w:rPr>
      </w:pPr>
    </w:p>
    <w:p w:rsidR="00EF74B5" w:rsidRPr="00F32920" w:rsidRDefault="00EF74B5" w:rsidP="004F5DEF">
      <w:pPr>
        <w:rPr>
          <w:rFonts w:ascii="Arial" w:eastAsiaTheme="majorEastAsia" w:hAnsi="Arial" w:cs="Arial"/>
          <w:b/>
          <w:color w:val="000000" w:themeColor="text1"/>
          <w:sz w:val="40"/>
          <w:lang w:bidi="en-US"/>
        </w:rPr>
      </w:pPr>
      <w:bookmarkStart w:id="0" w:name="_Hlk2339663"/>
      <w:bookmarkStart w:id="1" w:name="_Hlk531093812"/>
      <w:r w:rsidRPr="00F32920">
        <w:rPr>
          <w:rFonts w:ascii="Arial" w:eastAsiaTheme="majorEastAsia" w:hAnsi="Arial" w:cs="Arial"/>
          <w:b/>
          <w:color w:val="000000" w:themeColor="text1"/>
          <w:sz w:val="40"/>
          <w:lang w:bidi="en-US"/>
        </w:rPr>
        <w:t>Selection of Sustainable Food Waste Valorisation Routes: A Case Study with Barley Field Residue</w:t>
      </w:r>
      <w:bookmarkEnd w:id="0"/>
    </w:p>
    <w:p w:rsidR="004F5DEF" w:rsidRPr="00EF74B5" w:rsidRDefault="004F5DEF" w:rsidP="004F5DEF">
      <w:pPr>
        <w:rPr>
          <w:rFonts w:ascii="Arial" w:hAnsi="Arial" w:cs="Arial"/>
          <w:b/>
          <w:lang w:bidi="en-US"/>
        </w:rPr>
      </w:pPr>
      <w:r w:rsidRPr="00EF74B5">
        <w:rPr>
          <w:rFonts w:ascii="Arial" w:hAnsi="Arial" w:cs="Arial"/>
          <w:b/>
          <w:lang w:bidi="en-US"/>
        </w:rPr>
        <w:t xml:space="preserve">Jamie Stone </w:t>
      </w:r>
      <w:r w:rsidRPr="00EF74B5">
        <w:rPr>
          <w:rFonts w:ascii="Arial" w:hAnsi="Arial" w:cs="Arial"/>
          <w:b/>
          <w:vertAlign w:val="superscript"/>
          <w:lang w:bidi="en-US"/>
        </w:rPr>
        <w:t>1</w:t>
      </w:r>
      <w:r w:rsidRPr="00EF74B5">
        <w:rPr>
          <w:rFonts w:ascii="Arial" w:hAnsi="Arial" w:cs="Arial"/>
          <w:b/>
          <w:lang w:bidi="en-US"/>
        </w:rPr>
        <w:t xml:space="preserve">, Guillermo Garcia-Garcia </w:t>
      </w:r>
      <w:r w:rsidRPr="00EF74B5">
        <w:rPr>
          <w:rFonts w:ascii="Arial" w:hAnsi="Arial" w:cs="Arial"/>
          <w:b/>
          <w:vertAlign w:val="superscript"/>
          <w:lang w:bidi="en-US"/>
        </w:rPr>
        <w:t>2</w:t>
      </w:r>
      <w:r w:rsidRPr="00EF74B5">
        <w:rPr>
          <w:rFonts w:ascii="Arial" w:hAnsi="Arial" w:cs="Arial"/>
          <w:b/>
          <w:lang w:bidi="en-US"/>
        </w:rPr>
        <w:t xml:space="preserve"> and Shahin Rahimifard </w:t>
      </w:r>
      <w:r w:rsidRPr="00EF74B5">
        <w:rPr>
          <w:rFonts w:ascii="Arial" w:hAnsi="Arial" w:cs="Arial"/>
          <w:b/>
          <w:vertAlign w:val="superscript"/>
          <w:lang w:bidi="en-US"/>
        </w:rPr>
        <w:t>3</w:t>
      </w:r>
      <w:r w:rsidR="00F32920">
        <w:rPr>
          <w:rFonts w:ascii="Arial" w:hAnsi="Arial" w:cs="Arial"/>
          <w:b/>
          <w:vertAlign w:val="superscript"/>
          <w:lang w:bidi="en-US"/>
        </w:rPr>
        <w:t>*</w:t>
      </w:r>
    </w:p>
    <w:p w:rsidR="004F5DEF" w:rsidRPr="00EF74B5" w:rsidRDefault="004F5DEF" w:rsidP="004F5DEF">
      <w:pPr>
        <w:rPr>
          <w:rFonts w:ascii="Arial" w:hAnsi="Arial" w:cs="Arial"/>
          <w:lang w:bidi="en-US"/>
        </w:rPr>
      </w:pPr>
      <w:r w:rsidRPr="00EF74B5">
        <w:rPr>
          <w:rFonts w:ascii="Arial" w:hAnsi="Arial" w:cs="Arial"/>
          <w:vertAlign w:val="superscript"/>
          <w:lang w:bidi="en-US"/>
        </w:rPr>
        <w:t>123</w:t>
      </w:r>
      <w:r w:rsidRPr="00EF74B5">
        <w:rPr>
          <w:rFonts w:ascii="Arial" w:hAnsi="Arial" w:cs="Arial"/>
          <w:lang w:bidi="en-US"/>
        </w:rPr>
        <w:t>Centre for Sustainable Manufacturing and Recycling Technologies, Loughborough University,</w:t>
      </w:r>
      <w:r w:rsidRPr="00EF74B5">
        <w:rPr>
          <w:rFonts w:ascii="Arial" w:hAnsi="Arial" w:cs="Arial"/>
        </w:rPr>
        <w:t xml:space="preserve"> Leicestershire, LE11 3TU, UK</w:t>
      </w:r>
      <w:r w:rsidRPr="00EF74B5">
        <w:rPr>
          <w:rFonts w:ascii="Arial" w:hAnsi="Arial" w:cs="Arial"/>
          <w:lang w:bidi="en-US"/>
        </w:rPr>
        <w:t xml:space="preserve">; J.Stone@lboro.com </w:t>
      </w:r>
    </w:p>
    <w:p w:rsidR="00740505" w:rsidRPr="00EF74B5" w:rsidRDefault="004F5DEF" w:rsidP="00740505">
      <w:pPr>
        <w:rPr>
          <w:rFonts w:ascii="Arial" w:hAnsi="Arial" w:cs="Arial"/>
        </w:rPr>
      </w:pPr>
      <w:r w:rsidRPr="00EF74B5">
        <w:rPr>
          <w:rFonts w:ascii="Arial" w:hAnsi="Arial" w:cs="Arial"/>
        </w:rPr>
        <w:t xml:space="preserve">* Corresponding author: </w:t>
      </w:r>
      <w:bookmarkStart w:id="2" w:name="_Hlk2339515"/>
      <w:r w:rsidR="00F32920">
        <w:rPr>
          <w:rFonts w:ascii="Arial" w:hAnsi="Arial" w:cs="Arial"/>
        </w:rPr>
        <w:t>S.Rahimifard</w:t>
      </w:r>
      <w:r w:rsidRPr="00EF74B5">
        <w:rPr>
          <w:rFonts w:ascii="Arial" w:hAnsi="Arial" w:cs="Arial"/>
        </w:rPr>
        <w:t>@lboro.ac.uk</w:t>
      </w:r>
      <w:bookmarkEnd w:id="1"/>
      <w:bookmarkEnd w:id="2"/>
    </w:p>
    <w:p w:rsidR="004F5DEF" w:rsidRDefault="004F5DEF" w:rsidP="00E876C9">
      <w:pPr>
        <w:pStyle w:val="Heading1"/>
      </w:pPr>
      <w:r w:rsidRPr="00E876C9">
        <w:t>1. Context</w:t>
      </w:r>
    </w:p>
    <w:p w:rsidR="00487537" w:rsidRPr="00487537" w:rsidRDefault="00487537" w:rsidP="00487537"/>
    <w:p w:rsidR="007D75B0" w:rsidRPr="00487537" w:rsidRDefault="00F32920" w:rsidP="007D75B0">
      <w:pPr>
        <w:rPr>
          <w:rFonts w:ascii="Arial" w:hAnsi="Arial" w:cs="Arial"/>
        </w:rPr>
      </w:pPr>
      <w:r w:rsidRPr="00F32920">
        <w:rPr>
          <w:rFonts w:ascii="Arial" w:hAnsi="Arial" w:cs="Arial"/>
        </w:rPr>
        <w:t xml:space="preserve">This supplementary </w:t>
      </w:r>
      <w:r>
        <w:rPr>
          <w:rFonts w:ascii="Arial" w:hAnsi="Arial" w:cs="Arial"/>
        </w:rPr>
        <w:t>information document</w:t>
      </w:r>
      <w:r w:rsidRPr="00F32920">
        <w:rPr>
          <w:rFonts w:ascii="Arial" w:hAnsi="Arial" w:cs="Arial"/>
        </w:rPr>
        <w:t xml:space="preserve"> is intended to provide additional data that will aid readers in understanding the findings of the </w:t>
      </w:r>
      <w:r>
        <w:rPr>
          <w:rFonts w:ascii="Arial" w:hAnsi="Arial" w:cs="Arial"/>
        </w:rPr>
        <w:t>main article entitled “</w:t>
      </w:r>
      <w:r w:rsidRPr="00F32920">
        <w:rPr>
          <w:rFonts w:ascii="Arial" w:hAnsi="Arial" w:cs="Arial"/>
        </w:rPr>
        <w:t>Selection of Sustainable Food Waste Valorisation Routes: A Case Study with Barley Field Residue</w:t>
      </w:r>
      <w:r>
        <w:rPr>
          <w:rFonts w:ascii="Arial" w:hAnsi="Arial" w:cs="Arial"/>
        </w:rPr>
        <w:t>”</w:t>
      </w:r>
      <w:r w:rsidRPr="00F32920">
        <w:rPr>
          <w:rFonts w:ascii="Arial" w:hAnsi="Arial" w:cs="Arial"/>
        </w:rPr>
        <w:t>.</w:t>
      </w:r>
      <w:r w:rsidR="00FC7407">
        <w:rPr>
          <w:rFonts w:ascii="Arial" w:hAnsi="Arial" w:cs="Arial"/>
        </w:rPr>
        <w:t xml:space="preserve"> </w:t>
      </w:r>
      <w:r w:rsidR="000D1C00">
        <w:rPr>
          <w:rFonts w:ascii="Arial" w:hAnsi="Arial" w:cs="Arial"/>
        </w:rPr>
        <w:t xml:space="preserve">The main aim of this supplementary information is to describe in detail the process for </w:t>
      </w:r>
      <w:r w:rsidR="000D1C00" w:rsidRPr="000D1C00">
        <w:rPr>
          <w:rFonts w:ascii="Arial" w:hAnsi="Arial" w:cs="Arial"/>
        </w:rPr>
        <w:t>data collect</w:t>
      </w:r>
      <w:r w:rsidR="000D1C00">
        <w:rPr>
          <w:rFonts w:ascii="Arial" w:hAnsi="Arial" w:cs="Arial"/>
        </w:rPr>
        <w:t>ion</w:t>
      </w:r>
      <w:r w:rsidR="000D1C00" w:rsidRPr="000D1C00">
        <w:rPr>
          <w:rFonts w:ascii="Arial" w:hAnsi="Arial" w:cs="Arial"/>
        </w:rPr>
        <w:t>, analy</w:t>
      </w:r>
      <w:r w:rsidR="000D1C00">
        <w:rPr>
          <w:rFonts w:ascii="Arial" w:hAnsi="Arial" w:cs="Arial"/>
        </w:rPr>
        <w:t xml:space="preserve">sis </w:t>
      </w:r>
      <w:r w:rsidR="000D1C00" w:rsidRPr="000D1C00">
        <w:rPr>
          <w:rFonts w:ascii="Arial" w:hAnsi="Arial" w:cs="Arial"/>
        </w:rPr>
        <w:t>and process</w:t>
      </w:r>
      <w:r w:rsidR="000D1C00">
        <w:rPr>
          <w:rFonts w:ascii="Arial" w:hAnsi="Arial" w:cs="Arial"/>
        </w:rPr>
        <w:t>ing</w:t>
      </w:r>
      <w:r w:rsidR="00487537">
        <w:rPr>
          <w:rFonts w:ascii="Arial" w:hAnsi="Arial" w:cs="Arial"/>
        </w:rPr>
        <w:t xml:space="preserve"> in </w:t>
      </w:r>
      <w:r w:rsidR="001E110E">
        <w:rPr>
          <w:rFonts w:ascii="Arial" w:hAnsi="Arial" w:cs="Arial"/>
        </w:rPr>
        <w:t>S</w:t>
      </w:r>
      <w:r w:rsidR="00487537">
        <w:rPr>
          <w:rFonts w:ascii="Arial" w:hAnsi="Arial" w:cs="Arial"/>
        </w:rPr>
        <w:t>tage</w:t>
      </w:r>
      <w:r w:rsidR="001E110E">
        <w:rPr>
          <w:rFonts w:ascii="Arial" w:hAnsi="Arial" w:cs="Arial"/>
        </w:rPr>
        <w:t xml:space="preserve"> </w:t>
      </w:r>
      <w:r w:rsidR="00487537">
        <w:rPr>
          <w:rFonts w:ascii="Arial" w:hAnsi="Arial" w:cs="Arial"/>
        </w:rPr>
        <w:t>4 of the case study,</w:t>
      </w:r>
      <w:r w:rsidR="007D75B0">
        <w:rPr>
          <w:rFonts w:ascii="Arial" w:hAnsi="Arial" w:cs="Arial"/>
        </w:rPr>
        <w:t xml:space="preserve"> </w:t>
      </w:r>
      <w:r w:rsidR="00487537">
        <w:rPr>
          <w:rFonts w:ascii="Arial" w:hAnsi="Arial" w:cs="Arial"/>
        </w:rPr>
        <w:t xml:space="preserve">in </w:t>
      </w:r>
      <w:r w:rsidR="000D1C00" w:rsidRPr="000D1C00">
        <w:rPr>
          <w:rFonts w:ascii="Arial" w:hAnsi="Arial" w:cs="Arial"/>
        </w:rPr>
        <w:t xml:space="preserve">in order to arrive at the normalised weighted values for each </w:t>
      </w:r>
      <w:r w:rsidR="000D1C00">
        <w:rPr>
          <w:rFonts w:ascii="Arial" w:hAnsi="Arial" w:cs="Arial"/>
        </w:rPr>
        <w:t>scenario as presented in the main article.</w:t>
      </w:r>
      <w:r w:rsidR="000D1C00" w:rsidRPr="000D1C00">
        <w:rPr>
          <w:rFonts w:ascii="Arial" w:hAnsi="Arial" w:cs="Arial"/>
        </w:rPr>
        <w:t xml:space="preserve"> </w:t>
      </w:r>
      <w:r w:rsidR="001E110E">
        <w:rPr>
          <w:rFonts w:ascii="Arial" w:hAnsi="Arial" w:cs="Arial"/>
        </w:rPr>
        <w:t>Tables containing the full outputs from Stage 5 (the sensitivity analysis) are also provided because they were deemed too large for the main article.</w:t>
      </w:r>
    </w:p>
    <w:p w:rsidR="007D75B0" w:rsidRDefault="00236E7A" w:rsidP="00236E7A">
      <w:pPr>
        <w:pStyle w:val="Heading1"/>
      </w:pPr>
      <w:bookmarkStart w:id="3" w:name="_Hlk185542"/>
      <w:r>
        <w:t>2.</w:t>
      </w:r>
      <w:r w:rsidR="007D75B0" w:rsidRPr="007D75B0">
        <w:t xml:space="preserve"> </w:t>
      </w:r>
      <w:r w:rsidR="00487537" w:rsidRPr="00487537">
        <w:t xml:space="preserve">Supplementary Information Regarding </w:t>
      </w:r>
      <w:r w:rsidR="007D75B0" w:rsidRPr="007D75B0">
        <w:t>SWaVI Stage 4: Data Collection and Evaluation</w:t>
      </w:r>
      <w:bookmarkEnd w:id="3"/>
    </w:p>
    <w:p w:rsidR="007D75B0" w:rsidRDefault="007D75B0" w:rsidP="00740505">
      <w:pPr>
        <w:rPr>
          <w:rFonts w:ascii="Arial" w:hAnsi="Arial" w:cs="Arial"/>
        </w:rPr>
      </w:pPr>
    </w:p>
    <w:p w:rsidR="004F5DEF" w:rsidRPr="00EF74B5" w:rsidRDefault="004F5DEF" w:rsidP="00740505">
      <w:pPr>
        <w:rPr>
          <w:rFonts w:ascii="Arial" w:hAnsi="Arial" w:cs="Arial"/>
        </w:rPr>
      </w:pPr>
      <w:r w:rsidRPr="00EF74B5">
        <w:rPr>
          <w:rFonts w:ascii="Arial" w:hAnsi="Arial" w:cs="Arial"/>
        </w:rPr>
        <w:t xml:space="preserve">As described in the main article, data was collected to help evaluate two scenarios for dealing with unavoidable </w:t>
      </w:r>
      <w:bookmarkStart w:id="4" w:name="_Hlk532575427"/>
      <w:r w:rsidRPr="00EF74B5">
        <w:rPr>
          <w:rFonts w:ascii="Arial" w:hAnsi="Arial" w:cs="Arial"/>
        </w:rPr>
        <w:t>in-field barley straw waste (</w:t>
      </w:r>
      <w:bookmarkStart w:id="5" w:name="_Hlk532575632"/>
      <w:r w:rsidRPr="00EF74B5">
        <w:rPr>
          <w:rFonts w:ascii="Arial" w:hAnsi="Arial" w:cs="Arial"/>
        </w:rPr>
        <w:t>IFBSW</w:t>
      </w:r>
      <w:bookmarkEnd w:id="5"/>
      <w:r w:rsidRPr="00EF74B5">
        <w:rPr>
          <w:rFonts w:ascii="Arial" w:hAnsi="Arial" w:cs="Arial"/>
        </w:rPr>
        <w:t>)</w:t>
      </w:r>
      <w:bookmarkEnd w:id="4"/>
      <w:r w:rsidRPr="00EF74B5">
        <w:rPr>
          <w:rFonts w:ascii="Arial" w:hAnsi="Arial" w:cs="Arial"/>
        </w:rPr>
        <w:t xml:space="preserve"> as part of Molson Coors UK brewing operations. The first scenario is the current valorisation approach involving the use of barley residue as animal </w:t>
      </w:r>
      <w:r w:rsidR="009D59E8">
        <w:rPr>
          <w:rFonts w:ascii="Arial" w:hAnsi="Arial" w:cs="Arial"/>
        </w:rPr>
        <w:t>feed supplement</w:t>
      </w:r>
      <w:r w:rsidRPr="00EF74B5">
        <w:rPr>
          <w:rFonts w:ascii="Arial" w:hAnsi="Arial" w:cs="Arial"/>
        </w:rPr>
        <w:t xml:space="preserve">. The second concerns the hypothetical </w:t>
      </w:r>
      <w:r w:rsidR="00920024" w:rsidRPr="00EF74B5">
        <w:rPr>
          <w:rFonts w:ascii="Arial" w:hAnsi="Arial" w:cs="Arial"/>
        </w:rPr>
        <w:t>extraction of wax, similar in properties to carnauba wax via sCO</w:t>
      </w:r>
      <w:r w:rsidR="00920024" w:rsidRPr="009D59E8">
        <w:rPr>
          <w:rFonts w:ascii="Arial" w:hAnsi="Arial" w:cs="Arial"/>
          <w:vertAlign w:val="subscript"/>
        </w:rPr>
        <w:t>2</w:t>
      </w:r>
      <w:r w:rsidR="00920024" w:rsidRPr="00EF74B5">
        <w:rPr>
          <w:rFonts w:ascii="Arial" w:hAnsi="Arial" w:cs="Arial"/>
        </w:rPr>
        <w:t xml:space="preserve"> extraction, with the pelletised residue being used as animal feed. A range of evaluation criteria were selected in order to evaluate each scenario </w:t>
      </w:r>
      <w:r w:rsidR="0036316D">
        <w:rPr>
          <w:rFonts w:ascii="Arial" w:hAnsi="Arial" w:cs="Arial"/>
        </w:rPr>
        <w:t>and t</w:t>
      </w:r>
      <w:r w:rsidR="00920024" w:rsidRPr="00EF74B5">
        <w:rPr>
          <w:rFonts w:ascii="Arial" w:hAnsi="Arial" w:cs="Arial"/>
        </w:rPr>
        <w:t xml:space="preserve">his supplementary document concerns how data for each </w:t>
      </w:r>
      <w:r w:rsidR="00DD68CB" w:rsidRPr="00EF74B5">
        <w:rPr>
          <w:rFonts w:ascii="Arial" w:hAnsi="Arial" w:cs="Arial"/>
        </w:rPr>
        <w:t>criterion</w:t>
      </w:r>
      <w:r w:rsidR="00920024" w:rsidRPr="00EF74B5">
        <w:rPr>
          <w:rFonts w:ascii="Arial" w:hAnsi="Arial" w:cs="Arial"/>
        </w:rPr>
        <w:t xml:space="preserve"> and for each scenario </w:t>
      </w:r>
      <w:r w:rsidR="00DD68CB" w:rsidRPr="00EF74B5">
        <w:rPr>
          <w:rFonts w:ascii="Arial" w:hAnsi="Arial" w:cs="Arial"/>
        </w:rPr>
        <w:t xml:space="preserve">were </w:t>
      </w:r>
      <w:r w:rsidR="00920024" w:rsidRPr="00EF74B5">
        <w:rPr>
          <w:rFonts w:ascii="Arial" w:hAnsi="Arial" w:cs="Arial"/>
        </w:rPr>
        <w:t xml:space="preserve">collected and analysed to arrive at the final values shown in Table </w:t>
      </w:r>
      <w:r w:rsidR="0015319D">
        <w:rPr>
          <w:rFonts w:ascii="Arial" w:hAnsi="Arial" w:cs="Arial"/>
        </w:rPr>
        <w:t>1</w:t>
      </w:r>
      <w:r w:rsidR="00920024" w:rsidRPr="00EF74B5">
        <w:rPr>
          <w:rFonts w:ascii="Arial" w:hAnsi="Arial" w:cs="Arial"/>
        </w:rPr>
        <w:t xml:space="preserve">. </w:t>
      </w:r>
    </w:p>
    <w:p w:rsidR="00873ADB" w:rsidRPr="00EF74B5" w:rsidRDefault="00873ADB" w:rsidP="00740505">
      <w:pPr>
        <w:rPr>
          <w:rFonts w:ascii="Arial" w:hAnsi="Arial" w:cs="Arial"/>
        </w:rPr>
      </w:pPr>
    </w:p>
    <w:p w:rsidR="00920024" w:rsidRPr="00EF74B5" w:rsidRDefault="00873ADB" w:rsidP="00740505">
      <w:pPr>
        <w:rPr>
          <w:rFonts w:ascii="Arial" w:hAnsi="Arial" w:cs="Arial"/>
        </w:rPr>
      </w:pPr>
      <w:r w:rsidRPr="00EF74B5">
        <w:rPr>
          <w:rFonts w:ascii="Arial" w:hAnsi="Arial" w:cs="Arial"/>
        </w:rPr>
        <w:br w:type="page"/>
      </w:r>
      <w:r w:rsidR="00920024" w:rsidRPr="00EF74B5">
        <w:rPr>
          <w:rFonts w:ascii="Arial" w:hAnsi="Arial" w:cs="Arial"/>
        </w:rPr>
        <w:lastRenderedPageBreak/>
        <w:t xml:space="preserve">Table </w:t>
      </w:r>
      <w:r w:rsidR="0015319D">
        <w:rPr>
          <w:rFonts w:ascii="Arial" w:hAnsi="Arial" w:cs="Arial"/>
        </w:rPr>
        <w:t>1</w:t>
      </w:r>
      <w:r w:rsidR="00920024" w:rsidRPr="00EF74B5">
        <w:rPr>
          <w:rFonts w:ascii="Arial" w:hAnsi="Arial" w:cs="Arial"/>
        </w:rPr>
        <w:t>: Completed evaluation matrix for bedding and sCO</w:t>
      </w:r>
      <w:r w:rsidR="00920024" w:rsidRPr="00EF74B5">
        <w:rPr>
          <w:rFonts w:ascii="Arial" w:hAnsi="Arial" w:cs="Arial"/>
          <w:vertAlign w:val="subscript"/>
        </w:rPr>
        <w:t>2</w:t>
      </w:r>
      <w:r w:rsidR="00920024" w:rsidRPr="00EF74B5">
        <w:rPr>
          <w:rFonts w:ascii="Arial" w:hAnsi="Arial" w:cs="Arial"/>
        </w:rPr>
        <w:t xml:space="preserve"> extraction of IFBSW</w:t>
      </w:r>
    </w:p>
    <w:tbl>
      <w:tblPr>
        <w:tblStyle w:val="TableGrid"/>
        <w:tblW w:w="0" w:type="auto"/>
        <w:tblLook w:val="04A0"/>
      </w:tblPr>
      <w:tblGrid>
        <w:gridCol w:w="1543"/>
        <w:gridCol w:w="2495"/>
        <w:gridCol w:w="1486"/>
        <w:gridCol w:w="1982"/>
        <w:gridCol w:w="1510"/>
      </w:tblGrid>
      <w:tr w:rsidR="00190571" w:rsidTr="00190571">
        <w:tc>
          <w:tcPr>
            <w:tcW w:w="1543" w:type="dxa"/>
            <w:tcBorders>
              <w:top w:val="single" w:sz="4" w:space="0" w:color="auto"/>
              <w:left w:val="single" w:sz="4" w:space="0" w:color="auto"/>
              <w:bottom w:val="single" w:sz="4" w:space="0" w:color="auto"/>
              <w:right w:val="single" w:sz="4" w:space="0" w:color="auto"/>
            </w:tcBorders>
            <w:hideMark/>
          </w:tcPr>
          <w:p w:rsidR="00190571" w:rsidRDefault="00190571">
            <w:pPr>
              <w:adjustRightInd w:val="0"/>
              <w:snapToGrid w:val="0"/>
              <w:spacing w:line="260" w:lineRule="atLeast"/>
              <w:rPr>
                <w:rFonts w:ascii="Palatino Linotype" w:eastAsia="Times New Roman" w:hAnsi="Palatino Linotype"/>
                <w:b/>
                <w:snapToGrid w:val="0"/>
                <w:color w:val="000000"/>
                <w:sz w:val="18"/>
                <w:szCs w:val="18"/>
                <w:lang w:val="en-US" w:eastAsia="de-DE" w:bidi="en-US"/>
              </w:rPr>
            </w:pPr>
            <w:bookmarkStart w:id="6" w:name="_Hlk2262415"/>
            <w:r>
              <w:rPr>
                <w:rFonts w:ascii="Palatino Linotype" w:eastAsia="Times New Roman" w:hAnsi="Palatino Linotype"/>
                <w:b/>
                <w:snapToGrid w:val="0"/>
                <w:color w:val="000000"/>
                <w:sz w:val="18"/>
                <w:szCs w:val="18"/>
                <w:lang w:val="en-US" w:eastAsia="de-DE" w:bidi="en-US"/>
              </w:rPr>
              <w:t>Evaluation Criteria</w:t>
            </w:r>
          </w:p>
        </w:tc>
        <w:tc>
          <w:tcPr>
            <w:tcW w:w="2495" w:type="dxa"/>
            <w:tcBorders>
              <w:top w:val="single" w:sz="4" w:space="0" w:color="auto"/>
              <w:left w:val="single" w:sz="4" w:space="0" w:color="auto"/>
              <w:bottom w:val="single" w:sz="4" w:space="0" w:color="auto"/>
              <w:right w:val="single" w:sz="4" w:space="0" w:color="auto"/>
            </w:tcBorders>
            <w:hideMark/>
          </w:tcPr>
          <w:p w:rsidR="00190571" w:rsidRDefault="00190571">
            <w:pPr>
              <w:adjustRightInd w:val="0"/>
              <w:snapToGrid w:val="0"/>
              <w:spacing w:line="260" w:lineRule="atLeast"/>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Sub-Criteria</w:t>
            </w:r>
          </w:p>
        </w:tc>
        <w:tc>
          <w:tcPr>
            <w:tcW w:w="1486" w:type="dxa"/>
            <w:tcBorders>
              <w:top w:val="single" w:sz="4" w:space="0" w:color="auto"/>
              <w:left w:val="single" w:sz="4" w:space="0" w:color="auto"/>
              <w:bottom w:val="single" w:sz="4" w:space="0" w:color="auto"/>
              <w:right w:val="single" w:sz="4" w:space="0" w:color="auto"/>
            </w:tcBorders>
            <w:hideMark/>
          </w:tcPr>
          <w:p w:rsidR="00190571" w:rsidRDefault="00190571">
            <w:pPr>
              <w:adjustRightInd w:val="0"/>
              <w:snapToGrid w:val="0"/>
              <w:spacing w:line="260" w:lineRule="atLeast"/>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Unit</w:t>
            </w:r>
          </w:p>
        </w:tc>
        <w:tc>
          <w:tcPr>
            <w:tcW w:w="1982" w:type="dxa"/>
            <w:tcBorders>
              <w:top w:val="single" w:sz="4" w:space="0" w:color="auto"/>
              <w:left w:val="single" w:sz="4" w:space="0" w:color="auto"/>
              <w:bottom w:val="single" w:sz="4" w:space="0" w:color="auto"/>
              <w:right w:val="single" w:sz="4" w:space="0" w:color="auto"/>
            </w:tcBorders>
            <w:hideMark/>
          </w:tcPr>
          <w:p w:rsidR="00190571" w:rsidRDefault="00190571">
            <w:pPr>
              <w:adjustRightInd w:val="0"/>
              <w:snapToGrid w:val="0"/>
              <w:spacing w:line="260" w:lineRule="atLeast"/>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Feed Supplement</w:t>
            </w:r>
          </w:p>
        </w:tc>
        <w:tc>
          <w:tcPr>
            <w:tcW w:w="1510" w:type="dxa"/>
            <w:tcBorders>
              <w:top w:val="single" w:sz="4" w:space="0" w:color="auto"/>
              <w:left w:val="single" w:sz="4" w:space="0" w:color="auto"/>
              <w:bottom w:val="single" w:sz="4" w:space="0" w:color="auto"/>
              <w:right w:val="single" w:sz="4" w:space="0" w:color="auto"/>
            </w:tcBorders>
            <w:hideMark/>
          </w:tcPr>
          <w:p w:rsidR="00190571" w:rsidRDefault="00190571">
            <w:pPr>
              <w:adjustRightInd w:val="0"/>
              <w:snapToGrid w:val="0"/>
              <w:spacing w:line="260" w:lineRule="atLeast"/>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vertAlign w:val="subscript"/>
                <w:lang w:val="en-US" w:eastAsia="de-DE" w:bidi="en-US"/>
              </w:rPr>
              <w:t>S</w:t>
            </w:r>
            <w:r>
              <w:rPr>
                <w:rFonts w:ascii="Palatino Linotype" w:eastAsia="Times New Roman" w:hAnsi="Palatino Linotype"/>
                <w:b/>
                <w:snapToGrid w:val="0"/>
                <w:color w:val="000000"/>
                <w:sz w:val="18"/>
                <w:szCs w:val="18"/>
                <w:lang w:val="en-US" w:eastAsia="de-DE" w:bidi="en-US"/>
              </w:rPr>
              <w:t>C</w:t>
            </w:r>
            <w:r w:rsidR="00423A86">
              <w:rPr>
                <w:rFonts w:ascii="Palatino Linotype" w:eastAsia="Times New Roman" w:hAnsi="Palatino Linotype"/>
                <w:b/>
                <w:snapToGrid w:val="0"/>
                <w:color w:val="000000"/>
                <w:sz w:val="18"/>
                <w:szCs w:val="18"/>
                <w:lang w:val="en-US" w:eastAsia="de-DE" w:bidi="en-US"/>
              </w:rPr>
              <w:t>O</w:t>
            </w:r>
            <w:r>
              <w:rPr>
                <w:rFonts w:ascii="Palatino Linotype" w:eastAsia="Times New Roman" w:hAnsi="Palatino Linotype"/>
                <w:b/>
                <w:snapToGrid w:val="0"/>
                <w:color w:val="000000"/>
                <w:sz w:val="18"/>
                <w:szCs w:val="18"/>
                <w:vertAlign w:val="subscript"/>
                <w:lang w:val="en-US" w:eastAsia="de-DE" w:bidi="en-US"/>
              </w:rPr>
              <w:t>2</w:t>
            </w:r>
            <w:r>
              <w:rPr>
                <w:rFonts w:ascii="Palatino Linotype" w:eastAsia="Times New Roman" w:hAnsi="Palatino Linotype"/>
                <w:b/>
                <w:snapToGrid w:val="0"/>
                <w:color w:val="000000"/>
                <w:sz w:val="18"/>
                <w:szCs w:val="18"/>
                <w:lang w:val="en-US" w:eastAsia="de-DE" w:bidi="en-US"/>
              </w:rPr>
              <w:t xml:space="preserve"> Extraction</w:t>
            </w:r>
          </w:p>
        </w:tc>
      </w:tr>
      <w:tr w:rsidR="00190571" w:rsidTr="00190571">
        <w:tc>
          <w:tcPr>
            <w:tcW w:w="1543"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190571" w:rsidRDefault="00190571">
            <w:pPr>
              <w:adjustRightInd w:val="0"/>
              <w:snapToGrid w:val="0"/>
              <w:spacing w:line="260" w:lineRule="atLeast"/>
              <w:jc w:val="both"/>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Economic</w:t>
            </w:r>
          </w:p>
        </w:tc>
        <w:tc>
          <w:tcPr>
            <w:tcW w:w="2495"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Net Present Value</w:t>
            </w:r>
          </w:p>
        </w:tc>
        <w:tc>
          <w:tcPr>
            <w:tcW w:w="14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w:t>
            </w:r>
          </w:p>
        </w:tc>
        <w:tc>
          <w:tcPr>
            <w:tcW w:w="1982"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95,385,353.6217</w:t>
            </w:r>
          </w:p>
        </w:tc>
        <w:tc>
          <w:tcPr>
            <w:tcW w:w="1510"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89,085,090.0347</w:t>
            </w:r>
          </w:p>
        </w:tc>
      </w:tr>
      <w:tr w:rsidR="00190571" w:rsidTr="00190571">
        <w:tc>
          <w:tcPr>
            <w:tcW w:w="154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Environmental</w:t>
            </w:r>
          </w:p>
        </w:tc>
        <w:tc>
          <w:tcPr>
            <w:tcW w:w="249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Climate Change Potential</w:t>
            </w:r>
          </w:p>
        </w:tc>
        <w:tc>
          <w:tcPr>
            <w:tcW w:w="14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kg CO</w:t>
            </w:r>
            <w:r w:rsidRPr="00F241FE">
              <w:rPr>
                <w:rFonts w:ascii="Palatino Linotype" w:eastAsia="Times New Roman" w:hAnsi="Palatino Linotype"/>
                <w:snapToGrid w:val="0"/>
                <w:color w:val="000000"/>
                <w:sz w:val="18"/>
                <w:szCs w:val="18"/>
                <w:vertAlign w:val="subscript"/>
                <w:lang w:val="en-US" w:eastAsia="de-DE" w:bidi="en-US"/>
              </w:rPr>
              <w:t>2</w:t>
            </w:r>
            <w:r>
              <w:rPr>
                <w:rFonts w:ascii="Palatino Linotype" w:eastAsia="Times New Roman" w:hAnsi="Palatino Linotype"/>
                <w:snapToGrid w:val="0"/>
                <w:color w:val="000000"/>
                <w:sz w:val="18"/>
                <w:szCs w:val="18"/>
                <w:lang w:val="en-US" w:eastAsia="de-DE" w:bidi="en-US"/>
              </w:rPr>
              <w:t>-eq</w:t>
            </w:r>
          </w:p>
        </w:tc>
        <w:tc>
          <w:tcPr>
            <w:tcW w:w="198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324</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Human Toxicity Potential</w:t>
            </w:r>
          </w:p>
        </w:tc>
        <w:tc>
          <w:tcPr>
            <w:tcW w:w="14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proofErr w:type="spellStart"/>
            <w:r>
              <w:rPr>
                <w:rFonts w:ascii="Palatino Linotype" w:eastAsia="Times New Roman" w:hAnsi="Palatino Linotype"/>
                <w:snapToGrid w:val="0"/>
                <w:color w:val="000000"/>
                <w:sz w:val="18"/>
                <w:szCs w:val="18"/>
                <w:lang w:val="en-US" w:eastAsia="de-DE" w:bidi="en-US"/>
              </w:rPr>
              <w:t>CTUh</w:t>
            </w:r>
            <w:proofErr w:type="spellEnd"/>
          </w:p>
        </w:tc>
        <w:tc>
          <w:tcPr>
            <w:tcW w:w="198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0.0001</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 xml:space="preserve">Photochemical Ozone Formation Potential </w:t>
            </w:r>
          </w:p>
        </w:tc>
        <w:tc>
          <w:tcPr>
            <w:tcW w:w="14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F241FE">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k</w:t>
            </w:r>
            <w:r w:rsidR="00190571">
              <w:rPr>
                <w:rFonts w:ascii="Palatino Linotype" w:eastAsia="Times New Roman" w:hAnsi="Palatino Linotype"/>
                <w:snapToGrid w:val="0"/>
                <w:color w:val="000000"/>
                <w:sz w:val="18"/>
                <w:szCs w:val="18"/>
                <w:lang w:val="en-US" w:eastAsia="de-DE" w:bidi="en-US"/>
              </w:rPr>
              <w:t>g NMVOC eq</w:t>
            </w:r>
          </w:p>
        </w:tc>
        <w:tc>
          <w:tcPr>
            <w:tcW w:w="198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0.5100</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Acidification Potential</w:t>
            </w:r>
          </w:p>
        </w:tc>
        <w:tc>
          <w:tcPr>
            <w:tcW w:w="14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molecular H+ eq</w:t>
            </w:r>
          </w:p>
        </w:tc>
        <w:tc>
          <w:tcPr>
            <w:tcW w:w="198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1.4000</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Freshwater Eutrophication Potential</w:t>
            </w:r>
          </w:p>
        </w:tc>
        <w:tc>
          <w:tcPr>
            <w:tcW w:w="14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F241FE">
            <w:pPr>
              <w:adjustRightInd w:val="0"/>
              <w:snapToGrid w:val="0"/>
              <w:spacing w:line="260" w:lineRule="atLeast"/>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k</w:t>
            </w:r>
            <w:r w:rsidR="00190571">
              <w:rPr>
                <w:rFonts w:ascii="Palatino Linotype" w:eastAsia="Times New Roman" w:hAnsi="Palatino Linotype"/>
                <w:snapToGrid w:val="0"/>
                <w:color w:val="000000"/>
                <w:sz w:val="18"/>
                <w:szCs w:val="18"/>
                <w:lang w:val="en-US" w:eastAsia="de-DE" w:bidi="en-US"/>
              </w:rPr>
              <w:t>g P eq.</w:t>
            </w:r>
          </w:p>
        </w:tc>
        <w:tc>
          <w:tcPr>
            <w:tcW w:w="198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0.0774</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Ozone Depletion Potential (ODP)</w:t>
            </w:r>
          </w:p>
        </w:tc>
        <w:tc>
          <w:tcPr>
            <w:tcW w:w="14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F241FE">
            <w:pPr>
              <w:adjustRightInd w:val="0"/>
              <w:snapToGrid w:val="0"/>
              <w:spacing w:line="260" w:lineRule="atLeast"/>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k</w:t>
            </w:r>
            <w:r w:rsidR="00190571">
              <w:rPr>
                <w:rFonts w:ascii="Palatino Linotype" w:eastAsia="Times New Roman" w:hAnsi="Palatino Linotype"/>
                <w:snapToGrid w:val="0"/>
                <w:color w:val="000000"/>
                <w:sz w:val="18"/>
                <w:szCs w:val="18"/>
                <w:lang w:val="en-US" w:eastAsia="de-DE" w:bidi="en-US"/>
              </w:rPr>
              <w:t>g CFC-11-eq</w:t>
            </w:r>
          </w:p>
        </w:tc>
        <w:tc>
          <w:tcPr>
            <w:tcW w:w="198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Ecotoxicity Potential</w:t>
            </w:r>
          </w:p>
        </w:tc>
        <w:tc>
          <w:tcPr>
            <w:tcW w:w="14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proofErr w:type="spellStart"/>
            <w:r>
              <w:rPr>
                <w:rFonts w:ascii="Palatino Linotype" w:eastAsia="Times New Roman" w:hAnsi="Palatino Linotype"/>
                <w:snapToGrid w:val="0"/>
                <w:color w:val="000000"/>
                <w:sz w:val="18"/>
                <w:szCs w:val="18"/>
                <w:lang w:val="en-US" w:eastAsia="de-DE" w:bidi="en-US"/>
              </w:rPr>
              <w:t>CTUe</w:t>
            </w:r>
            <w:proofErr w:type="spellEnd"/>
          </w:p>
        </w:tc>
        <w:tc>
          <w:tcPr>
            <w:tcW w:w="198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828</w:t>
            </w:r>
          </w:p>
        </w:tc>
      </w:tr>
      <w:tr w:rsidR="00190571" w:rsidTr="00190571">
        <w:tc>
          <w:tcPr>
            <w:tcW w:w="154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Social</w:t>
            </w:r>
          </w:p>
        </w:tc>
        <w:tc>
          <w:tcPr>
            <w:tcW w:w="249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Social Acceptability</w:t>
            </w:r>
          </w:p>
        </w:tc>
        <w:tc>
          <w:tcPr>
            <w:tcW w:w="148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w:t>
            </w:r>
          </w:p>
        </w:tc>
        <w:tc>
          <w:tcPr>
            <w:tcW w:w="198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w:t>
            </w:r>
          </w:p>
        </w:tc>
        <w:tc>
          <w:tcPr>
            <w:tcW w:w="151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Odor Generation</w:t>
            </w:r>
          </w:p>
        </w:tc>
        <w:tc>
          <w:tcPr>
            <w:tcW w:w="148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w:t>
            </w:r>
          </w:p>
        </w:tc>
        <w:tc>
          <w:tcPr>
            <w:tcW w:w="198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w:t>
            </w:r>
          </w:p>
        </w:tc>
        <w:tc>
          <w:tcPr>
            <w:tcW w:w="151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Noise Creation</w:t>
            </w:r>
          </w:p>
        </w:tc>
        <w:tc>
          <w:tcPr>
            <w:tcW w:w="148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dB within 15 m</w:t>
            </w:r>
          </w:p>
        </w:tc>
        <w:tc>
          <w:tcPr>
            <w:tcW w:w="198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80</w:t>
            </w:r>
          </w:p>
        </w:tc>
        <w:tc>
          <w:tcPr>
            <w:tcW w:w="151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85</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Job Creation</w:t>
            </w:r>
          </w:p>
        </w:tc>
        <w:tc>
          <w:tcPr>
            <w:tcW w:w="148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Total jobs created</w:t>
            </w:r>
          </w:p>
        </w:tc>
        <w:tc>
          <w:tcPr>
            <w:tcW w:w="198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0</w:t>
            </w:r>
          </w:p>
        </w:tc>
        <w:tc>
          <w:tcPr>
            <w:tcW w:w="151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6</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Traffic</w:t>
            </w:r>
          </w:p>
        </w:tc>
        <w:tc>
          <w:tcPr>
            <w:tcW w:w="148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No. of vehicles</w:t>
            </w:r>
          </w:p>
        </w:tc>
        <w:tc>
          <w:tcPr>
            <w:tcW w:w="198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10</w:t>
            </w:r>
          </w:p>
        </w:tc>
        <w:tc>
          <w:tcPr>
            <w:tcW w:w="151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25</w:t>
            </w:r>
          </w:p>
        </w:tc>
      </w:tr>
      <w:tr w:rsidR="00190571" w:rsidTr="00190571">
        <w:tc>
          <w:tcPr>
            <w:tcW w:w="15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Technological Maturity</w:t>
            </w:r>
          </w:p>
        </w:tc>
        <w:tc>
          <w:tcPr>
            <w:tcW w:w="249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Technology Readiness</w:t>
            </w:r>
          </w:p>
        </w:tc>
        <w:tc>
          <w:tcPr>
            <w:tcW w:w="148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TRL Scale (1-9)</w:t>
            </w:r>
          </w:p>
        </w:tc>
        <w:tc>
          <w:tcPr>
            <w:tcW w:w="1982"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9</w:t>
            </w:r>
          </w:p>
        </w:tc>
        <w:tc>
          <w:tcPr>
            <w:tcW w:w="151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9</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Integration Readiness</w:t>
            </w:r>
          </w:p>
        </w:tc>
        <w:tc>
          <w:tcPr>
            <w:tcW w:w="148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IRL Scale (1-7)</w:t>
            </w:r>
          </w:p>
        </w:tc>
        <w:tc>
          <w:tcPr>
            <w:tcW w:w="1982"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1</w:t>
            </w:r>
          </w:p>
        </w:tc>
        <w:tc>
          <w:tcPr>
            <w:tcW w:w="151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7</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Demand Readiness</w:t>
            </w:r>
          </w:p>
        </w:tc>
        <w:tc>
          <w:tcPr>
            <w:tcW w:w="148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DRL Scale (1-7)</w:t>
            </w:r>
          </w:p>
        </w:tc>
        <w:tc>
          <w:tcPr>
            <w:tcW w:w="1982"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9</w:t>
            </w:r>
          </w:p>
        </w:tc>
        <w:tc>
          <w:tcPr>
            <w:tcW w:w="151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9</w:t>
            </w:r>
          </w:p>
        </w:tc>
      </w:tr>
      <w:tr w:rsidR="00190571" w:rsidTr="00190571">
        <w:tc>
          <w:tcPr>
            <w:tcW w:w="1543" w:type="dxa"/>
            <w:vMerge w:val="restart"/>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b/>
                <w:snapToGrid w:val="0"/>
                <w:color w:val="000000"/>
                <w:sz w:val="18"/>
                <w:szCs w:val="18"/>
                <w:lang w:val="en-US" w:eastAsia="de-DE" w:bidi="en-US"/>
              </w:rPr>
            </w:pPr>
            <w:r>
              <w:rPr>
                <w:rFonts w:ascii="Palatino Linotype" w:eastAsia="Times New Roman" w:hAnsi="Palatino Linotype"/>
                <w:b/>
                <w:snapToGrid w:val="0"/>
                <w:color w:val="000000"/>
                <w:sz w:val="18"/>
                <w:szCs w:val="18"/>
                <w:lang w:val="en-US" w:eastAsia="de-DE" w:bidi="en-US"/>
              </w:rPr>
              <w:t>Alignment with Company Goals</w:t>
            </w:r>
          </w:p>
        </w:tc>
        <w:tc>
          <w:tcPr>
            <w:tcW w:w="2495"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Strategy Fit</w:t>
            </w:r>
          </w:p>
        </w:tc>
        <w:tc>
          <w:tcPr>
            <w:tcW w:w="1486"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Likert Scale (1-5)</w:t>
            </w:r>
          </w:p>
        </w:tc>
        <w:tc>
          <w:tcPr>
            <w:tcW w:w="1982"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3</w:t>
            </w:r>
          </w:p>
        </w:tc>
        <w:tc>
          <w:tcPr>
            <w:tcW w:w="1510"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5</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Brand Fit</w:t>
            </w:r>
          </w:p>
        </w:tc>
        <w:tc>
          <w:tcPr>
            <w:tcW w:w="1486"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Likert Scale (1-5)</w:t>
            </w:r>
          </w:p>
        </w:tc>
        <w:tc>
          <w:tcPr>
            <w:tcW w:w="1982"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3</w:t>
            </w:r>
          </w:p>
        </w:tc>
        <w:tc>
          <w:tcPr>
            <w:tcW w:w="1510"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1</w:t>
            </w:r>
          </w:p>
        </w:tc>
      </w:tr>
      <w:tr w:rsidR="00190571" w:rsidTr="00190571">
        <w:tc>
          <w:tcPr>
            <w:tcW w:w="0" w:type="auto"/>
            <w:vMerge/>
            <w:tcBorders>
              <w:top w:val="single" w:sz="4" w:space="0" w:color="auto"/>
              <w:left w:val="single" w:sz="4" w:space="0" w:color="auto"/>
              <w:bottom w:val="single" w:sz="4" w:space="0" w:color="auto"/>
              <w:right w:val="single" w:sz="4" w:space="0" w:color="auto"/>
            </w:tcBorders>
            <w:vAlign w:val="center"/>
            <w:hideMark/>
          </w:tcPr>
          <w:p w:rsidR="00190571" w:rsidRDefault="00190571">
            <w:pPr>
              <w:rPr>
                <w:rFonts w:ascii="Palatino Linotype" w:eastAsia="Times New Roman" w:hAnsi="Palatino Linotype"/>
                <w:b/>
                <w:snapToGrid w:val="0"/>
                <w:color w:val="000000"/>
                <w:sz w:val="18"/>
                <w:szCs w:val="18"/>
                <w:lang w:val="en-US" w:eastAsia="de-DE" w:bidi="en-US"/>
              </w:rPr>
            </w:pPr>
          </w:p>
        </w:tc>
        <w:tc>
          <w:tcPr>
            <w:tcW w:w="2495"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Expertise Fit</w:t>
            </w:r>
          </w:p>
        </w:tc>
        <w:tc>
          <w:tcPr>
            <w:tcW w:w="1486"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Likert Scale (1-5)</w:t>
            </w:r>
          </w:p>
        </w:tc>
        <w:tc>
          <w:tcPr>
            <w:tcW w:w="1982"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3</w:t>
            </w:r>
          </w:p>
        </w:tc>
        <w:tc>
          <w:tcPr>
            <w:tcW w:w="1510" w:type="dxa"/>
            <w:tcBorders>
              <w:top w:val="single" w:sz="4" w:space="0" w:color="auto"/>
              <w:left w:val="single" w:sz="4" w:space="0" w:color="auto"/>
              <w:bottom w:val="single" w:sz="4" w:space="0" w:color="auto"/>
              <w:right w:val="single" w:sz="4" w:space="0" w:color="auto"/>
            </w:tcBorders>
            <w:shd w:val="clear" w:color="auto" w:fill="FFC000"/>
            <w:hideMark/>
          </w:tcPr>
          <w:p w:rsidR="00190571" w:rsidRDefault="00190571">
            <w:pPr>
              <w:adjustRightInd w:val="0"/>
              <w:snapToGrid w:val="0"/>
              <w:spacing w:line="260" w:lineRule="atLeast"/>
              <w:jc w:val="both"/>
              <w:rPr>
                <w:rFonts w:ascii="Palatino Linotype" w:eastAsia="Times New Roman" w:hAnsi="Palatino Linotype"/>
                <w:snapToGrid w:val="0"/>
                <w:color w:val="000000"/>
                <w:sz w:val="18"/>
                <w:szCs w:val="18"/>
                <w:lang w:val="en-US" w:eastAsia="de-DE" w:bidi="en-US"/>
              </w:rPr>
            </w:pPr>
            <w:r>
              <w:rPr>
                <w:rFonts w:ascii="Palatino Linotype" w:eastAsia="Times New Roman" w:hAnsi="Palatino Linotype"/>
                <w:snapToGrid w:val="0"/>
                <w:color w:val="000000"/>
                <w:sz w:val="18"/>
                <w:szCs w:val="18"/>
                <w:lang w:val="en-US" w:eastAsia="de-DE" w:bidi="en-US"/>
              </w:rPr>
              <w:t>1</w:t>
            </w:r>
          </w:p>
        </w:tc>
        <w:bookmarkEnd w:id="6"/>
      </w:tr>
    </w:tbl>
    <w:p w:rsidR="00DF7465" w:rsidRPr="007D4598" w:rsidRDefault="00DF7465" w:rsidP="007D4598">
      <w:pPr>
        <w:rPr>
          <w:rFonts w:ascii="Arial" w:hAnsi="Arial" w:cs="Arial"/>
        </w:rPr>
      </w:pPr>
    </w:p>
    <w:p w:rsidR="0036316D" w:rsidRDefault="0036316D" w:rsidP="00E2688F">
      <w:pPr>
        <w:adjustRightInd w:val="0"/>
        <w:snapToGrid w:val="0"/>
        <w:spacing w:after="0" w:line="260" w:lineRule="atLeast"/>
        <w:ind w:firstLine="425"/>
        <w:jc w:val="both"/>
        <w:rPr>
          <w:rFonts w:ascii="Arial" w:eastAsia="Times New Roman" w:hAnsi="Arial" w:cs="Arial"/>
          <w:snapToGrid w:val="0"/>
          <w:color w:val="000000"/>
          <w:lang w:val="en-US" w:eastAsia="de-DE" w:bidi="en-US"/>
        </w:rPr>
      </w:pPr>
    </w:p>
    <w:p w:rsidR="0015319D" w:rsidRDefault="0015319D" w:rsidP="0015319D">
      <w:pPr>
        <w:rPr>
          <w:rFonts w:ascii="Arial" w:hAnsi="Arial" w:cs="Arial"/>
        </w:rPr>
      </w:pPr>
      <w:r w:rsidRPr="007D4598">
        <w:rPr>
          <w:rFonts w:ascii="Arial" w:hAnsi="Arial" w:cs="Arial"/>
        </w:rPr>
        <w:t>For the collection of data relating to the sCO</w:t>
      </w:r>
      <w:r w:rsidRPr="007D4598">
        <w:rPr>
          <w:rFonts w:ascii="Arial" w:hAnsi="Arial" w:cs="Arial"/>
          <w:vertAlign w:val="subscript"/>
        </w:rPr>
        <w:t xml:space="preserve">2 </w:t>
      </w:r>
      <w:r w:rsidRPr="007D4598">
        <w:rPr>
          <w:rFonts w:ascii="Arial" w:hAnsi="Arial" w:cs="Arial"/>
        </w:rPr>
        <w:t xml:space="preserve">extraction process, experimental work  was used to model the valorisation process and provide the data on process inputs and outputs </w:t>
      </w:r>
      <w:r w:rsidR="00A674B2" w:rsidRPr="007D4598">
        <w:rPr>
          <w:rFonts w:ascii="Arial" w:hAnsi="Arial" w:cs="Arial"/>
        </w:rPr>
        <w:fldChar w:fldCharType="begin" w:fldLock="1"/>
      </w:r>
      <w:r>
        <w:rPr>
          <w:rFonts w:ascii="Arial" w:hAnsi="Arial" w:cs="Arial"/>
        </w:rPr>
        <w:instrText>ADDIN CSL_CITATION {"citationItems":[{"id":"ITEM-1","itemData":{"author":[{"dropping-particle":"","family":"Sin","given":"EHK","non-dropping-particle":"","parse-names":false,"suffix":""}],"id":"ITEM-1","issued":{"date-parts":[["2012"]]},"title":"The extraction and fractionation of waxes from biomass","type":"article-journal"},"uris":["http://www.mendeley.com/documents/?uuid=7987adc9-d49d-3567-95db-2717dfcebc78"]}],"mendeley":{"formattedCitation":"[26]","plainTextFormattedCitation":"[26]","previouslyFormattedCitation":"[34]"},"properties":{"noteIndex":0},"schema":"https://github.com/citation-style-language/schema/raw/master/csl-citation.json"}</w:instrText>
      </w:r>
      <w:r w:rsidR="00A674B2" w:rsidRPr="007D4598">
        <w:rPr>
          <w:rFonts w:ascii="Arial" w:hAnsi="Arial" w:cs="Arial"/>
        </w:rPr>
        <w:fldChar w:fldCharType="separate"/>
      </w:r>
      <w:r w:rsidRPr="002D2421">
        <w:rPr>
          <w:rFonts w:ascii="Arial" w:hAnsi="Arial" w:cs="Arial"/>
          <w:noProof/>
        </w:rPr>
        <w:t>[26]</w:t>
      </w:r>
      <w:r w:rsidR="00A674B2" w:rsidRPr="007D4598">
        <w:rPr>
          <w:rFonts w:ascii="Arial" w:hAnsi="Arial" w:cs="Arial"/>
        </w:rPr>
        <w:fldChar w:fldCharType="end"/>
      </w:r>
      <w:r w:rsidRPr="007D4598">
        <w:rPr>
          <w:rFonts w:ascii="Arial" w:hAnsi="Arial" w:cs="Arial"/>
        </w:rPr>
        <w:t xml:space="preserve">. Subsequent work by Garcia-Garcia et al (2018) in combination with ecoinvent data, enabled the calculation of cost and benefits through Cost-Benefit Analysis (CBA) and of environmental impact through the International Reference Life Cycle Data System ILCD 2011 Midpoint+ V.1.10 impact assessment method. Consultation with Molson Coors provided the values for social impact, technological readiness and </w:t>
      </w:r>
      <w:r>
        <w:rPr>
          <w:rFonts w:ascii="Arial" w:hAnsi="Arial" w:cs="Arial"/>
        </w:rPr>
        <w:t>company goal alignment</w:t>
      </w:r>
      <w:r w:rsidRPr="007D4598">
        <w:rPr>
          <w:rFonts w:ascii="Arial" w:hAnsi="Arial" w:cs="Arial"/>
        </w:rPr>
        <w:t xml:space="preserve"> of extraction of wax via sCO</w:t>
      </w:r>
      <w:r w:rsidRPr="007D4598">
        <w:rPr>
          <w:rFonts w:ascii="Arial" w:hAnsi="Arial" w:cs="Arial"/>
          <w:vertAlign w:val="subscript"/>
        </w:rPr>
        <w:t xml:space="preserve">2 </w:t>
      </w:r>
      <w:r w:rsidRPr="007D4598">
        <w:rPr>
          <w:rFonts w:ascii="Arial" w:hAnsi="Arial" w:cs="Arial"/>
        </w:rPr>
        <w:t xml:space="preserve">extraction. </w:t>
      </w:r>
    </w:p>
    <w:p w:rsidR="0015319D" w:rsidRDefault="0015319D" w:rsidP="0015319D">
      <w:pPr>
        <w:rPr>
          <w:rFonts w:ascii="Arial" w:hAnsi="Arial" w:cs="Arial"/>
          <w:lang w:bidi="en-US"/>
        </w:rPr>
      </w:pPr>
      <w:bookmarkStart w:id="7" w:name="_Hlk2355776"/>
      <w:r w:rsidRPr="00E2688F">
        <w:rPr>
          <w:rFonts w:ascii="Arial" w:hAnsi="Arial" w:cs="Arial"/>
        </w:rPr>
        <w:t xml:space="preserve">Moving from left to right, starting with economic criteria, we begin with how the sub-criterion of ‘Net Present Value’ </w:t>
      </w:r>
      <w:bookmarkEnd w:id="7"/>
      <w:r w:rsidRPr="00E2688F">
        <w:rPr>
          <w:rFonts w:ascii="Arial" w:hAnsi="Arial" w:cs="Arial"/>
        </w:rPr>
        <w:t xml:space="preserve">was calculated. A detailed CBA </w:t>
      </w:r>
      <w:r w:rsidRPr="00E2688F">
        <w:rPr>
          <w:rFonts w:ascii="Arial" w:hAnsi="Arial" w:cs="Arial"/>
          <w:lang w:bidi="en-US"/>
        </w:rPr>
        <w:t xml:space="preserve">of set-up and running costs associated with each valorisation scenario was performed using the methodology outlined by Snell (2011) </w:t>
      </w:r>
      <w:r w:rsidR="00A674B2" w:rsidRPr="00E2688F">
        <w:rPr>
          <w:rFonts w:ascii="Arial" w:hAnsi="Arial" w:cs="Arial"/>
          <w:lang w:bidi="en-US"/>
        </w:rPr>
        <w:fldChar w:fldCharType="begin" w:fldLock="1"/>
      </w:r>
      <w:r>
        <w:rPr>
          <w:rFonts w:ascii="Arial" w:hAnsi="Arial" w:cs="Arial"/>
          <w:lang w:bidi="en-US"/>
        </w:rPr>
        <w:instrText>ADDIN CSL_CITATION {"citationItems":[{"id":"ITEM-1","itemData":{"DOI":"doi:10.1680/cba.41349","ISBN":"0-7277-4140-3","author":[{"dropping-particle":"","family":"Snell","given":"Michael","non-dropping-particle":"","parse-names":false,"suffix":""}],"id":"ITEM-1","issued":{"date-parts":[["2011","1","1"]]},"note":"doi:10.1680/cba.41349","number-of-pages":"-1","publisher":"Thomas Telford Ltd","title":"Cost-Benefit Analysis","type":"book"},"uris":["http://www.mendeley.com/documents/?uuid=42e18376-9107-46c0-a1e8-85b7ad291af6"]}],"mendeley":{"formattedCitation":"[27]","plainTextFormattedCitation":"[27]","previouslyFormattedCitation":"[36]"},"properties":{"noteIndex":0},"schema":"https://github.com/citation-style-language/schema/raw/master/csl-citation.json"}</w:instrText>
      </w:r>
      <w:r w:rsidR="00A674B2" w:rsidRPr="00E2688F">
        <w:rPr>
          <w:rFonts w:ascii="Arial" w:hAnsi="Arial" w:cs="Arial"/>
          <w:lang w:bidi="en-US"/>
        </w:rPr>
        <w:fldChar w:fldCharType="separate"/>
      </w:r>
      <w:r w:rsidRPr="002D2421">
        <w:rPr>
          <w:rFonts w:ascii="Arial" w:hAnsi="Arial" w:cs="Arial"/>
          <w:noProof/>
          <w:lang w:bidi="en-US"/>
        </w:rPr>
        <w:t>[27]</w:t>
      </w:r>
      <w:r w:rsidR="00A674B2" w:rsidRPr="00E2688F">
        <w:rPr>
          <w:rFonts w:ascii="Arial" w:hAnsi="Arial" w:cs="Arial"/>
        </w:rPr>
        <w:fldChar w:fldCharType="end"/>
      </w:r>
      <w:r w:rsidRPr="00E2688F">
        <w:rPr>
          <w:rFonts w:ascii="Arial" w:hAnsi="Arial" w:cs="Arial"/>
          <w:lang w:bidi="en-US"/>
        </w:rPr>
        <w:t>. In this CBA, only costs associated with equipment purchasing, water, electricity, CO</w:t>
      </w:r>
      <w:r w:rsidRPr="00E2688F">
        <w:rPr>
          <w:rFonts w:ascii="Arial" w:hAnsi="Arial" w:cs="Arial"/>
          <w:vertAlign w:val="subscript"/>
          <w:lang w:bidi="en-US"/>
        </w:rPr>
        <w:t>2</w:t>
      </w:r>
      <w:r w:rsidRPr="00E2688F">
        <w:rPr>
          <w:rFonts w:ascii="Arial" w:hAnsi="Arial" w:cs="Arial"/>
          <w:lang w:bidi="en-US"/>
        </w:rPr>
        <w:t xml:space="preserve"> (used in the extraction process as a consumable) and staff salaries were considered for each scenario. </w:t>
      </w:r>
      <w:bookmarkStart w:id="8" w:name="_Hlk188994"/>
      <w:bookmarkStart w:id="9" w:name="_Hlk2355895"/>
      <w:r w:rsidRPr="00E2688F">
        <w:rPr>
          <w:rFonts w:ascii="Arial" w:hAnsi="Arial" w:cs="Arial"/>
          <w:lang w:bidi="en-US"/>
        </w:rPr>
        <w:t xml:space="preserve">Building costs and transport costs (as well as associated environmental and social impacts) were excluded due to difficulties in obtaining reliable data. In line with CBA best practice, it was assumed each scenario ran on a 20-year basis at which point equipment would either be replaced and the project would restart, or the project would be discontinued </w:t>
      </w:r>
      <w:r w:rsidR="00A674B2" w:rsidRPr="00E2688F">
        <w:rPr>
          <w:rFonts w:ascii="Arial" w:hAnsi="Arial" w:cs="Arial"/>
          <w:lang w:bidi="en-US"/>
        </w:rPr>
        <w:fldChar w:fldCharType="begin" w:fldLock="1"/>
      </w:r>
      <w:r>
        <w:rPr>
          <w:rFonts w:ascii="Arial" w:hAnsi="Arial" w:cs="Arial"/>
          <w:lang w:bidi="en-US"/>
        </w:rPr>
        <w:instrText>ADDIN CSL_CITATION {"citationItems":[{"id":"ITEM-1","itemData":{"DOI":"doi:10.1680/cba.41349","ISBN":"0-7277-4140-3","author":[{"dropping-particle":"","family":"Snell","given":"Michael","non-dropping-particle":"","parse-names":false,"suffix":""}],"id":"ITEM-1","issued":{"date-parts":[["2011","1","1"]]},"note":"doi:10.1680/cba.41349","number-of-pages":"-1","publisher":"Thomas Telford Ltd","title":"Cost-Benefit Analysis","type":"book"},"uris":["http://www.mendeley.com/documents/?uuid=42e18376-9107-46c0-a1e8-85b7ad291af6"]},{"id":"ITEM-2","itemData":{"author":[{"dropping-particle":"","family":"Ackerman","given":"F","non-dropping-particle":"","parse-names":false,"suffix":""},{"dropping-particle":"","family":"Review","given":"L Heinzerling - University of Pennsylvania Law","non-dropping-particle":"","parse-names":false,"suffix":""},{"dropping-particle":"","family":"2002","given":"undefined","non-dropping-particle":"","parse-names":false,"suffix":""}],"container-title":"JSTOR","id":"ITEM-2","issued":{"date-parts":[["0"]]},"title":"Pricing the priceless: Cost-benefit analysis of environmental protection","type":"article-journal"},"uris":["http://www.mendeley.com/documents/?uuid=cda6dbff-bc4b-3714-9877-2e11f32da45d"]},{"id":"ITEM-3","itemData":{"author":[{"dropping-particle":"","family":"Benis, K., Turan, I., Reinhart, C. and Ferrão","given":"P.","non-dropping-particle":"","parse-names":false,"suffix":""}],"container-title":"Cities","id":"ITEM-3","issued":{"date-parts":[["2018"]]},"page":"166-179","title":"Putting rooftops to use–A Cost-Benefit Analysis of food production vs. energy generation under Mediterranean climates","type":"article-journal","volume":"78"},"uris":["http://www.mendeley.com/documents/?uuid=0f2c2aa8-b0f6-35e1-8b13-fc5f0bf41e83"]}],"mendeley":{"formattedCitation":"[27–29]","plainTextFormattedCitation":"[27–29]","previouslyFormattedCitation":"[36–38]"},"properties":{"noteIndex":0},"schema":"https://github.com/citation-style-language/schema/raw/master/csl-citation.json"}</w:instrText>
      </w:r>
      <w:r w:rsidR="00A674B2" w:rsidRPr="00E2688F">
        <w:rPr>
          <w:rFonts w:ascii="Arial" w:hAnsi="Arial" w:cs="Arial"/>
          <w:lang w:bidi="en-US"/>
        </w:rPr>
        <w:fldChar w:fldCharType="separate"/>
      </w:r>
      <w:r w:rsidRPr="002D2421">
        <w:rPr>
          <w:rFonts w:ascii="Arial" w:hAnsi="Arial" w:cs="Arial"/>
          <w:noProof/>
          <w:lang w:bidi="en-US"/>
        </w:rPr>
        <w:t>[27–29]</w:t>
      </w:r>
      <w:r w:rsidR="00A674B2" w:rsidRPr="00E2688F">
        <w:rPr>
          <w:rFonts w:ascii="Arial" w:hAnsi="Arial" w:cs="Arial"/>
        </w:rPr>
        <w:fldChar w:fldCharType="end"/>
      </w:r>
      <w:r w:rsidRPr="00E2688F">
        <w:rPr>
          <w:rFonts w:ascii="Arial" w:hAnsi="Arial" w:cs="Arial"/>
          <w:lang w:bidi="en-US"/>
        </w:rPr>
        <w:t xml:space="preserve">. However, when calculating a projects’ potential payback </w:t>
      </w:r>
      <w:r w:rsidRPr="00E2688F">
        <w:rPr>
          <w:rFonts w:ascii="Arial" w:hAnsi="Arial" w:cs="Arial"/>
          <w:lang w:bidi="en-US"/>
        </w:rPr>
        <w:lastRenderedPageBreak/>
        <w:t xml:space="preserve">period this far into the future, it must be considered that benefits are effectively worth less in the future than they are immediately because those funds could have been put to other uses. For this reason, returns beyond year zero were discounted using the Bank of England’s current long term interest rate which was 1.5% as of January 2019 to provide the Net Present Values shown in Table </w:t>
      </w:r>
      <w:r>
        <w:rPr>
          <w:rFonts w:ascii="Arial" w:hAnsi="Arial" w:cs="Arial"/>
          <w:lang w:bidi="en-US"/>
        </w:rPr>
        <w:t>2</w:t>
      </w:r>
      <w:r w:rsidRPr="00E2688F">
        <w:rPr>
          <w:rFonts w:ascii="Arial" w:hAnsi="Arial" w:cs="Arial"/>
          <w:lang w:bidi="en-US"/>
        </w:rPr>
        <w:t xml:space="preserve"> </w:t>
      </w:r>
      <w:r w:rsidR="00A674B2" w:rsidRPr="00E2688F">
        <w:rPr>
          <w:rFonts w:ascii="Arial" w:hAnsi="Arial" w:cs="Arial"/>
          <w:lang w:bidi="en-US"/>
        </w:rPr>
        <w:fldChar w:fldCharType="begin" w:fldLock="1"/>
      </w:r>
      <w:r>
        <w:rPr>
          <w:rFonts w:ascii="Arial" w:hAnsi="Arial" w:cs="Arial"/>
          <w:lang w:bidi="en-US"/>
        </w:rPr>
        <w:instrText>ADDIN CSL_CITATION {"citationItems":[{"id":"ITEM-1","itemData":{"URL":"https://data.oecd.org/interest/long-term-interest-rates.htm","author":[{"dropping-particle":"","family":"OECD","given":"","non-dropping-particle":"","parse-names":false,"suffix":""}],"id":"ITEM-1","issued":{"date-parts":[["2018"]]},"title":"Long-term Interest Rates","type":"webpage"},"uris":["http://www.mendeley.com/documents/?uuid=357c3923-2aba-4985-8a45-4682e75df915"]}],"mendeley":{"formattedCitation":"[30]","plainTextFormattedCitation":"[30]","previouslyFormattedCitation":"[39]"},"properties":{"noteIndex":0},"schema":"https://github.com/citation-style-language/schema/raw/master/csl-citation.json"}</w:instrText>
      </w:r>
      <w:r w:rsidR="00A674B2" w:rsidRPr="00E2688F">
        <w:rPr>
          <w:rFonts w:ascii="Arial" w:hAnsi="Arial" w:cs="Arial"/>
          <w:lang w:bidi="en-US"/>
        </w:rPr>
        <w:fldChar w:fldCharType="separate"/>
      </w:r>
      <w:r w:rsidRPr="002D2421">
        <w:rPr>
          <w:rFonts w:ascii="Arial" w:hAnsi="Arial" w:cs="Arial"/>
          <w:noProof/>
          <w:lang w:bidi="en-US"/>
        </w:rPr>
        <w:t>[30]</w:t>
      </w:r>
      <w:r w:rsidR="00A674B2" w:rsidRPr="00E2688F">
        <w:rPr>
          <w:rFonts w:ascii="Arial" w:hAnsi="Arial" w:cs="Arial"/>
        </w:rPr>
        <w:fldChar w:fldCharType="end"/>
      </w:r>
      <w:r w:rsidRPr="00E2688F">
        <w:rPr>
          <w:rFonts w:ascii="Arial" w:hAnsi="Arial" w:cs="Arial"/>
          <w:lang w:bidi="en-US"/>
        </w:rPr>
        <w:t xml:space="preserve">. </w:t>
      </w:r>
      <w:bookmarkEnd w:id="8"/>
    </w:p>
    <w:bookmarkEnd w:id="9"/>
    <w:p w:rsidR="0036316D" w:rsidRPr="00EF74B5" w:rsidRDefault="0036316D" w:rsidP="0036316D">
      <w:pPr>
        <w:rPr>
          <w:rFonts w:ascii="Arial" w:hAnsi="Arial" w:cs="Arial"/>
        </w:rPr>
      </w:pPr>
      <w:r>
        <w:rPr>
          <w:rFonts w:ascii="Arial" w:hAnsi="Arial" w:cs="Arial"/>
        </w:rPr>
        <w:t>There were a number of assumptions used in the generation of set-up and running costs for each scenario respectively and these will now be discussed in detail, beginning with set-up costs. S</w:t>
      </w:r>
      <w:r w:rsidRPr="00EF74B5">
        <w:rPr>
          <w:rFonts w:ascii="Arial" w:hAnsi="Arial" w:cs="Arial"/>
        </w:rPr>
        <w:t xml:space="preserve">et-up costs involved equipment required to handle waste in each scenario. As animal bedding is currently the employed strategy, and bailing/drying is part of the existing process, there are no additional set-up costs. However, in order to extract wax using </w:t>
      </w:r>
      <w:bookmarkStart w:id="10" w:name="_Hlk175458"/>
      <w:r w:rsidRPr="00EF74B5">
        <w:rPr>
          <w:rFonts w:ascii="Arial" w:hAnsi="Arial" w:cs="Arial"/>
        </w:rPr>
        <w:t>sCO</w:t>
      </w:r>
      <w:r w:rsidRPr="00EF74B5">
        <w:rPr>
          <w:rFonts w:ascii="Arial" w:hAnsi="Arial" w:cs="Arial"/>
          <w:vertAlign w:val="subscript"/>
        </w:rPr>
        <w:t>2</w:t>
      </w:r>
      <w:bookmarkEnd w:id="10"/>
      <w:r w:rsidRPr="00EF74B5">
        <w:rPr>
          <w:rFonts w:ascii="Arial" w:hAnsi="Arial" w:cs="Arial"/>
        </w:rPr>
        <w:t xml:space="preserve">, milling, pelleting and extracting machinery would need to be purchased. The University of York were able to supply estimates based on the cost of the equipment that they used to process industrial scale batches of 90 kg IFBSW yielding a return of 1.35 kg wax and 90.82 kg pelleted straw for animal feed. For this equipment to be able to process 75,000 tonnes of IFBSW per year, it was assumed that there would be three production lines operating 12 hours a day and 342 days per year. This would require two technicians per line, which were estimated to fall within the £25,000 salary range each. </w:t>
      </w:r>
      <w:r w:rsidR="0015319D" w:rsidRPr="00EF74B5">
        <w:rPr>
          <w:rFonts w:ascii="Arial" w:hAnsi="Arial" w:cs="Arial"/>
        </w:rPr>
        <w:t>Based on the water, electricity and CO</w:t>
      </w:r>
      <w:r w:rsidR="0015319D" w:rsidRPr="00EF74B5">
        <w:rPr>
          <w:rFonts w:ascii="Arial" w:hAnsi="Arial" w:cs="Arial"/>
          <w:vertAlign w:val="subscript"/>
        </w:rPr>
        <w:t>2</w:t>
      </w:r>
      <w:r w:rsidR="0015319D" w:rsidRPr="00EF74B5">
        <w:rPr>
          <w:rFonts w:ascii="Arial" w:hAnsi="Arial" w:cs="Arial"/>
        </w:rPr>
        <w:t xml:space="preserve"> use measured by colleagues at the University of York, and scaled up to process 75,000 tonnes annually, the consumables costs in Table 3 were generated. </w:t>
      </w:r>
      <w:r w:rsidR="0015319D" w:rsidRPr="00E2688F">
        <w:rPr>
          <w:rFonts w:ascii="Arial" w:hAnsi="Arial" w:cs="Arial"/>
          <w:lang w:bidi="en-US"/>
        </w:rPr>
        <w:t>The inclusion of CO</w:t>
      </w:r>
      <w:r w:rsidR="0015319D" w:rsidRPr="00E2688F">
        <w:rPr>
          <w:rFonts w:ascii="Arial" w:hAnsi="Arial" w:cs="Arial"/>
          <w:vertAlign w:val="subscript"/>
          <w:lang w:bidi="en-US"/>
        </w:rPr>
        <w:t>2</w:t>
      </w:r>
      <w:r w:rsidR="0015319D" w:rsidRPr="00E2688F">
        <w:rPr>
          <w:rFonts w:ascii="Arial" w:hAnsi="Arial" w:cs="Arial"/>
          <w:lang w:bidi="en-US"/>
        </w:rPr>
        <w:t xml:space="preserve"> as a consumable may seem strange as it is commonly recirculated, however, it was found that in practice, a 10% loss was expected each time the extraction process ran, hence its inclusion.</w:t>
      </w:r>
    </w:p>
    <w:p w:rsidR="0036316D" w:rsidRDefault="0036316D" w:rsidP="0036316D">
      <w:pPr>
        <w:adjustRightInd w:val="0"/>
        <w:snapToGrid w:val="0"/>
        <w:spacing w:after="0" w:line="260" w:lineRule="atLeast"/>
        <w:jc w:val="both"/>
        <w:rPr>
          <w:rFonts w:ascii="Arial" w:eastAsia="Times New Roman" w:hAnsi="Arial" w:cs="Arial"/>
          <w:snapToGrid w:val="0"/>
          <w:color w:val="000000"/>
          <w:lang w:val="en-US" w:eastAsia="de-DE" w:bidi="en-US"/>
        </w:rPr>
      </w:pPr>
    </w:p>
    <w:p w:rsidR="00E2688F" w:rsidRPr="0036316D" w:rsidRDefault="00E2688F" w:rsidP="0036316D">
      <w:pPr>
        <w:adjustRightInd w:val="0"/>
        <w:snapToGrid w:val="0"/>
        <w:spacing w:after="0" w:line="260" w:lineRule="atLeast"/>
        <w:jc w:val="both"/>
        <w:rPr>
          <w:rFonts w:ascii="Arial" w:eastAsia="Times New Roman" w:hAnsi="Arial" w:cs="Arial"/>
          <w:snapToGrid w:val="0"/>
          <w:color w:val="000000"/>
          <w:lang w:val="en-US" w:eastAsia="de-DE" w:bidi="en-US"/>
        </w:rPr>
      </w:pPr>
      <w:r w:rsidRPr="0036316D">
        <w:rPr>
          <w:rFonts w:ascii="Arial" w:eastAsia="Times New Roman" w:hAnsi="Arial" w:cs="Arial"/>
          <w:snapToGrid w:val="0"/>
          <w:color w:val="000000"/>
          <w:lang w:val="en-US" w:eastAsia="de-DE" w:bidi="en-US"/>
        </w:rPr>
        <w:t xml:space="preserve">Table </w:t>
      </w:r>
      <w:r w:rsidR="0015319D">
        <w:rPr>
          <w:rFonts w:ascii="Arial" w:eastAsia="Times New Roman" w:hAnsi="Arial" w:cs="Arial"/>
          <w:snapToGrid w:val="0"/>
          <w:color w:val="000000"/>
          <w:lang w:val="en-US" w:eastAsia="de-DE" w:bidi="en-US"/>
        </w:rPr>
        <w:t>2</w:t>
      </w:r>
      <w:r w:rsidRPr="0036316D">
        <w:rPr>
          <w:rFonts w:ascii="Arial" w:eastAsia="Times New Roman" w:hAnsi="Arial" w:cs="Arial"/>
          <w:snapToGrid w:val="0"/>
          <w:color w:val="000000"/>
          <w:lang w:val="en-US" w:eastAsia="de-DE" w:bidi="en-US"/>
        </w:rPr>
        <w:t xml:space="preserve">: </w:t>
      </w:r>
      <w:bookmarkStart w:id="11" w:name="_Hlk189355"/>
      <w:r w:rsidRPr="0036316D">
        <w:rPr>
          <w:rFonts w:ascii="Arial" w:eastAsia="Times New Roman" w:hAnsi="Arial" w:cs="Arial"/>
          <w:snapToGrid w:val="0"/>
          <w:color w:val="000000"/>
          <w:lang w:val="en-US" w:eastAsia="de-DE" w:bidi="en-US"/>
        </w:rPr>
        <w:t>Costs and benefits analyzed to generate the NPV for each scenario.</w:t>
      </w:r>
      <w:bookmarkEnd w:id="11"/>
    </w:p>
    <w:tbl>
      <w:tblPr>
        <w:tblStyle w:val="TableGrid"/>
        <w:tblW w:w="0" w:type="auto"/>
        <w:tblLook w:val="04A0"/>
      </w:tblPr>
      <w:tblGrid>
        <w:gridCol w:w="1783"/>
        <w:gridCol w:w="3028"/>
        <w:gridCol w:w="1563"/>
        <w:gridCol w:w="1276"/>
        <w:gridCol w:w="1366"/>
      </w:tblGrid>
      <w:tr w:rsidR="00E2688F" w:rsidTr="00E2688F">
        <w:tc>
          <w:tcPr>
            <w:tcW w:w="6374" w:type="dxa"/>
            <w:gridSpan w:val="3"/>
            <w:shd w:val="clear" w:color="auto" w:fill="E2EFD9" w:themeFill="accent6"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F84F11">
              <w:rPr>
                <w:rFonts w:ascii="Palatino Linotype" w:eastAsia="Times New Roman" w:hAnsi="Palatino Linotype"/>
                <w:snapToGrid w:val="0"/>
                <w:color w:val="000000"/>
                <w:sz w:val="18"/>
                <w:lang w:val="en-US" w:eastAsia="de-DE" w:bidi="en-US"/>
              </w:rPr>
              <w:t>sCO</w:t>
            </w:r>
            <w:r w:rsidRPr="00A863C0">
              <w:rPr>
                <w:rFonts w:ascii="Palatino Linotype" w:eastAsia="Times New Roman" w:hAnsi="Palatino Linotype"/>
                <w:snapToGrid w:val="0"/>
                <w:color w:val="000000"/>
                <w:sz w:val="18"/>
                <w:vertAlign w:val="subscript"/>
                <w:lang w:val="en-US" w:eastAsia="de-DE" w:bidi="en-US"/>
              </w:rPr>
              <w:t>2</w:t>
            </w:r>
            <w:r w:rsidRPr="00F84F11">
              <w:rPr>
                <w:rFonts w:ascii="Palatino Linotype" w:eastAsia="Times New Roman" w:hAnsi="Palatino Linotype"/>
                <w:snapToGrid w:val="0"/>
                <w:color w:val="000000"/>
                <w:sz w:val="18"/>
                <w:lang w:val="en-US" w:eastAsia="de-DE" w:bidi="en-US"/>
              </w:rPr>
              <w:t xml:space="preserve"> extraction</w:t>
            </w:r>
            <w:r w:rsidRPr="00820433">
              <w:rPr>
                <w:rFonts w:ascii="Palatino Linotype" w:eastAsia="Times New Roman" w:hAnsi="Palatino Linotype"/>
                <w:snapToGrid w:val="0"/>
                <w:color w:val="000000"/>
                <w:sz w:val="18"/>
                <w:lang w:val="en-US" w:eastAsia="de-DE" w:bidi="en-US"/>
              </w:rPr>
              <w:t xml:space="preserve"> Scenario</w:t>
            </w:r>
          </w:p>
        </w:tc>
        <w:tc>
          <w:tcPr>
            <w:tcW w:w="2642" w:type="dxa"/>
            <w:gridSpan w:val="2"/>
            <w:shd w:val="clear" w:color="auto" w:fill="D9E2F3" w:themeFill="accent1"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Animal Bedding</w:t>
            </w:r>
            <w:r w:rsidRPr="00820433">
              <w:rPr>
                <w:rFonts w:ascii="Palatino Linotype" w:eastAsia="Times New Roman" w:hAnsi="Palatino Linotype"/>
                <w:snapToGrid w:val="0"/>
                <w:color w:val="000000"/>
                <w:sz w:val="18"/>
                <w:lang w:val="en-US" w:eastAsia="de-DE" w:bidi="en-US"/>
              </w:rPr>
              <w:t xml:space="preserve"> Scenario</w:t>
            </w:r>
          </w:p>
        </w:tc>
      </w:tr>
      <w:tr w:rsidR="00E2688F" w:rsidTr="00E2688F">
        <w:tc>
          <w:tcPr>
            <w:tcW w:w="1783" w:type="dxa"/>
            <w:shd w:val="clear" w:color="auto" w:fill="E7E6E6" w:themeFill="background2"/>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Project Stage</w:t>
            </w:r>
          </w:p>
        </w:tc>
        <w:tc>
          <w:tcPr>
            <w:tcW w:w="3028" w:type="dxa"/>
            <w:shd w:val="clear" w:color="auto" w:fill="FFC000" w:themeFill="accent4"/>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Cost</w:t>
            </w:r>
            <w:r>
              <w:rPr>
                <w:rFonts w:ascii="Palatino Linotype" w:eastAsia="Times New Roman" w:hAnsi="Palatino Linotype"/>
                <w:snapToGrid w:val="0"/>
                <w:color w:val="000000"/>
                <w:sz w:val="18"/>
                <w:lang w:val="en-US" w:eastAsia="de-DE" w:bidi="en-US"/>
              </w:rPr>
              <w:t xml:space="preserve"> Sources</w:t>
            </w:r>
          </w:p>
        </w:tc>
        <w:tc>
          <w:tcPr>
            <w:tcW w:w="1563" w:type="dxa"/>
            <w:shd w:val="clear" w:color="auto" w:fill="E2EFD9" w:themeFill="accent6"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Benefit</w:t>
            </w:r>
            <w:r>
              <w:rPr>
                <w:rFonts w:ascii="Palatino Linotype" w:eastAsia="Times New Roman" w:hAnsi="Palatino Linotype"/>
                <w:snapToGrid w:val="0"/>
                <w:color w:val="000000"/>
                <w:sz w:val="18"/>
                <w:lang w:val="en-US" w:eastAsia="de-DE" w:bidi="en-US"/>
              </w:rPr>
              <w:t xml:space="preserve"> Sources</w:t>
            </w:r>
          </w:p>
        </w:tc>
        <w:tc>
          <w:tcPr>
            <w:tcW w:w="1276" w:type="dxa"/>
            <w:shd w:val="clear" w:color="auto" w:fill="FFC000" w:themeFill="accent4"/>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Cost</w:t>
            </w:r>
            <w:r>
              <w:rPr>
                <w:rFonts w:ascii="Palatino Linotype" w:eastAsia="Times New Roman" w:hAnsi="Palatino Linotype"/>
                <w:snapToGrid w:val="0"/>
                <w:color w:val="000000"/>
                <w:sz w:val="18"/>
                <w:lang w:val="en-US" w:eastAsia="de-DE" w:bidi="en-US"/>
              </w:rPr>
              <w:t xml:space="preserve"> Sources</w:t>
            </w:r>
          </w:p>
        </w:tc>
        <w:tc>
          <w:tcPr>
            <w:tcW w:w="1366" w:type="dxa"/>
            <w:shd w:val="clear" w:color="auto" w:fill="E2EFD9" w:themeFill="accent6"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Benefit</w:t>
            </w:r>
            <w:r>
              <w:rPr>
                <w:rFonts w:ascii="Palatino Linotype" w:eastAsia="Times New Roman" w:hAnsi="Palatino Linotype"/>
                <w:snapToGrid w:val="0"/>
                <w:color w:val="000000"/>
                <w:sz w:val="18"/>
                <w:lang w:val="en-US" w:eastAsia="de-DE" w:bidi="en-US"/>
              </w:rPr>
              <w:t xml:space="preserve"> Sources</w:t>
            </w:r>
          </w:p>
        </w:tc>
      </w:tr>
      <w:tr w:rsidR="00E2688F" w:rsidTr="00E2688F">
        <w:tc>
          <w:tcPr>
            <w:tcW w:w="1783" w:type="dxa"/>
            <w:shd w:val="clear" w:color="auto" w:fill="E7E6E6" w:themeFill="background2"/>
          </w:tcPr>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Set-up (Year 0)</w:t>
            </w:r>
          </w:p>
        </w:tc>
        <w:tc>
          <w:tcPr>
            <w:tcW w:w="3028" w:type="dxa"/>
            <w:shd w:val="clear" w:color="auto" w:fill="FFC000" w:themeFill="accent4"/>
          </w:tcPr>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 xml:space="preserve">1. </w:t>
            </w:r>
            <w:r>
              <w:rPr>
                <w:rFonts w:ascii="Palatino Linotype" w:eastAsia="Times New Roman" w:hAnsi="Palatino Linotype"/>
                <w:snapToGrid w:val="0"/>
                <w:color w:val="000000"/>
                <w:sz w:val="18"/>
                <w:lang w:val="en-US" w:eastAsia="de-DE" w:bidi="en-US"/>
              </w:rPr>
              <w:t>Milling Machine (Swiss Combi 44K) £</w:t>
            </w:r>
            <w:r>
              <w:t xml:space="preserve"> </w:t>
            </w:r>
            <w:r w:rsidRPr="00A11186">
              <w:rPr>
                <w:rFonts w:ascii="Palatino Linotype" w:eastAsia="Times New Roman" w:hAnsi="Palatino Linotype"/>
                <w:snapToGrid w:val="0"/>
                <w:color w:val="000000"/>
                <w:sz w:val="18"/>
                <w:lang w:val="en-US" w:eastAsia="de-DE" w:bidi="en-US"/>
              </w:rPr>
              <w:t>36,000.00</w:t>
            </w:r>
          </w:p>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 xml:space="preserve">2. Pelletisation Machine (CLM 935LG, La </w:t>
            </w:r>
            <w:proofErr w:type="spellStart"/>
            <w:r>
              <w:rPr>
                <w:rFonts w:ascii="Palatino Linotype" w:eastAsia="Times New Roman" w:hAnsi="Palatino Linotype"/>
                <w:snapToGrid w:val="0"/>
                <w:color w:val="000000"/>
                <w:sz w:val="18"/>
                <w:lang w:val="en-US" w:eastAsia="de-DE" w:bidi="en-US"/>
              </w:rPr>
              <w:t>Meccanica</w:t>
            </w:r>
            <w:proofErr w:type="spellEnd"/>
            <w:r>
              <w:rPr>
                <w:rFonts w:ascii="Palatino Linotype" w:eastAsia="Times New Roman" w:hAnsi="Palatino Linotype"/>
                <w:snapToGrid w:val="0"/>
                <w:color w:val="000000"/>
                <w:sz w:val="18"/>
                <w:lang w:val="en-US" w:eastAsia="de-DE" w:bidi="en-US"/>
              </w:rPr>
              <w:t xml:space="preserve"> 935) </w:t>
            </w:r>
          </w:p>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 xml:space="preserve">£ </w:t>
            </w:r>
            <w:r w:rsidRPr="00A11186">
              <w:rPr>
                <w:rFonts w:ascii="Palatino Linotype" w:eastAsia="Times New Roman" w:hAnsi="Palatino Linotype"/>
                <w:snapToGrid w:val="0"/>
                <w:color w:val="000000"/>
                <w:sz w:val="18"/>
                <w:lang w:val="en-US" w:eastAsia="de-DE" w:bidi="en-US"/>
              </w:rPr>
              <w:t>60,000.00</w:t>
            </w:r>
          </w:p>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3. 200 L sCO</w:t>
            </w:r>
            <w:r w:rsidRPr="000741F5">
              <w:rPr>
                <w:rFonts w:ascii="Palatino Linotype" w:eastAsia="Times New Roman" w:hAnsi="Palatino Linotype"/>
                <w:snapToGrid w:val="0"/>
                <w:color w:val="000000"/>
                <w:sz w:val="18"/>
                <w:vertAlign w:val="subscript"/>
                <w:lang w:val="en-US" w:eastAsia="de-DE" w:bidi="en-US"/>
              </w:rPr>
              <w:t>2</w:t>
            </w:r>
            <w:r>
              <w:rPr>
                <w:rFonts w:ascii="Palatino Linotype" w:eastAsia="Times New Roman" w:hAnsi="Palatino Linotype"/>
                <w:snapToGrid w:val="0"/>
                <w:color w:val="000000"/>
                <w:sz w:val="18"/>
                <w:lang w:val="en-US" w:eastAsia="de-DE" w:bidi="en-US"/>
              </w:rPr>
              <w:t xml:space="preserve"> extractors </w:t>
            </w: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 xml:space="preserve">£ </w:t>
            </w:r>
            <w:r w:rsidRPr="00A11186">
              <w:rPr>
                <w:rFonts w:ascii="Palatino Linotype" w:eastAsia="Times New Roman" w:hAnsi="Palatino Linotype"/>
                <w:snapToGrid w:val="0"/>
                <w:color w:val="000000"/>
                <w:sz w:val="18"/>
                <w:lang w:val="en-US" w:eastAsia="de-DE" w:bidi="en-US"/>
              </w:rPr>
              <w:t>150,000.00</w:t>
            </w: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p>
        </w:tc>
        <w:tc>
          <w:tcPr>
            <w:tcW w:w="1563" w:type="dxa"/>
            <w:shd w:val="clear" w:color="auto" w:fill="E2EFD9" w:themeFill="accent6" w:themeFillTint="33"/>
          </w:tcPr>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 xml:space="preserve">1. Revenue from animal feed supplement. </w:t>
            </w:r>
          </w:p>
          <w:p w:rsidR="00E2688F" w:rsidRPr="00A11186"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w:t>
            </w:r>
            <w:r>
              <w:t xml:space="preserve"> </w:t>
            </w:r>
            <w:r w:rsidRPr="00A11186">
              <w:rPr>
                <w:rFonts w:ascii="Palatino Linotype" w:eastAsia="Times New Roman" w:hAnsi="Palatino Linotype"/>
                <w:snapToGrid w:val="0"/>
                <w:color w:val="000000"/>
                <w:sz w:val="18"/>
                <w:lang w:val="en-US" w:eastAsia="de-DE" w:bidi="en-US"/>
              </w:rPr>
              <w:t>5</w:t>
            </w:r>
            <w:r>
              <w:rPr>
                <w:rFonts w:ascii="Palatino Linotype" w:eastAsia="Times New Roman" w:hAnsi="Palatino Linotype"/>
                <w:snapToGrid w:val="0"/>
                <w:color w:val="000000"/>
                <w:sz w:val="18"/>
                <w:lang w:val="en-US" w:eastAsia="de-DE" w:bidi="en-US"/>
              </w:rPr>
              <w:t>,</w:t>
            </w:r>
            <w:r w:rsidRPr="00A11186">
              <w:rPr>
                <w:rFonts w:ascii="Palatino Linotype" w:eastAsia="Times New Roman" w:hAnsi="Palatino Linotype"/>
                <w:snapToGrid w:val="0"/>
                <w:color w:val="000000"/>
                <w:sz w:val="18"/>
                <w:lang w:val="en-US" w:eastAsia="de-DE" w:bidi="en-US"/>
              </w:rPr>
              <w:t>250</w:t>
            </w:r>
            <w:r>
              <w:rPr>
                <w:rFonts w:ascii="Palatino Linotype" w:eastAsia="Times New Roman" w:hAnsi="Palatino Linotype"/>
                <w:snapToGrid w:val="0"/>
                <w:color w:val="000000"/>
                <w:sz w:val="18"/>
                <w:lang w:val="en-US" w:eastAsia="de-DE" w:bidi="en-US"/>
              </w:rPr>
              <w:t>,</w:t>
            </w:r>
            <w:r w:rsidRPr="00A11186">
              <w:rPr>
                <w:rFonts w:ascii="Palatino Linotype" w:eastAsia="Times New Roman" w:hAnsi="Palatino Linotype"/>
                <w:snapToGrid w:val="0"/>
                <w:color w:val="000000"/>
                <w:sz w:val="18"/>
                <w:lang w:val="en-US" w:eastAsia="de-DE" w:bidi="en-US"/>
              </w:rPr>
              <w:t>000</w:t>
            </w:r>
            <w:r>
              <w:rPr>
                <w:rFonts w:ascii="Palatino Linotype" w:eastAsia="Times New Roman" w:hAnsi="Palatino Linotype"/>
                <w:snapToGrid w:val="0"/>
                <w:color w:val="000000"/>
                <w:sz w:val="18"/>
                <w:lang w:val="en-US" w:eastAsia="de-DE" w:bidi="en-US"/>
              </w:rPr>
              <w:t>.00</w:t>
            </w:r>
          </w:p>
          <w:p w:rsidR="00E2688F" w:rsidRPr="00A11186" w:rsidRDefault="00E2688F" w:rsidP="00E2688F">
            <w:pPr>
              <w:adjustRightInd w:val="0"/>
              <w:snapToGrid w:val="0"/>
              <w:rPr>
                <w:rFonts w:ascii="Palatino Linotype" w:eastAsia="Times New Roman" w:hAnsi="Palatino Linotype"/>
                <w:snapToGrid w:val="0"/>
                <w:color w:val="000000"/>
                <w:sz w:val="18"/>
                <w:lang w:val="en-US" w:eastAsia="de-DE" w:bidi="en-US"/>
              </w:rPr>
            </w:pPr>
          </w:p>
          <w:p w:rsidR="00E2688F" w:rsidRPr="00A11186" w:rsidRDefault="00E2688F" w:rsidP="00E2688F">
            <w:pPr>
              <w:adjustRightInd w:val="0"/>
              <w:snapToGrid w:val="0"/>
              <w:rPr>
                <w:rFonts w:ascii="Palatino Linotype" w:eastAsia="Times New Roman" w:hAnsi="Palatino Linotype"/>
                <w:snapToGrid w:val="0"/>
                <w:color w:val="000000"/>
                <w:sz w:val="18"/>
                <w:lang w:val="en-US" w:eastAsia="de-DE" w:bidi="en-US"/>
              </w:rPr>
            </w:pP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p>
        </w:tc>
        <w:tc>
          <w:tcPr>
            <w:tcW w:w="1276" w:type="dxa"/>
            <w:shd w:val="clear" w:color="auto" w:fill="FFC000" w:themeFill="accent4"/>
          </w:tcPr>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N/A</w:t>
            </w:r>
          </w:p>
        </w:tc>
        <w:tc>
          <w:tcPr>
            <w:tcW w:w="1366" w:type="dxa"/>
            <w:shd w:val="clear" w:color="auto" w:fill="E2EFD9" w:themeFill="accent6" w:themeFillTint="33"/>
          </w:tcPr>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1. Revenue from animal feed supplement.</w:t>
            </w:r>
          </w:p>
          <w:p w:rsidR="00E2688F" w:rsidRPr="002701E6"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w:t>
            </w:r>
            <w:r>
              <w:t xml:space="preserve"> </w:t>
            </w:r>
            <w:r w:rsidRPr="002701E6">
              <w:rPr>
                <w:rFonts w:ascii="Palatino Linotype" w:eastAsia="Times New Roman" w:hAnsi="Palatino Linotype"/>
                <w:snapToGrid w:val="0"/>
                <w:color w:val="000000"/>
                <w:sz w:val="18"/>
                <w:lang w:val="en-US" w:eastAsia="de-DE" w:bidi="en-US"/>
              </w:rPr>
              <w:t>5,250,000.00</w:t>
            </w:r>
          </w:p>
          <w:p w:rsidR="00E2688F" w:rsidRPr="002701E6" w:rsidRDefault="00E2688F" w:rsidP="00E2688F">
            <w:pPr>
              <w:adjustRightInd w:val="0"/>
              <w:snapToGrid w:val="0"/>
              <w:rPr>
                <w:rFonts w:ascii="Palatino Linotype" w:eastAsia="Times New Roman" w:hAnsi="Palatino Linotype"/>
                <w:snapToGrid w:val="0"/>
                <w:color w:val="000000"/>
                <w:sz w:val="18"/>
                <w:lang w:val="en-US" w:eastAsia="de-DE" w:bidi="en-US"/>
              </w:rPr>
            </w:pP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p>
        </w:tc>
      </w:tr>
      <w:tr w:rsidR="00E2688F" w:rsidTr="00E2688F">
        <w:tc>
          <w:tcPr>
            <w:tcW w:w="1783" w:type="dxa"/>
            <w:shd w:val="clear" w:color="auto" w:fill="E7E6E6" w:themeFill="background2"/>
          </w:tcPr>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Operational (</w:t>
            </w:r>
            <w:r>
              <w:rPr>
                <w:rFonts w:ascii="Palatino Linotype" w:eastAsia="Times New Roman" w:hAnsi="Palatino Linotype"/>
                <w:snapToGrid w:val="0"/>
                <w:color w:val="000000"/>
                <w:sz w:val="18"/>
                <w:lang w:val="en-US" w:eastAsia="de-DE" w:bidi="en-US"/>
              </w:rPr>
              <w:t>for each y</w:t>
            </w:r>
            <w:r w:rsidRPr="00820433">
              <w:rPr>
                <w:rFonts w:ascii="Palatino Linotype" w:eastAsia="Times New Roman" w:hAnsi="Palatino Linotype"/>
                <w:snapToGrid w:val="0"/>
                <w:color w:val="000000"/>
                <w:sz w:val="18"/>
                <w:lang w:val="en-US" w:eastAsia="de-DE" w:bidi="en-US"/>
              </w:rPr>
              <w:t>ear</w:t>
            </w:r>
            <w:r>
              <w:rPr>
                <w:rFonts w:ascii="Palatino Linotype" w:eastAsia="Times New Roman" w:hAnsi="Palatino Linotype"/>
                <w:snapToGrid w:val="0"/>
                <w:color w:val="000000"/>
                <w:sz w:val="18"/>
                <w:lang w:val="en-US" w:eastAsia="de-DE" w:bidi="en-US"/>
              </w:rPr>
              <w:t>:</w:t>
            </w:r>
            <w:r w:rsidRPr="00820433">
              <w:rPr>
                <w:rFonts w:ascii="Palatino Linotype" w:eastAsia="Times New Roman" w:hAnsi="Palatino Linotype"/>
                <w:snapToGrid w:val="0"/>
                <w:color w:val="000000"/>
                <w:sz w:val="18"/>
                <w:lang w:val="en-US" w:eastAsia="de-DE" w:bidi="en-US"/>
              </w:rPr>
              <w:t xml:space="preserve"> 1-19)</w:t>
            </w:r>
          </w:p>
        </w:tc>
        <w:tc>
          <w:tcPr>
            <w:tcW w:w="3028" w:type="dxa"/>
            <w:shd w:val="clear" w:color="auto" w:fill="FFC000" w:themeFill="accent4"/>
          </w:tcPr>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1. Energy Costs</w:t>
            </w:r>
            <w:r>
              <w:rPr>
                <w:rFonts w:ascii="Palatino Linotype" w:eastAsia="Times New Roman" w:hAnsi="Palatino Linotype"/>
                <w:snapToGrid w:val="0"/>
                <w:color w:val="000000"/>
                <w:sz w:val="18"/>
                <w:lang w:val="en-US" w:eastAsia="de-DE" w:bidi="en-US"/>
              </w:rPr>
              <w:t>. £</w:t>
            </w:r>
            <w:r>
              <w:t xml:space="preserve"> </w:t>
            </w:r>
            <w:r w:rsidRPr="002701E6">
              <w:rPr>
                <w:rFonts w:ascii="Palatino Linotype" w:eastAsia="Times New Roman" w:hAnsi="Palatino Linotype"/>
                <w:snapToGrid w:val="0"/>
                <w:color w:val="000000"/>
                <w:sz w:val="18"/>
                <w:lang w:val="en-US" w:eastAsia="de-DE" w:bidi="en-US"/>
              </w:rPr>
              <w:t>385,581.15</w:t>
            </w: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2. Water Costs</w:t>
            </w:r>
            <w:r>
              <w:rPr>
                <w:rFonts w:ascii="Palatino Linotype" w:eastAsia="Times New Roman" w:hAnsi="Palatino Linotype"/>
                <w:snapToGrid w:val="0"/>
                <w:color w:val="000000"/>
                <w:sz w:val="18"/>
                <w:lang w:val="en-US" w:eastAsia="de-DE" w:bidi="en-US"/>
              </w:rPr>
              <w:t xml:space="preserve">. £ </w:t>
            </w:r>
            <w:r w:rsidRPr="002701E6">
              <w:rPr>
                <w:rFonts w:ascii="Palatino Linotype" w:eastAsia="Times New Roman" w:hAnsi="Palatino Linotype"/>
                <w:snapToGrid w:val="0"/>
                <w:color w:val="000000"/>
                <w:sz w:val="18"/>
                <w:lang w:val="en-US" w:eastAsia="de-DE" w:bidi="en-US"/>
              </w:rPr>
              <w:t>173.31</w:t>
            </w: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 xml:space="preserve">3. </w:t>
            </w:r>
            <w:r>
              <w:rPr>
                <w:rFonts w:ascii="Palatino Linotype" w:eastAsia="Times New Roman" w:hAnsi="Palatino Linotype"/>
                <w:snapToGrid w:val="0"/>
                <w:color w:val="000000"/>
                <w:sz w:val="18"/>
                <w:lang w:val="en-US" w:eastAsia="de-DE" w:bidi="en-US"/>
              </w:rPr>
              <w:t>CO</w:t>
            </w:r>
            <w:r w:rsidRPr="000741F5">
              <w:rPr>
                <w:rFonts w:ascii="Palatino Linotype" w:eastAsia="Times New Roman" w:hAnsi="Palatino Linotype"/>
                <w:snapToGrid w:val="0"/>
                <w:color w:val="000000"/>
                <w:sz w:val="18"/>
                <w:vertAlign w:val="subscript"/>
                <w:lang w:val="en-US" w:eastAsia="de-DE" w:bidi="en-US"/>
              </w:rPr>
              <w:t>2</w:t>
            </w:r>
            <w:r>
              <w:rPr>
                <w:rFonts w:ascii="Palatino Linotype" w:eastAsia="Times New Roman" w:hAnsi="Palatino Linotype"/>
                <w:snapToGrid w:val="0"/>
                <w:color w:val="000000"/>
                <w:sz w:val="18"/>
                <w:lang w:val="en-US" w:eastAsia="de-DE" w:bidi="en-US"/>
              </w:rPr>
              <w:t xml:space="preserve"> Costs. £ </w:t>
            </w:r>
            <w:r w:rsidRPr="002701E6">
              <w:rPr>
                <w:rFonts w:ascii="Palatino Linotype" w:eastAsia="Times New Roman" w:hAnsi="Palatino Linotype"/>
                <w:snapToGrid w:val="0"/>
                <w:color w:val="000000"/>
                <w:sz w:val="18"/>
                <w:lang w:val="en-US" w:eastAsia="de-DE" w:bidi="en-US"/>
              </w:rPr>
              <w:t>2,249.99</w:t>
            </w: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4. Staff cost</w:t>
            </w:r>
            <w:r>
              <w:rPr>
                <w:rFonts w:ascii="Palatino Linotype" w:eastAsia="Times New Roman" w:hAnsi="Palatino Linotype"/>
                <w:snapToGrid w:val="0"/>
                <w:color w:val="000000"/>
                <w:sz w:val="18"/>
                <w:lang w:val="en-US" w:eastAsia="de-DE" w:bidi="en-US"/>
              </w:rPr>
              <w:t xml:space="preserve">. £ </w:t>
            </w:r>
            <w:r w:rsidRPr="002701E6">
              <w:rPr>
                <w:rFonts w:ascii="Palatino Linotype" w:eastAsia="Times New Roman" w:hAnsi="Palatino Linotype"/>
                <w:snapToGrid w:val="0"/>
                <w:color w:val="000000"/>
                <w:sz w:val="18"/>
                <w:lang w:val="en-US" w:eastAsia="de-DE" w:bidi="en-US"/>
              </w:rPr>
              <w:t>150,000.00</w:t>
            </w:r>
          </w:p>
        </w:tc>
        <w:tc>
          <w:tcPr>
            <w:tcW w:w="1563" w:type="dxa"/>
            <w:shd w:val="clear" w:color="auto" w:fill="E2EFD9" w:themeFill="accent6" w:themeFillTint="33"/>
          </w:tcPr>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1. Revenue from animal feed supplement.</w:t>
            </w:r>
          </w:p>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w:t>
            </w:r>
            <w:r>
              <w:t xml:space="preserve"> </w:t>
            </w:r>
            <w:r w:rsidRPr="002701E6">
              <w:rPr>
                <w:rFonts w:ascii="Palatino Linotype" w:eastAsia="Times New Roman" w:hAnsi="Palatino Linotype"/>
                <w:snapToGrid w:val="0"/>
                <w:color w:val="000000"/>
                <w:sz w:val="18"/>
                <w:lang w:val="en-US" w:eastAsia="de-DE" w:bidi="en-US"/>
              </w:rPr>
              <w:t>5,297,833.33</w:t>
            </w:r>
          </w:p>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p>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2. Revenue from Barley Straw Wax.</w:t>
            </w: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w:t>
            </w:r>
            <w:r>
              <w:t xml:space="preserve"> </w:t>
            </w:r>
            <w:r w:rsidRPr="002701E6">
              <w:rPr>
                <w:rFonts w:ascii="Palatino Linotype" w:eastAsia="Times New Roman" w:hAnsi="Palatino Linotype"/>
                <w:snapToGrid w:val="0"/>
                <w:color w:val="000000"/>
                <w:sz w:val="18"/>
                <w:lang w:val="en-US" w:eastAsia="de-DE" w:bidi="en-US"/>
              </w:rPr>
              <w:t>134,749.99</w:t>
            </w:r>
          </w:p>
        </w:tc>
        <w:tc>
          <w:tcPr>
            <w:tcW w:w="1276" w:type="dxa"/>
            <w:shd w:val="clear" w:color="auto" w:fill="FFC000" w:themeFill="accent4"/>
          </w:tcPr>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N/A</w:t>
            </w:r>
          </w:p>
        </w:tc>
        <w:tc>
          <w:tcPr>
            <w:tcW w:w="1366" w:type="dxa"/>
            <w:shd w:val="clear" w:color="auto" w:fill="E2EFD9" w:themeFill="accent6" w:themeFillTint="33"/>
          </w:tcPr>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1. Revenue from animal feed supplement.</w:t>
            </w:r>
          </w:p>
          <w:p w:rsidR="00E2688F" w:rsidRDefault="00E2688F" w:rsidP="00E2688F">
            <w:pPr>
              <w:adjustRightInd w:val="0"/>
              <w:snapToGrid w:val="0"/>
              <w:rPr>
                <w:rFonts w:ascii="Palatino Linotype" w:eastAsia="Times New Roman" w:hAnsi="Palatino Linotype"/>
                <w:snapToGrid w:val="0"/>
                <w:color w:val="000000"/>
                <w:sz w:val="18"/>
                <w:lang w:val="en-US" w:eastAsia="de-DE" w:bidi="en-US"/>
              </w:rPr>
            </w:pPr>
          </w:p>
          <w:p w:rsidR="00E2688F" w:rsidRPr="00820433" w:rsidRDefault="00E2688F" w:rsidP="00E2688F">
            <w:pPr>
              <w:adjustRightInd w:val="0"/>
              <w:snapToGrid w:val="0"/>
              <w:rPr>
                <w:rFonts w:ascii="Palatino Linotype" w:eastAsia="Times New Roman" w:hAnsi="Palatino Linotype"/>
                <w:snapToGrid w:val="0"/>
                <w:color w:val="000000"/>
                <w:sz w:val="18"/>
                <w:lang w:val="en-US" w:eastAsia="de-DE" w:bidi="en-US"/>
              </w:rPr>
            </w:pPr>
            <w:r w:rsidRPr="002701E6">
              <w:rPr>
                <w:rFonts w:ascii="Palatino Linotype" w:eastAsia="Times New Roman" w:hAnsi="Palatino Linotype"/>
                <w:snapToGrid w:val="0"/>
                <w:color w:val="000000"/>
                <w:sz w:val="18"/>
                <w:lang w:val="en-US" w:eastAsia="de-DE" w:bidi="en-US"/>
              </w:rPr>
              <w:t>£ 5,250,000.00</w:t>
            </w:r>
          </w:p>
        </w:tc>
      </w:tr>
      <w:tr w:rsidR="00E2688F" w:rsidTr="00E2688F">
        <w:trPr>
          <w:trHeight w:val="505"/>
        </w:trPr>
        <w:tc>
          <w:tcPr>
            <w:tcW w:w="1783" w:type="dxa"/>
            <w:shd w:val="clear" w:color="auto" w:fill="FBE4D5" w:themeFill="accent2" w:themeFillTint="33"/>
          </w:tcPr>
          <w:p w:rsidR="00E2688F" w:rsidRPr="00F84F11"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Project Total</w:t>
            </w:r>
          </w:p>
        </w:tc>
        <w:tc>
          <w:tcPr>
            <w:tcW w:w="4591" w:type="dxa"/>
            <w:gridSpan w:val="2"/>
            <w:shd w:val="clear" w:color="auto" w:fill="FBE4D5" w:themeFill="accent2" w:themeFillTint="33"/>
          </w:tcPr>
          <w:p w:rsidR="00E2688F"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 xml:space="preserve">£ </w:t>
            </w:r>
            <w:r w:rsidRPr="00F84F11">
              <w:rPr>
                <w:rFonts w:ascii="Palatino Linotype" w:eastAsia="Times New Roman" w:hAnsi="Palatino Linotype"/>
                <w:snapToGrid w:val="0"/>
                <w:color w:val="000000"/>
                <w:sz w:val="18"/>
                <w:lang w:val="en-US" w:eastAsia="de-DE" w:bidi="en-US"/>
              </w:rPr>
              <w:t>98,000,998.62</w:t>
            </w:r>
            <w:r w:rsidRPr="00820433">
              <w:rPr>
                <w:rFonts w:ascii="Palatino Linotype" w:eastAsia="Times New Roman" w:hAnsi="Palatino Linotype"/>
                <w:snapToGrid w:val="0"/>
                <w:color w:val="000000"/>
                <w:sz w:val="18"/>
                <w:lang w:val="en-US" w:eastAsia="de-DE" w:bidi="en-US"/>
              </w:rPr>
              <w:tab/>
            </w:r>
            <w:r w:rsidRPr="00820433">
              <w:rPr>
                <w:rFonts w:ascii="Palatino Linotype" w:eastAsia="Times New Roman" w:hAnsi="Palatino Linotype"/>
                <w:snapToGrid w:val="0"/>
                <w:color w:val="000000"/>
                <w:sz w:val="18"/>
                <w:lang w:val="en-US" w:eastAsia="de-DE" w:bidi="en-US"/>
              </w:rPr>
              <w:tab/>
            </w:r>
            <w:r w:rsidRPr="00820433">
              <w:rPr>
                <w:rFonts w:ascii="Palatino Linotype" w:eastAsia="Times New Roman" w:hAnsi="Palatino Linotype"/>
                <w:snapToGrid w:val="0"/>
                <w:color w:val="000000"/>
                <w:sz w:val="18"/>
                <w:lang w:val="en-US" w:eastAsia="de-DE" w:bidi="en-US"/>
              </w:rPr>
              <w:tab/>
            </w:r>
            <w:r w:rsidRPr="00820433">
              <w:rPr>
                <w:rFonts w:ascii="Palatino Linotype" w:eastAsia="Times New Roman" w:hAnsi="Palatino Linotype"/>
                <w:snapToGrid w:val="0"/>
                <w:color w:val="000000"/>
                <w:sz w:val="18"/>
                <w:lang w:val="en-US" w:eastAsia="de-DE" w:bidi="en-US"/>
              </w:rPr>
              <w:tab/>
            </w:r>
          </w:p>
          <w:p w:rsidR="00E2688F" w:rsidRPr="00F84F11" w:rsidRDefault="00E2688F" w:rsidP="00E2688F">
            <w:pPr>
              <w:rPr>
                <w:rFonts w:ascii="Palatino Linotype" w:eastAsia="Times New Roman" w:hAnsi="Palatino Linotype"/>
                <w:sz w:val="18"/>
                <w:lang w:val="en-US" w:eastAsia="de-DE" w:bidi="en-US"/>
              </w:rPr>
            </w:pPr>
          </w:p>
        </w:tc>
        <w:tc>
          <w:tcPr>
            <w:tcW w:w="2642" w:type="dxa"/>
            <w:gridSpan w:val="2"/>
            <w:shd w:val="clear" w:color="auto" w:fill="FBE4D5" w:themeFill="accent2"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Pr>
                <w:rFonts w:ascii="Palatino Linotype" w:eastAsia="Times New Roman" w:hAnsi="Palatino Linotype"/>
                <w:snapToGrid w:val="0"/>
                <w:color w:val="000000"/>
                <w:sz w:val="18"/>
                <w:lang w:val="en-US" w:eastAsia="de-DE" w:bidi="en-US"/>
              </w:rPr>
              <w:t xml:space="preserve">£ </w:t>
            </w:r>
            <w:r w:rsidRPr="003A6FFE">
              <w:rPr>
                <w:rFonts w:ascii="Palatino Linotype" w:eastAsia="Times New Roman" w:hAnsi="Palatino Linotype"/>
                <w:snapToGrid w:val="0"/>
                <w:color w:val="000000"/>
                <w:sz w:val="18"/>
                <w:lang w:val="en-US" w:eastAsia="de-DE" w:bidi="en-US"/>
              </w:rPr>
              <w:t>105,000,000.00</w:t>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820433">
              <w:rPr>
                <w:rFonts w:ascii="Palatino Linotype" w:eastAsia="Times New Roman" w:hAnsi="Palatino Linotype"/>
                <w:snapToGrid w:val="0"/>
                <w:color w:val="000000"/>
                <w:sz w:val="18"/>
                <w:lang w:val="en-US" w:eastAsia="de-DE" w:bidi="en-US"/>
              </w:rPr>
              <w:tab/>
            </w:r>
          </w:p>
        </w:tc>
      </w:tr>
      <w:tr w:rsidR="00E2688F" w:rsidTr="00E2688F">
        <w:tc>
          <w:tcPr>
            <w:tcW w:w="1783" w:type="dxa"/>
            <w:shd w:val="clear" w:color="auto" w:fill="FBE4D5" w:themeFill="accent2"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Net Present Value</w:t>
            </w:r>
            <w:r>
              <w:rPr>
                <w:rFonts w:ascii="Palatino Linotype" w:eastAsia="Times New Roman" w:hAnsi="Palatino Linotype"/>
                <w:snapToGrid w:val="0"/>
                <w:color w:val="000000"/>
                <w:sz w:val="18"/>
                <w:lang w:val="en-US" w:eastAsia="de-DE" w:bidi="en-US"/>
              </w:rPr>
              <w:t xml:space="preserve"> (discounted at 1.5% per year)</w:t>
            </w:r>
          </w:p>
        </w:tc>
        <w:tc>
          <w:tcPr>
            <w:tcW w:w="4591" w:type="dxa"/>
            <w:gridSpan w:val="2"/>
            <w:shd w:val="clear" w:color="auto" w:fill="FBE4D5" w:themeFill="accent2"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w:t>
            </w:r>
            <w:r>
              <w:rPr>
                <w:rFonts w:ascii="Palatino Linotype" w:eastAsia="Times New Roman" w:hAnsi="Palatino Linotype"/>
                <w:snapToGrid w:val="0"/>
                <w:color w:val="000000"/>
                <w:sz w:val="18"/>
                <w:lang w:val="en-US" w:eastAsia="de-DE" w:bidi="en-US"/>
              </w:rPr>
              <w:t xml:space="preserve"> </w:t>
            </w:r>
            <w:r w:rsidRPr="00F84F11">
              <w:rPr>
                <w:rFonts w:ascii="Palatino Linotype" w:eastAsia="Times New Roman" w:hAnsi="Palatino Linotype"/>
                <w:snapToGrid w:val="0"/>
                <w:color w:val="000000"/>
                <w:sz w:val="18"/>
                <w:lang w:val="en-US" w:eastAsia="de-DE" w:bidi="en-US"/>
              </w:rPr>
              <w:t>89,037,256.70</w:t>
            </w:r>
          </w:p>
        </w:tc>
        <w:tc>
          <w:tcPr>
            <w:tcW w:w="2642" w:type="dxa"/>
            <w:gridSpan w:val="2"/>
            <w:shd w:val="clear" w:color="auto" w:fill="FBE4D5" w:themeFill="accent2" w:themeFillTint="33"/>
          </w:tcPr>
          <w:p w:rsidR="00E2688F" w:rsidRPr="00820433" w:rsidRDefault="00E2688F" w:rsidP="00E2688F">
            <w:pPr>
              <w:adjustRightInd w:val="0"/>
              <w:snapToGrid w:val="0"/>
              <w:jc w:val="both"/>
              <w:rPr>
                <w:rFonts w:ascii="Palatino Linotype" w:eastAsia="Times New Roman" w:hAnsi="Palatino Linotype"/>
                <w:snapToGrid w:val="0"/>
                <w:color w:val="000000"/>
                <w:sz w:val="18"/>
                <w:lang w:val="en-US" w:eastAsia="de-DE" w:bidi="en-US"/>
              </w:rPr>
            </w:pPr>
            <w:r w:rsidRPr="00820433">
              <w:rPr>
                <w:rFonts w:ascii="Palatino Linotype" w:eastAsia="Times New Roman" w:hAnsi="Palatino Linotype"/>
                <w:snapToGrid w:val="0"/>
                <w:color w:val="000000"/>
                <w:sz w:val="18"/>
                <w:lang w:val="en-US" w:eastAsia="de-DE" w:bidi="en-US"/>
              </w:rPr>
              <w:t>£</w:t>
            </w:r>
            <w:r>
              <w:rPr>
                <w:rFonts w:ascii="Palatino Linotype" w:eastAsia="Times New Roman" w:hAnsi="Palatino Linotype"/>
                <w:snapToGrid w:val="0"/>
                <w:color w:val="000000"/>
                <w:sz w:val="18"/>
                <w:lang w:val="en-US" w:eastAsia="de-DE" w:bidi="en-US"/>
              </w:rPr>
              <w:t xml:space="preserve"> </w:t>
            </w:r>
            <w:r w:rsidRPr="003A6FFE">
              <w:rPr>
                <w:rFonts w:ascii="Palatino Linotype" w:eastAsia="Times New Roman" w:hAnsi="Palatino Linotype"/>
                <w:snapToGrid w:val="0"/>
                <w:color w:val="000000"/>
                <w:sz w:val="18"/>
                <w:lang w:val="en-US" w:eastAsia="de-DE" w:bidi="en-US"/>
              </w:rPr>
              <w:t>95,385,353.62</w:t>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3A6FFE">
              <w:rPr>
                <w:rFonts w:ascii="Palatino Linotype" w:eastAsia="Times New Roman" w:hAnsi="Palatino Linotype"/>
                <w:snapToGrid w:val="0"/>
                <w:color w:val="000000"/>
                <w:sz w:val="18"/>
                <w:lang w:val="en-US" w:eastAsia="de-DE" w:bidi="en-US"/>
              </w:rPr>
              <w:tab/>
            </w:r>
            <w:r w:rsidRPr="00820433">
              <w:rPr>
                <w:rFonts w:ascii="Palatino Linotype" w:eastAsia="Times New Roman" w:hAnsi="Palatino Linotype"/>
                <w:snapToGrid w:val="0"/>
                <w:color w:val="000000"/>
                <w:sz w:val="18"/>
                <w:lang w:val="en-US" w:eastAsia="de-DE" w:bidi="en-US"/>
              </w:rPr>
              <w:tab/>
            </w:r>
          </w:p>
        </w:tc>
      </w:tr>
    </w:tbl>
    <w:p w:rsidR="00E2688F" w:rsidRPr="00EF74B5" w:rsidRDefault="00E2688F" w:rsidP="00740505">
      <w:pPr>
        <w:rPr>
          <w:rFonts w:ascii="Arial" w:hAnsi="Arial" w:cs="Arial"/>
        </w:rPr>
      </w:pPr>
    </w:p>
    <w:p w:rsidR="006833DF" w:rsidRPr="00EF74B5" w:rsidRDefault="006833DF" w:rsidP="00740505">
      <w:pPr>
        <w:rPr>
          <w:rFonts w:ascii="Arial" w:hAnsi="Arial" w:cs="Arial"/>
        </w:rPr>
      </w:pPr>
      <w:r w:rsidRPr="00EF74B5">
        <w:rPr>
          <w:rFonts w:ascii="Arial" w:hAnsi="Arial" w:cs="Arial"/>
        </w:rPr>
        <w:lastRenderedPageBreak/>
        <w:t>It is</w:t>
      </w:r>
      <w:r w:rsidR="00681D48">
        <w:rPr>
          <w:rFonts w:ascii="Arial" w:hAnsi="Arial" w:cs="Arial"/>
        </w:rPr>
        <w:t xml:space="preserve"> also</w:t>
      </w:r>
      <w:r w:rsidRPr="00EF74B5">
        <w:rPr>
          <w:rFonts w:ascii="Arial" w:hAnsi="Arial" w:cs="Arial"/>
        </w:rPr>
        <w:t xml:space="preserve"> appreciated that there would likely</w:t>
      </w:r>
      <w:r w:rsidRPr="00EF74B5">
        <w:rPr>
          <w:rFonts w:ascii="Arial" w:hAnsi="Arial" w:cs="Arial"/>
          <w:vertAlign w:val="subscript"/>
        </w:rPr>
        <w:t xml:space="preserve"> </w:t>
      </w:r>
      <w:r w:rsidRPr="00EF74B5">
        <w:rPr>
          <w:rFonts w:ascii="Arial" w:hAnsi="Arial" w:cs="Arial"/>
        </w:rPr>
        <w:t xml:space="preserve">be a cost for building the facility to house this equipment but the authors were unable to source this information and Molson Coors were unable to provide an estimate hence this value was excluded. For the </w:t>
      </w:r>
      <w:r w:rsidR="00681D48">
        <w:rPr>
          <w:rFonts w:ascii="Arial" w:hAnsi="Arial" w:cs="Arial"/>
        </w:rPr>
        <w:t>feed supplement,</w:t>
      </w:r>
      <w:r w:rsidRPr="00EF74B5">
        <w:rPr>
          <w:rFonts w:ascii="Arial" w:hAnsi="Arial" w:cs="Arial"/>
        </w:rPr>
        <w:t xml:space="preserve"> scenario none of the running costs associated with sCO</w:t>
      </w:r>
      <w:r w:rsidRPr="00EF74B5">
        <w:rPr>
          <w:rFonts w:ascii="Arial" w:hAnsi="Arial" w:cs="Arial"/>
          <w:vertAlign w:val="subscript"/>
        </w:rPr>
        <w:t>2</w:t>
      </w:r>
      <w:r w:rsidRPr="00EF74B5">
        <w:rPr>
          <w:rFonts w:ascii="Arial" w:hAnsi="Arial" w:cs="Arial"/>
        </w:rPr>
        <w:t xml:space="preserve"> are applicable. The only extra cost would be in terms of transport from the farms to the buyers. However, these were located all around the UK and Molson Coors were unable to supply data on transport type, staff costs and distance. For fairness (and because it was unknown where potential buyers of wax would be located), transport costs were </w:t>
      </w:r>
      <w:r w:rsidR="00EE67C1" w:rsidRPr="00EF74B5">
        <w:rPr>
          <w:rFonts w:ascii="Arial" w:hAnsi="Arial" w:cs="Arial"/>
        </w:rPr>
        <w:t>assumed to be similar in both scenarios and therefore</w:t>
      </w:r>
      <w:r w:rsidRPr="00EF74B5">
        <w:rPr>
          <w:rFonts w:ascii="Arial" w:hAnsi="Arial" w:cs="Arial"/>
        </w:rPr>
        <w:t xml:space="preserve"> </w:t>
      </w:r>
      <w:r w:rsidR="00681D48">
        <w:rPr>
          <w:rFonts w:ascii="Arial" w:hAnsi="Arial" w:cs="Arial"/>
        </w:rPr>
        <w:t xml:space="preserve">also </w:t>
      </w:r>
      <w:r w:rsidRPr="00EF74B5">
        <w:rPr>
          <w:rFonts w:ascii="Arial" w:hAnsi="Arial" w:cs="Arial"/>
        </w:rPr>
        <w:t>excluded from the sCO</w:t>
      </w:r>
      <w:r w:rsidRPr="00EF74B5">
        <w:rPr>
          <w:rFonts w:ascii="Arial" w:hAnsi="Arial" w:cs="Arial"/>
          <w:vertAlign w:val="subscript"/>
        </w:rPr>
        <w:t xml:space="preserve">2 </w:t>
      </w:r>
      <w:r w:rsidRPr="00EF74B5">
        <w:rPr>
          <w:rFonts w:ascii="Arial" w:hAnsi="Arial" w:cs="Arial"/>
        </w:rPr>
        <w:t>scenario.</w:t>
      </w:r>
    </w:p>
    <w:p w:rsidR="00A11186" w:rsidRPr="00EF74B5" w:rsidRDefault="00A801DB" w:rsidP="00740505">
      <w:pPr>
        <w:rPr>
          <w:rFonts w:ascii="Arial" w:hAnsi="Arial" w:cs="Arial"/>
        </w:rPr>
      </w:pPr>
      <w:r w:rsidRPr="00EF74B5">
        <w:rPr>
          <w:rFonts w:ascii="Arial" w:hAnsi="Arial" w:cs="Arial"/>
        </w:rPr>
        <w:t>I</w:t>
      </w:r>
      <w:r w:rsidR="006833DF" w:rsidRPr="00EF74B5">
        <w:rPr>
          <w:rFonts w:ascii="Arial" w:hAnsi="Arial" w:cs="Arial"/>
        </w:rPr>
        <w:t>n terms of economic benefits, it was</w:t>
      </w:r>
      <w:r w:rsidR="003C623F" w:rsidRPr="00EF74B5">
        <w:rPr>
          <w:rFonts w:ascii="Arial" w:hAnsi="Arial" w:cs="Arial"/>
        </w:rPr>
        <w:t xml:space="preserve"> assumed that i</w:t>
      </w:r>
      <w:r w:rsidRPr="00EF74B5">
        <w:rPr>
          <w:rFonts w:ascii="Arial" w:hAnsi="Arial" w:cs="Arial"/>
        </w:rPr>
        <w:t>n year 0, the facilities for sCO</w:t>
      </w:r>
      <w:r w:rsidRPr="00EF74B5">
        <w:rPr>
          <w:rFonts w:ascii="Arial" w:hAnsi="Arial" w:cs="Arial"/>
          <w:vertAlign w:val="subscript"/>
        </w:rPr>
        <w:t xml:space="preserve">2 </w:t>
      </w:r>
      <w:r w:rsidR="003C623F" w:rsidRPr="00EF74B5">
        <w:rPr>
          <w:rFonts w:ascii="Arial" w:hAnsi="Arial" w:cs="Arial"/>
        </w:rPr>
        <w:t xml:space="preserve">extraction </w:t>
      </w:r>
      <w:r w:rsidRPr="00EF74B5">
        <w:rPr>
          <w:rFonts w:ascii="Arial" w:hAnsi="Arial" w:cs="Arial"/>
        </w:rPr>
        <w:t>would not be ready and so benefits would be limited to the as-is animal bedding sales. It goes without saying that this is the same for year 0 of the animal bedding scenario.</w:t>
      </w:r>
      <w:r w:rsidR="006833DF" w:rsidRPr="00EF74B5">
        <w:rPr>
          <w:rFonts w:ascii="Arial" w:hAnsi="Arial" w:cs="Arial"/>
        </w:rPr>
        <w:t xml:space="preserve"> Molson Coors informed us that their farmers currently receive, on average, £50/tonne for bedding straw and this was used to provide the economic benefits values shown in Table 3.</w:t>
      </w:r>
      <w:r w:rsidRPr="00EF74B5">
        <w:rPr>
          <w:rFonts w:ascii="Arial" w:hAnsi="Arial" w:cs="Arial"/>
        </w:rPr>
        <w:t xml:space="preserve"> With regard to benefits during </w:t>
      </w:r>
      <w:r w:rsidR="003C623F" w:rsidRPr="00EF74B5">
        <w:rPr>
          <w:rFonts w:ascii="Arial" w:hAnsi="Arial" w:cs="Arial"/>
        </w:rPr>
        <w:t>years 1-19</w:t>
      </w:r>
      <w:r w:rsidRPr="00EF74B5">
        <w:rPr>
          <w:rFonts w:ascii="Arial" w:hAnsi="Arial" w:cs="Arial"/>
        </w:rPr>
        <w:t xml:space="preserve">, </w:t>
      </w:r>
      <w:r w:rsidR="00F00A27" w:rsidRPr="00EF74B5">
        <w:rPr>
          <w:rFonts w:ascii="Arial" w:hAnsi="Arial" w:cs="Arial"/>
        </w:rPr>
        <w:t>for the outputs of the sCO</w:t>
      </w:r>
      <w:r w:rsidR="00F00A27" w:rsidRPr="00EF74B5">
        <w:rPr>
          <w:rFonts w:ascii="Arial" w:hAnsi="Arial" w:cs="Arial"/>
          <w:vertAlign w:val="subscript"/>
        </w:rPr>
        <w:t xml:space="preserve">2 </w:t>
      </w:r>
      <w:r w:rsidR="00F00A27" w:rsidRPr="00EF74B5">
        <w:rPr>
          <w:rFonts w:ascii="Arial" w:hAnsi="Arial" w:cs="Arial"/>
        </w:rPr>
        <w:t xml:space="preserve">process, economic value was generated from the wax, and from the sale of pelletised straw residue as animal feed (not bedding as the unavoidable pelletisation may make it less suitable). </w:t>
      </w:r>
    </w:p>
    <w:p w:rsidR="00D0068C" w:rsidRPr="00EF74B5" w:rsidRDefault="008900FC" w:rsidP="00D0068C">
      <w:pPr>
        <w:rPr>
          <w:rFonts w:ascii="Arial" w:hAnsi="Arial" w:cs="Arial"/>
        </w:rPr>
      </w:pPr>
      <w:r w:rsidRPr="00EF74B5">
        <w:rPr>
          <w:rFonts w:ascii="Arial" w:hAnsi="Arial" w:cs="Arial"/>
        </w:rPr>
        <w:t xml:space="preserve">The global value of Carnauba Wax is $14/kg </w:t>
      </w:r>
      <w:r w:rsidR="00A674B2" w:rsidRPr="00EF74B5">
        <w:rPr>
          <w:rFonts w:ascii="Arial" w:hAnsi="Arial" w:cs="Arial"/>
        </w:rPr>
        <w:fldChar w:fldCharType="begin" w:fldLock="1"/>
      </w:r>
      <w:r w:rsidR="002D2421">
        <w:rPr>
          <w:rFonts w:ascii="Arial" w:hAnsi="Arial" w:cs="Arial"/>
        </w:rPr>
        <w:instrText>ADDIN CSL_CITATION {"citationItems":[{"id":"ITEM-1","itemData":{"URL":"https://www.alibaba.com/product-detail/Carnauba-Wax-T3-and-T1_50031772414.html?spm=a2700.7724838.2017115.16.45cf4136Yt5JXQ","accessed":{"date-parts":[["2019","2","4"]]},"author":[{"dropping-particle":"","family":"Alibaba.com","given":"","non-dropping-particle":"","parse-names":false,"suffix":""}],"id":"ITEM-1","issued":{"date-parts":[["2018"]]},"title":"Carnauba Wax Value per Kg","type":"webpage"},"uris":["http://www.mendeley.com/documents/?uuid=8bcac315-6c78-41a7-9ead-046a8560a9c1"]}],"mendeley":{"formattedCitation":"[31]","plainTextFormattedCitation":"[31]","previouslyFormattedCitation":"[30]"},"properties":{"noteIndex":0},"schema":"https://github.com/citation-style-language/schema/raw/master/csl-citation.json"}</w:instrText>
      </w:r>
      <w:r w:rsidR="00A674B2" w:rsidRPr="00EF74B5">
        <w:rPr>
          <w:rFonts w:ascii="Arial" w:hAnsi="Arial" w:cs="Arial"/>
        </w:rPr>
        <w:fldChar w:fldCharType="separate"/>
      </w:r>
      <w:r w:rsidR="002D2421" w:rsidRPr="002D2421">
        <w:rPr>
          <w:rFonts w:ascii="Arial" w:hAnsi="Arial" w:cs="Arial"/>
          <w:noProof/>
        </w:rPr>
        <w:t>[31]</w:t>
      </w:r>
      <w:r w:rsidR="00A674B2" w:rsidRPr="00EF74B5">
        <w:rPr>
          <w:rFonts w:ascii="Arial" w:hAnsi="Arial" w:cs="Arial"/>
        </w:rPr>
        <w:fldChar w:fldCharType="end"/>
      </w:r>
      <w:r w:rsidRPr="00EF74B5">
        <w:rPr>
          <w:rFonts w:ascii="Arial" w:hAnsi="Arial" w:cs="Arial"/>
        </w:rPr>
        <w:t xml:space="preserve"> for Extra Light Fatty Grey Type 3 (PHC 2485) wax which is suitable for technical and food applications and which is comparable to the wax extracted from barley straw by </w:t>
      </w:r>
      <w:r w:rsidR="00C95110">
        <w:rPr>
          <w:rFonts w:ascii="Arial" w:hAnsi="Arial" w:cs="Arial"/>
        </w:rPr>
        <w:t>researchers</w:t>
      </w:r>
      <w:bookmarkStart w:id="12" w:name="_GoBack"/>
      <w:bookmarkEnd w:id="12"/>
      <w:r w:rsidRPr="00EF74B5">
        <w:rPr>
          <w:rFonts w:ascii="Arial" w:hAnsi="Arial" w:cs="Arial"/>
        </w:rPr>
        <w:t xml:space="preserve"> at the </w:t>
      </w:r>
      <w:r w:rsidR="00AD5F0E" w:rsidRPr="00EF74B5">
        <w:rPr>
          <w:rFonts w:ascii="Arial" w:hAnsi="Arial" w:cs="Arial"/>
        </w:rPr>
        <w:t xml:space="preserve">University </w:t>
      </w:r>
      <w:r w:rsidRPr="00EF74B5">
        <w:rPr>
          <w:rFonts w:ascii="Arial" w:hAnsi="Arial" w:cs="Arial"/>
        </w:rPr>
        <w:t>of York</w:t>
      </w:r>
      <w:r w:rsidR="00AD5F0E" w:rsidRPr="00EF74B5">
        <w:rPr>
          <w:rFonts w:ascii="Arial" w:hAnsi="Arial" w:cs="Arial"/>
        </w:rPr>
        <w:t xml:space="preserve"> </w:t>
      </w:r>
      <w:r w:rsidR="00A674B2" w:rsidRPr="00EF74B5">
        <w:rPr>
          <w:rFonts w:ascii="Arial" w:hAnsi="Arial" w:cs="Arial"/>
        </w:rPr>
        <w:fldChar w:fldCharType="begin" w:fldLock="1"/>
      </w:r>
      <w:r w:rsidR="002D2421">
        <w:rPr>
          <w:rFonts w:ascii="Arial" w:hAnsi="Arial" w:cs="Arial"/>
        </w:rPr>
        <w:instrText>ADDIN CSL_CITATION {"citationItems":[{"id":"ITEM-1","itemData":{"DOI":"10.1016/J.JCLEPRO.2017.12.155","ISSN":"0959-6526","abstract":"The decline in petrochemical wax supply coupled with the ever-growing demand for bio-products means that the development of a sustainable process to renewably sourced waxes is paramount. This review focuses on recent advances in supercritical extraction as a clean efficient process for extracting waxes from waste biomass as a part of a holistic biorefinery. The use of supercritical carbon dioxide leads to reductions in solvent waste and leaves no solvent residues meaning that the biomass can further processed without the need for energy-intensive solvent removal steps. This technology crucially improves the downstream conversion of residual cellulosic biomass for the sustainable production of sugars, consumer products and biofuels (up to a 40% increase in ethanol production) leading to higher energy efficiencies and higher economic returns. Supercritical carbon dioxide extraction is not only an important technology for the cleaner production of waxes, it is a sustainable pre-treatment of biomass as part of an integrated holistic biorefinery and significantly, it can improve the safety of products, e.g. less off gassing of wood pellets.","author":[{"dropping-particle":"","family":"Attard","given":"Thomas M. TM","non-dropping-particle":"","parse-names":false,"suffix":""},{"dropping-particle":"","family":"Bukhanko","given":"Natalia","non-dropping-particle":"","parse-names":false,"suffix":""},{"dropping-particle":"","family":"Eriksson","given":"Daniel","non-dropping-particle":"","parse-names":false,"suffix":""},{"dropping-particle":"","family":"…","given":"M Arshadi - Journal of Cleaner","non-dropping-particle":"","parse-names":false,"suffix":""},{"dropping-particle":"","family":"2018","given":"undefined","non-dropping-particle":"","parse-names":false,"suffix":""},{"dropping-particle":"","family":"Arshadi","given":"Mehrdad","non-dropping-particle":"","parse-names":false,"suffix":""},{"dropping-particle":"","family":"Geladi","given":"Paul","non-dropping-particle":"","parse-names":false,"suffix":""},{"dropping-particle":"","family":"Bergsten","given":"Urban","non-dropping-particle":"","parse-names":false,"suffix":""},{"dropping-particle":"","family":"Budarin","given":"Vitaliy L.","non-dropping-particle":"","parse-names":false,"suffix":""},{"dropping-particle":"","family":"Clark","given":"James H.","non-dropping-particle":"","parse-names":false,"suffix":""},{"dropping-particle":"","family":"Hunt","given":"Andrew J.","non-dropping-particle":"","parse-names":false,"suffix":""}],"id":"ITEM-1","issued":{"date-parts":[["2018","3"]]},"page":"684-698","publisher":"Elsevier","title":"Supercritical extraction of waxes and lipids from biomass: A valuable first step towards an integrated biorefinery","type":"article-journal","volume":"177"},"uris":["http://www.mendeley.com/documents/?uuid=62dea30d-26e4-45d2-94aa-cf935cadbb7f"]}],"mendeley":{"formattedCitation":"[32]","plainTextFormattedCitation":"[32]","previouslyFormattedCitation":"[26]"},"properties":{"noteIndex":0},"schema":"https://github.com/citation-style-language/schema/raw/master/csl-citation.json"}</w:instrText>
      </w:r>
      <w:r w:rsidR="00A674B2" w:rsidRPr="00EF74B5">
        <w:rPr>
          <w:rFonts w:ascii="Arial" w:hAnsi="Arial" w:cs="Arial"/>
        </w:rPr>
        <w:fldChar w:fldCharType="separate"/>
      </w:r>
      <w:r w:rsidR="002D2421" w:rsidRPr="002D2421">
        <w:rPr>
          <w:rFonts w:ascii="Arial" w:hAnsi="Arial" w:cs="Arial"/>
          <w:noProof/>
        </w:rPr>
        <w:t>[32]</w:t>
      </w:r>
      <w:r w:rsidR="00A674B2" w:rsidRPr="00EF74B5">
        <w:rPr>
          <w:rFonts w:ascii="Arial" w:hAnsi="Arial" w:cs="Arial"/>
        </w:rPr>
        <w:fldChar w:fldCharType="end"/>
      </w:r>
      <w:r w:rsidRPr="00EF74B5">
        <w:rPr>
          <w:rFonts w:ascii="Arial" w:hAnsi="Arial" w:cs="Arial"/>
        </w:rPr>
        <w:t>. For the sale of pelletised residue as animal feed, the current market value is £70/tonne</w:t>
      </w:r>
      <w:r w:rsidR="002C5A6F" w:rsidRPr="00EF74B5">
        <w:rPr>
          <w:rFonts w:ascii="Arial" w:hAnsi="Arial" w:cs="Arial"/>
        </w:rPr>
        <w:t xml:space="preserve"> </w:t>
      </w:r>
      <w:r w:rsidR="00A674B2" w:rsidRPr="00EF74B5">
        <w:rPr>
          <w:rFonts w:ascii="Arial" w:hAnsi="Arial" w:cs="Arial"/>
        </w:rPr>
        <w:fldChar w:fldCharType="begin" w:fldLock="1"/>
      </w:r>
      <w:r w:rsidR="002D2421">
        <w:rPr>
          <w:rFonts w:ascii="Arial" w:hAnsi="Arial" w:cs="Arial"/>
        </w:rPr>
        <w:instrText>ADDIN CSL_CITATION {"citationItems":[{"id":"ITEM-1","itemData":{"URL":"https://farming.co.uk/prices/baled-hay-straw","accessed":{"date-parts":[["2019","2","4"]]},"author":[{"dropping-particle":"","family":"Farming.co.uk","given":"","non-dropping-particle":"","parse-names":false,"suffix":""}],"id":"ITEM-1","issued":{"date-parts":[["0"]]},"title":"Wheat straw, barley straw &amp;amp; hay prices &amp;amp; charts by region | Farming Online","type":"webpage"},"uris":["http://www.mendeley.com/documents/?uuid=6810321a-0421-33dc-88cf-fbdac7ccfab1"]}],"mendeley":{"formattedCitation":"[33]","plainTextFormattedCitation":"[33]","previouslyFormattedCitation":"[31]"},"properties":{"noteIndex":0},"schema":"https://github.com/citation-style-language/schema/raw/master/csl-citation.json"}</w:instrText>
      </w:r>
      <w:r w:rsidR="00A674B2" w:rsidRPr="00EF74B5">
        <w:rPr>
          <w:rFonts w:ascii="Arial" w:hAnsi="Arial" w:cs="Arial"/>
        </w:rPr>
        <w:fldChar w:fldCharType="separate"/>
      </w:r>
      <w:r w:rsidR="002D2421" w:rsidRPr="002D2421">
        <w:rPr>
          <w:rFonts w:ascii="Arial" w:hAnsi="Arial" w:cs="Arial"/>
          <w:noProof/>
        </w:rPr>
        <w:t>[33]</w:t>
      </w:r>
      <w:r w:rsidR="00A674B2" w:rsidRPr="00EF74B5">
        <w:rPr>
          <w:rFonts w:ascii="Arial" w:hAnsi="Arial" w:cs="Arial"/>
        </w:rPr>
        <w:fldChar w:fldCharType="end"/>
      </w:r>
      <w:r w:rsidRPr="00EF74B5">
        <w:rPr>
          <w:rFonts w:ascii="Arial" w:hAnsi="Arial" w:cs="Arial"/>
        </w:rPr>
        <w:t xml:space="preserve">. </w:t>
      </w:r>
      <w:r w:rsidR="00D0068C" w:rsidRPr="00EF74B5">
        <w:rPr>
          <w:rFonts w:ascii="Arial" w:hAnsi="Arial" w:cs="Arial"/>
        </w:rPr>
        <w:t>Scaling these economic returns up to meet the scale of 75</w:t>
      </w:r>
      <w:r w:rsidR="002C5A6F" w:rsidRPr="00EF74B5">
        <w:rPr>
          <w:rFonts w:ascii="Arial" w:hAnsi="Arial" w:cs="Arial"/>
        </w:rPr>
        <w:t>,</w:t>
      </w:r>
      <w:r w:rsidR="00D0068C" w:rsidRPr="00EF74B5">
        <w:rPr>
          <w:rFonts w:ascii="Arial" w:hAnsi="Arial" w:cs="Arial"/>
        </w:rPr>
        <w:t xml:space="preserve">000 tonnes of input IFBSW each year provided the final lifetime scenario values in Table 3. </w:t>
      </w:r>
    </w:p>
    <w:p w:rsidR="001B4B0B" w:rsidRDefault="00D0068C" w:rsidP="001B4B0B">
      <w:pPr>
        <w:rPr>
          <w:rFonts w:ascii="Arial" w:hAnsi="Arial" w:cs="Arial"/>
        </w:rPr>
      </w:pPr>
      <w:r w:rsidRPr="00EF74B5">
        <w:rPr>
          <w:rFonts w:ascii="Arial" w:hAnsi="Arial" w:cs="Arial"/>
        </w:rPr>
        <w:t>Moving on to the environmental criteri</w:t>
      </w:r>
      <w:r w:rsidR="00D169F3" w:rsidRPr="00EF74B5">
        <w:rPr>
          <w:rFonts w:ascii="Arial" w:hAnsi="Arial" w:cs="Arial"/>
        </w:rPr>
        <w:t>a Climate Change Potential (CCP)</w:t>
      </w:r>
      <w:r w:rsidR="00913382" w:rsidRPr="00EF74B5">
        <w:rPr>
          <w:rFonts w:ascii="Arial" w:hAnsi="Arial" w:cs="Arial"/>
        </w:rPr>
        <w:t xml:space="preserve"> (</w:t>
      </w:r>
      <w:r w:rsidR="00D169F3" w:rsidRPr="00EF74B5">
        <w:rPr>
          <w:rFonts w:ascii="Arial" w:hAnsi="Arial" w:cs="Arial"/>
        </w:rPr>
        <w:t>kg CO</w:t>
      </w:r>
      <w:r w:rsidR="00D169F3" w:rsidRPr="00681D48">
        <w:rPr>
          <w:rFonts w:ascii="Arial" w:hAnsi="Arial" w:cs="Arial"/>
          <w:vertAlign w:val="subscript"/>
        </w:rPr>
        <w:t>2</w:t>
      </w:r>
      <w:r w:rsidR="00D169F3" w:rsidRPr="00EF74B5">
        <w:rPr>
          <w:rFonts w:ascii="Arial" w:hAnsi="Arial" w:cs="Arial"/>
        </w:rPr>
        <w:t>-eq</w:t>
      </w:r>
      <w:r w:rsidR="00913382" w:rsidRPr="00EF74B5">
        <w:rPr>
          <w:rFonts w:ascii="Arial" w:hAnsi="Arial" w:cs="Arial"/>
        </w:rPr>
        <w:t>)</w:t>
      </w:r>
      <w:r w:rsidR="00D169F3" w:rsidRPr="00EF74B5">
        <w:rPr>
          <w:rFonts w:ascii="Arial" w:hAnsi="Arial" w:cs="Arial"/>
        </w:rPr>
        <w:t>, Human Toxicity Potential (Cancer</w:t>
      </w:r>
      <w:r w:rsidR="00913382" w:rsidRPr="00EF74B5">
        <w:rPr>
          <w:rFonts w:ascii="Arial" w:hAnsi="Arial" w:cs="Arial"/>
        </w:rPr>
        <w:t xml:space="preserve"> and </w:t>
      </w:r>
      <w:r w:rsidR="00D169F3" w:rsidRPr="00EF74B5">
        <w:rPr>
          <w:rFonts w:ascii="Arial" w:hAnsi="Arial" w:cs="Arial"/>
        </w:rPr>
        <w:t>Non</w:t>
      </w:r>
      <w:r w:rsidR="00913382" w:rsidRPr="00EF74B5">
        <w:rPr>
          <w:rFonts w:ascii="Arial" w:hAnsi="Arial" w:cs="Arial"/>
        </w:rPr>
        <w:t>-</w:t>
      </w:r>
      <w:r w:rsidR="00D169F3" w:rsidRPr="00EF74B5">
        <w:rPr>
          <w:rFonts w:ascii="Arial" w:hAnsi="Arial" w:cs="Arial"/>
        </w:rPr>
        <w:t>Cancer</w:t>
      </w:r>
      <w:r w:rsidR="00913382" w:rsidRPr="00EF74B5">
        <w:rPr>
          <w:rFonts w:ascii="Arial" w:hAnsi="Arial" w:cs="Arial"/>
        </w:rPr>
        <w:t>)</w:t>
      </w:r>
      <w:r w:rsidR="00D169F3" w:rsidRPr="00EF74B5">
        <w:rPr>
          <w:rFonts w:ascii="Arial" w:hAnsi="Arial" w:cs="Arial"/>
        </w:rPr>
        <w:t xml:space="preserve"> (HTP) (</w:t>
      </w:r>
      <w:proofErr w:type="spellStart"/>
      <w:r w:rsidR="00D169F3" w:rsidRPr="00EF74B5">
        <w:rPr>
          <w:rFonts w:ascii="Arial" w:hAnsi="Arial" w:cs="Arial"/>
        </w:rPr>
        <w:t>CTUh</w:t>
      </w:r>
      <w:proofErr w:type="spellEnd"/>
      <w:r w:rsidR="00D169F3" w:rsidRPr="00EF74B5">
        <w:rPr>
          <w:rFonts w:ascii="Arial" w:hAnsi="Arial" w:cs="Arial"/>
        </w:rPr>
        <w:t>), Photochemical Ozone Formation Potential (POFP)</w:t>
      </w:r>
      <w:r w:rsidR="00913382" w:rsidRPr="00EF74B5">
        <w:rPr>
          <w:rFonts w:ascii="Arial" w:hAnsi="Arial" w:cs="Arial"/>
        </w:rPr>
        <w:t xml:space="preserve"> </w:t>
      </w:r>
      <w:r w:rsidR="00D169F3" w:rsidRPr="00EF74B5">
        <w:rPr>
          <w:rFonts w:ascii="Arial" w:hAnsi="Arial" w:cs="Arial"/>
        </w:rPr>
        <w:t>(</w:t>
      </w:r>
      <w:r w:rsidR="00913382" w:rsidRPr="00EF74B5">
        <w:rPr>
          <w:rFonts w:ascii="Arial" w:hAnsi="Arial" w:cs="Arial"/>
        </w:rPr>
        <w:t>k</w:t>
      </w:r>
      <w:r w:rsidR="00D169F3" w:rsidRPr="00EF74B5">
        <w:rPr>
          <w:rFonts w:ascii="Arial" w:hAnsi="Arial" w:cs="Arial"/>
        </w:rPr>
        <w:t xml:space="preserve">g NMVOC </w:t>
      </w:r>
      <w:proofErr w:type="spellStart"/>
      <w:r w:rsidR="00D169F3" w:rsidRPr="00EF74B5">
        <w:rPr>
          <w:rFonts w:ascii="Arial" w:hAnsi="Arial" w:cs="Arial"/>
        </w:rPr>
        <w:t>eq</w:t>
      </w:r>
      <w:proofErr w:type="spellEnd"/>
      <w:r w:rsidR="00D169F3" w:rsidRPr="00EF74B5">
        <w:rPr>
          <w:rFonts w:ascii="Arial" w:hAnsi="Arial" w:cs="Arial"/>
        </w:rPr>
        <w:t>), Acidification Potential (AP)</w:t>
      </w:r>
      <w:r w:rsidR="00913382" w:rsidRPr="00EF74B5">
        <w:rPr>
          <w:rFonts w:ascii="Arial" w:hAnsi="Arial" w:cs="Arial"/>
        </w:rPr>
        <w:t xml:space="preserve"> </w:t>
      </w:r>
      <w:r w:rsidR="00D169F3" w:rsidRPr="00EF74B5">
        <w:rPr>
          <w:rFonts w:ascii="Arial" w:hAnsi="Arial" w:cs="Arial"/>
        </w:rPr>
        <w:t>(</w:t>
      </w:r>
      <w:proofErr w:type="spellStart"/>
      <w:r w:rsidR="00D169F3" w:rsidRPr="00EF74B5">
        <w:rPr>
          <w:rFonts w:ascii="Arial" w:hAnsi="Arial" w:cs="Arial"/>
        </w:rPr>
        <w:t>molc</w:t>
      </w:r>
      <w:proofErr w:type="spellEnd"/>
      <w:r w:rsidR="00D169F3" w:rsidRPr="00EF74B5">
        <w:rPr>
          <w:rFonts w:ascii="Arial" w:hAnsi="Arial" w:cs="Arial"/>
        </w:rPr>
        <w:t xml:space="preserve"> H+ </w:t>
      </w:r>
      <w:proofErr w:type="spellStart"/>
      <w:r w:rsidR="00D169F3" w:rsidRPr="00EF74B5">
        <w:rPr>
          <w:rFonts w:ascii="Arial" w:hAnsi="Arial" w:cs="Arial"/>
        </w:rPr>
        <w:t>eq</w:t>
      </w:r>
      <w:proofErr w:type="spellEnd"/>
      <w:r w:rsidR="00D169F3" w:rsidRPr="00EF74B5">
        <w:rPr>
          <w:rFonts w:ascii="Arial" w:hAnsi="Arial" w:cs="Arial"/>
        </w:rPr>
        <w:t xml:space="preserve">), Eutrophication Potential (EP) (freshwater, kg P </w:t>
      </w:r>
      <w:proofErr w:type="spellStart"/>
      <w:r w:rsidR="00D169F3" w:rsidRPr="00EF74B5">
        <w:rPr>
          <w:rFonts w:ascii="Arial" w:hAnsi="Arial" w:cs="Arial"/>
        </w:rPr>
        <w:t>eq</w:t>
      </w:r>
      <w:proofErr w:type="spellEnd"/>
      <w:r w:rsidR="00D169F3" w:rsidRPr="00EF74B5">
        <w:rPr>
          <w:rFonts w:ascii="Arial" w:hAnsi="Arial" w:cs="Arial"/>
        </w:rPr>
        <w:t>), Ozone Depletion Potential (ODP)</w:t>
      </w:r>
      <w:r w:rsidR="00913382" w:rsidRPr="00EF74B5">
        <w:rPr>
          <w:rFonts w:ascii="Arial" w:hAnsi="Arial" w:cs="Arial"/>
        </w:rPr>
        <w:t xml:space="preserve"> </w:t>
      </w:r>
      <w:r w:rsidR="00D169F3" w:rsidRPr="00EF74B5">
        <w:rPr>
          <w:rFonts w:ascii="Arial" w:hAnsi="Arial" w:cs="Arial"/>
        </w:rPr>
        <w:t>(Kg CFC-11-eq) and Ecotoxicity Potential (EP)</w:t>
      </w:r>
      <w:r w:rsidR="00913382" w:rsidRPr="00EF74B5">
        <w:rPr>
          <w:rFonts w:ascii="Arial" w:hAnsi="Arial" w:cs="Arial"/>
        </w:rPr>
        <w:t xml:space="preserve"> </w:t>
      </w:r>
      <w:r w:rsidR="00D169F3" w:rsidRPr="00EF74B5">
        <w:rPr>
          <w:rFonts w:ascii="Arial" w:hAnsi="Arial" w:cs="Arial"/>
        </w:rPr>
        <w:t>(</w:t>
      </w:r>
      <w:proofErr w:type="spellStart"/>
      <w:r w:rsidR="00D169F3" w:rsidRPr="00EF74B5">
        <w:rPr>
          <w:rFonts w:ascii="Arial" w:hAnsi="Arial" w:cs="Arial"/>
        </w:rPr>
        <w:t>CTUe</w:t>
      </w:r>
      <w:proofErr w:type="spellEnd"/>
      <w:r w:rsidR="00D169F3" w:rsidRPr="00EF74B5">
        <w:rPr>
          <w:rFonts w:ascii="Arial" w:hAnsi="Arial" w:cs="Arial"/>
        </w:rPr>
        <w:t xml:space="preserve">) were </w:t>
      </w:r>
      <w:r w:rsidR="005F526F" w:rsidRPr="00EF74B5">
        <w:rPr>
          <w:rFonts w:ascii="Arial" w:hAnsi="Arial" w:cs="Arial"/>
        </w:rPr>
        <w:t xml:space="preserve">recorded for aspects of each scenario. </w:t>
      </w:r>
      <w:bookmarkStart w:id="13" w:name="_Hlk2356810"/>
      <w:r w:rsidR="005F526F" w:rsidRPr="00EF74B5">
        <w:rPr>
          <w:rFonts w:ascii="Arial" w:hAnsi="Arial" w:cs="Arial"/>
        </w:rPr>
        <w:t xml:space="preserve">For the </w:t>
      </w:r>
      <w:bookmarkStart w:id="14" w:name="_Hlk270883"/>
      <w:r w:rsidR="005F526F" w:rsidRPr="00EF74B5">
        <w:rPr>
          <w:rFonts w:ascii="Arial" w:hAnsi="Arial" w:cs="Arial"/>
        </w:rPr>
        <w:t>sCO</w:t>
      </w:r>
      <w:r w:rsidR="005F526F" w:rsidRPr="00EF74B5">
        <w:rPr>
          <w:rFonts w:ascii="Arial" w:hAnsi="Arial" w:cs="Arial"/>
          <w:vertAlign w:val="subscript"/>
        </w:rPr>
        <w:t>2</w:t>
      </w:r>
      <w:r w:rsidR="005F526F" w:rsidRPr="00EF74B5">
        <w:rPr>
          <w:rFonts w:ascii="Arial" w:hAnsi="Arial" w:cs="Arial"/>
        </w:rPr>
        <w:t xml:space="preserve"> extraction </w:t>
      </w:r>
      <w:bookmarkEnd w:id="14"/>
      <w:r w:rsidR="005F526F" w:rsidRPr="00EF74B5">
        <w:rPr>
          <w:rFonts w:ascii="Arial" w:hAnsi="Arial" w:cs="Arial"/>
        </w:rPr>
        <w:t>process, measurements were made for the energy and water consumed at each step of the process of extracting wax from a 90</w:t>
      </w:r>
      <w:r w:rsidR="00913382" w:rsidRPr="00EF74B5">
        <w:rPr>
          <w:rFonts w:ascii="Arial" w:hAnsi="Arial" w:cs="Arial"/>
        </w:rPr>
        <w:t xml:space="preserve"> </w:t>
      </w:r>
      <w:r w:rsidR="005F526F" w:rsidRPr="00EF74B5">
        <w:rPr>
          <w:rFonts w:ascii="Arial" w:hAnsi="Arial" w:cs="Arial"/>
        </w:rPr>
        <w:t>kg batch of barley straw residue.</w:t>
      </w:r>
      <w:bookmarkEnd w:id="13"/>
      <w:r w:rsidR="005F526F" w:rsidRPr="00EF74B5">
        <w:rPr>
          <w:rFonts w:ascii="Arial" w:hAnsi="Arial" w:cs="Arial"/>
        </w:rPr>
        <w:t xml:space="preserve"> This included, milling, </w:t>
      </w:r>
      <w:r w:rsidR="00640EE8" w:rsidRPr="00EF74B5">
        <w:rPr>
          <w:rFonts w:ascii="Arial" w:hAnsi="Arial" w:cs="Arial"/>
        </w:rPr>
        <w:t>pelletisation</w:t>
      </w:r>
      <w:r w:rsidR="005F526F" w:rsidRPr="00EF74B5">
        <w:rPr>
          <w:rFonts w:ascii="Arial" w:hAnsi="Arial" w:cs="Arial"/>
        </w:rPr>
        <w:t xml:space="preserve">, cooling and drying, </w:t>
      </w:r>
      <w:bookmarkStart w:id="15" w:name="_Hlk452940"/>
      <w:r w:rsidR="005F526F" w:rsidRPr="00EF74B5">
        <w:rPr>
          <w:rFonts w:ascii="Arial" w:hAnsi="Arial" w:cs="Arial"/>
        </w:rPr>
        <w:t>sCO</w:t>
      </w:r>
      <w:r w:rsidR="005F526F" w:rsidRPr="00EF74B5">
        <w:rPr>
          <w:rFonts w:ascii="Arial" w:hAnsi="Arial" w:cs="Arial"/>
          <w:vertAlign w:val="subscript"/>
        </w:rPr>
        <w:t>2</w:t>
      </w:r>
      <w:r w:rsidR="005F526F" w:rsidRPr="00EF74B5">
        <w:rPr>
          <w:rFonts w:ascii="Arial" w:hAnsi="Arial" w:cs="Arial"/>
        </w:rPr>
        <w:t xml:space="preserve"> extraction</w:t>
      </w:r>
      <w:bookmarkEnd w:id="15"/>
      <w:r w:rsidR="005F526F" w:rsidRPr="00EF74B5">
        <w:rPr>
          <w:rFonts w:ascii="Arial" w:hAnsi="Arial" w:cs="Arial"/>
        </w:rPr>
        <w:t xml:space="preserve">, </w:t>
      </w:r>
      <w:r w:rsidR="002C5A6F" w:rsidRPr="00EF74B5">
        <w:rPr>
          <w:rFonts w:ascii="Arial" w:hAnsi="Arial" w:cs="Arial"/>
        </w:rPr>
        <w:t>2</w:t>
      </w:r>
      <w:r w:rsidR="002C5A6F" w:rsidRPr="00EF74B5">
        <w:rPr>
          <w:rFonts w:ascii="Arial" w:hAnsi="Arial" w:cs="Arial"/>
          <w:vertAlign w:val="superscript"/>
        </w:rPr>
        <w:t>nd</w:t>
      </w:r>
      <w:r w:rsidR="002C5A6F" w:rsidRPr="00EF74B5">
        <w:rPr>
          <w:rFonts w:ascii="Arial" w:hAnsi="Arial" w:cs="Arial"/>
        </w:rPr>
        <w:t xml:space="preserve"> </w:t>
      </w:r>
      <w:r w:rsidR="005F526F" w:rsidRPr="00EF74B5">
        <w:rPr>
          <w:rFonts w:ascii="Arial" w:hAnsi="Arial" w:cs="Arial"/>
        </w:rPr>
        <w:t>pelletisation and final separation.</w:t>
      </w:r>
      <w:r w:rsidR="0049674B" w:rsidRPr="00EF74B5">
        <w:rPr>
          <w:rFonts w:ascii="Arial" w:hAnsi="Arial" w:cs="Arial"/>
        </w:rPr>
        <w:t xml:space="preserve"> These were then scaled up to represent processing of the entire 75,000 t load of IFBSW and it is in this form that the results are presented in Table </w:t>
      </w:r>
      <w:r w:rsidR="00DF7465" w:rsidRPr="00EF74B5">
        <w:rPr>
          <w:rFonts w:ascii="Arial" w:hAnsi="Arial" w:cs="Arial"/>
        </w:rPr>
        <w:t>2</w:t>
      </w:r>
      <w:r w:rsidR="0049674B" w:rsidRPr="00EF74B5">
        <w:rPr>
          <w:rFonts w:ascii="Arial" w:hAnsi="Arial" w:cs="Arial"/>
        </w:rPr>
        <w:t>.</w:t>
      </w:r>
      <w:r w:rsidR="005F526F" w:rsidRPr="00EF74B5">
        <w:rPr>
          <w:rFonts w:ascii="Arial" w:hAnsi="Arial" w:cs="Arial"/>
        </w:rPr>
        <w:t xml:space="preserve"> Results were calculated using </w:t>
      </w:r>
      <w:bookmarkStart w:id="16" w:name="_Hlk2356669"/>
      <w:r w:rsidR="005F526F" w:rsidRPr="00EF74B5">
        <w:rPr>
          <w:rFonts w:ascii="Arial" w:hAnsi="Arial" w:cs="Arial"/>
        </w:rPr>
        <w:t>the</w:t>
      </w:r>
      <w:r w:rsidR="00913382" w:rsidRPr="00EF74B5">
        <w:rPr>
          <w:rFonts w:ascii="Arial" w:hAnsi="Arial" w:cs="Arial"/>
        </w:rPr>
        <w:t xml:space="preserve"> life-cycle impact assessment method</w:t>
      </w:r>
      <w:r w:rsidR="005F526F" w:rsidRPr="00EF74B5">
        <w:rPr>
          <w:rFonts w:ascii="Arial" w:hAnsi="Arial" w:cs="Arial"/>
        </w:rPr>
        <w:t xml:space="preserve"> ILCD 2011 Midpoint+ </w:t>
      </w:r>
      <w:r w:rsidR="00640EE8" w:rsidRPr="00EF74B5">
        <w:rPr>
          <w:rFonts w:ascii="Arial" w:hAnsi="Arial" w:cs="Arial"/>
        </w:rPr>
        <w:t>V</w:t>
      </w:r>
      <w:r w:rsidR="005F526F" w:rsidRPr="00EF74B5">
        <w:rPr>
          <w:rFonts w:ascii="Arial" w:hAnsi="Arial" w:cs="Arial"/>
        </w:rPr>
        <w:t>1.10</w:t>
      </w:r>
      <w:r w:rsidR="00640EE8" w:rsidRPr="00EF74B5">
        <w:rPr>
          <w:rFonts w:ascii="Arial" w:hAnsi="Arial" w:cs="Arial"/>
        </w:rPr>
        <w:t>/EC-JRC Global, equal weighting/Characterisation/Excluding infrastructure processes.</w:t>
      </w:r>
      <w:bookmarkEnd w:id="16"/>
      <w:r w:rsidR="00640EE8" w:rsidRPr="00EF74B5">
        <w:rPr>
          <w:rFonts w:ascii="Arial" w:hAnsi="Arial" w:cs="Arial"/>
        </w:rPr>
        <w:t xml:space="preserve"> </w:t>
      </w:r>
      <w:bookmarkStart w:id="17" w:name="_Hlk453089"/>
      <w:bookmarkStart w:id="18" w:name="_Hlk2356840"/>
      <w:r w:rsidR="00AA764D" w:rsidRPr="00EF74B5">
        <w:rPr>
          <w:rFonts w:ascii="Arial" w:hAnsi="Arial" w:cs="Arial"/>
        </w:rPr>
        <w:t xml:space="preserve">For the same reason that transport and building </w:t>
      </w:r>
      <w:r w:rsidR="00EE11F2" w:rsidRPr="00EF74B5">
        <w:rPr>
          <w:rFonts w:ascii="Arial" w:hAnsi="Arial" w:cs="Arial"/>
        </w:rPr>
        <w:t>costs</w:t>
      </w:r>
      <w:r w:rsidR="00AA764D" w:rsidRPr="00EF74B5">
        <w:rPr>
          <w:rFonts w:ascii="Arial" w:hAnsi="Arial" w:cs="Arial"/>
        </w:rPr>
        <w:t xml:space="preserve"> could not be calculated for NPV,</w:t>
      </w:r>
      <w:r w:rsidR="00EE11F2" w:rsidRPr="00EF74B5">
        <w:rPr>
          <w:rFonts w:ascii="Arial" w:hAnsi="Arial" w:cs="Arial"/>
        </w:rPr>
        <w:t xml:space="preserve"> </w:t>
      </w:r>
      <w:r w:rsidR="00AA764D" w:rsidRPr="00EF74B5">
        <w:rPr>
          <w:rFonts w:ascii="Arial" w:hAnsi="Arial" w:cs="Arial"/>
        </w:rPr>
        <w:t xml:space="preserve">it was difficult to include </w:t>
      </w:r>
      <w:r w:rsidR="001B4B0B">
        <w:rPr>
          <w:rFonts w:ascii="Arial" w:hAnsi="Arial" w:cs="Arial"/>
        </w:rPr>
        <w:t xml:space="preserve">transport and building related impacts </w:t>
      </w:r>
      <w:r w:rsidR="00AA764D" w:rsidRPr="00EF74B5">
        <w:rPr>
          <w:rFonts w:ascii="Arial" w:hAnsi="Arial" w:cs="Arial"/>
        </w:rPr>
        <w:t>in</w:t>
      </w:r>
      <w:r w:rsidR="00913382" w:rsidRPr="00EF74B5">
        <w:rPr>
          <w:rFonts w:ascii="Arial" w:hAnsi="Arial" w:cs="Arial"/>
        </w:rPr>
        <w:t xml:space="preserve"> the</w:t>
      </w:r>
      <w:r w:rsidR="00AA764D" w:rsidRPr="00EF74B5">
        <w:rPr>
          <w:rFonts w:ascii="Arial" w:hAnsi="Arial" w:cs="Arial"/>
        </w:rPr>
        <w:t xml:space="preserve"> calculation of environmental impact</w:t>
      </w:r>
      <w:bookmarkStart w:id="19" w:name="_Hlk791050"/>
      <w:r w:rsidR="00913382" w:rsidRPr="00EF74B5">
        <w:rPr>
          <w:rFonts w:ascii="Arial" w:hAnsi="Arial" w:cs="Arial"/>
        </w:rPr>
        <w:t xml:space="preserve"> and </w:t>
      </w:r>
      <w:r w:rsidR="00681D48">
        <w:rPr>
          <w:rFonts w:ascii="Arial" w:hAnsi="Arial" w:cs="Arial"/>
        </w:rPr>
        <w:t xml:space="preserve">these </w:t>
      </w:r>
      <w:r w:rsidR="00913382" w:rsidRPr="00EF74B5">
        <w:rPr>
          <w:rFonts w:ascii="Arial" w:hAnsi="Arial" w:cs="Arial"/>
        </w:rPr>
        <w:t>were therefore excluded</w:t>
      </w:r>
      <w:bookmarkEnd w:id="19"/>
      <w:r w:rsidR="001B4B0B">
        <w:rPr>
          <w:rFonts w:ascii="Arial" w:hAnsi="Arial" w:cs="Arial"/>
        </w:rPr>
        <w:t xml:space="preserve"> from consideration in either scenario</w:t>
      </w:r>
      <w:r w:rsidR="00AA764D" w:rsidRPr="00EF74B5">
        <w:rPr>
          <w:rFonts w:ascii="Arial" w:hAnsi="Arial" w:cs="Arial"/>
        </w:rPr>
        <w:t xml:space="preserve">. </w:t>
      </w:r>
      <w:bookmarkEnd w:id="17"/>
    </w:p>
    <w:bookmarkEnd w:id="18"/>
    <w:p w:rsidR="001B4B0B" w:rsidRPr="001B4B0B" w:rsidRDefault="0049674B" w:rsidP="001B4B0B">
      <w:pPr>
        <w:rPr>
          <w:rFonts w:ascii="Arial" w:hAnsi="Arial" w:cs="Arial"/>
          <w:lang w:bidi="en-US"/>
        </w:rPr>
      </w:pPr>
      <w:r w:rsidRPr="00EF74B5">
        <w:rPr>
          <w:rFonts w:ascii="Arial" w:hAnsi="Arial" w:cs="Arial"/>
        </w:rPr>
        <w:t xml:space="preserve">For the </w:t>
      </w:r>
      <w:r w:rsidR="001B4B0B">
        <w:rPr>
          <w:rFonts w:ascii="Arial" w:hAnsi="Arial" w:cs="Arial"/>
        </w:rPr>
        <w:t>feed supplement</w:t>
      </w:r>
      <w:r w:rsidRPr="00EF74B5">
        <w:rPr>
          <w:rFonts w:ascii="Arial" w:hAnsi="Arial" w:cs="Arial"/>
        </w:rPr>
        <w:t xml:space="preserve"> scenario,</w:t>
      </w:r>
      <w:r w:rsidR="001B4B0B">
        <w:rPr>
          <w:rFonts w:ascii="Arial" w:hAnsi="Arial" w:cs="Arial"/>
        </w:rPr>
        <w:t xml:space="preserve"> </w:t>
      </w:r>
      <w:r w:rsidR="001B4B0B">
        <w:rPr>
          <w:rFonts w:ascii="Arial" w:hAnsi="Arial" w:cs="Arial"/>
          <w:lang w:bidi="en-US"/>
        </w:rPr>
        <w:t>it is appreciated that</w:t>
      </w:r>
      <w:r w:rsidR="001B4B0B" w:rsidRPr="001B4B0B">
        <w:rPr>
          <w:rFonts w:ascii="Arial" w:hAnsi="Arial" w:cs="Arial"/>
          <w:lang w:bidi="en-US"/>
        </w:rPr>
        <w:t xml:space="preserve"> </w:t>
      </w:r>
      <w:r w:rsidR="001B4B0B" w:rsidRPr="001B4B0B">
        <w:rPr>
          <w:rFonts w:ascii="Arial" w:hAnsi="Arial" w:cs="Arial"/>
        </w:rPr>
        <w:t>there will be some environmental impact from the baling and drying process as well as from the end use of the straw as it is consumed by livestock (or uneaten feed decomposes)</w:t>
      </w:r>
      <w:r w:rsidR="001B4B0B">
        <w:rPr>
          <w:rFonts w:ascii="Arial" w:hAnsi="Arial" w:cs="Arial"/>
          <w:lang w:bidi="en-US"/>
        </w:rPr>
        <w:t>. T</w:t>
      </w:r>
      <w:r w:rsidR="001B4B0B" w:rsidRPr="001B4B0B">
        <w:rPr>
          <w:rFonts w:ascii="Arial" w:hAnsi="Arial" w:cs="Arial"/>
          <w:lang w:bidi="en-US"/>
        </w:rPr>
        <w:t xml:space="preserve">hese environmental burdens are assumed to be the same as those of sending the </w:t>
      </w:r>
      <w:bookmarkStart w:id="20" w:name="_Hlk795082"/>
      <w:r w:rsidR="001B4B0B">
        <w:rPr>
          <w:rFonts w:ascii="Arial" w:hAnsi="Arial" w:cs="Arial"/>
          <w:lang w:bidi="en-US"/>
        </w:rPr>
        <w:t>post-</w:t>
      </w:r>
      <w:r w:rsidR="001B4B0B" w:rsidRPr="001B4B0B">
        <w:rPr>
          <w:rFonts w:ascii="Arial" w:hAnsi="Arial" w:cs="Arial"/>
          <w:lang w:bidi="en-US"/>
        </w:rPr>
        <w:t>sCO</w:t>
      </w:r>
      <w:r w:rsidR="001B4B0B" w:rsidRPr="001B4B0B">
        <w:rPr>
          <w:rFonts w:ascii="Arial" w:hAnsi="Arial" w:cs="Arial"/>
          <w:vertAlign w:val="subscript"/>
          <w:lang w:bidi="en-US"/>
        </w:rPr>
        <w:t>2</w:t>
      </w:r>
      <w:r w:rsidR="001B4B0B" w:rsidRPr="001B4B0B">
        <w:rPr>
          <w:rFonts w:ascii="Arial" w:hAnsi="Arial" w:cs="Arial"/>
          <w:lang w:bidi="en-US"/>
        </w:rPr>
        <w:t xml:space="preserve"> </w:t>
      </w:r>
      <w:bookmarkEnd w:id="20"/>
      <w:r w:rsidR="001B4B0B" w:rsidRPr="001B4B0B">
        <w:rPr>
          <w:rFonts w:ascii="Arial" w:hAnsi="Arial" w:cs="Arial"/>
          <w:lang w:bidi="en-US"/>
        </w:rPr>
        <w:t xml:space="preserve">extraction barley residue </w:t>
      </w:r>
      <w:r w:rsidR="001B4B0B">
        <w:rPr>
          <w:rFonts w:ascii="Arial" w:hAnsi="Arial" w:cs="Arial"/>
          <w:lang w:bidi="en-US"/>
        </w:rPr>
        <w:t>as animal feed supplement</w:t>
      </w:r>
      <w:r w:rsidR="001B4B0B">
        <w:rPr>
          <w:rFonts w:ascii="Arial" w:hAnsi="Arial" w:cs="Arial"/>
        </w:rPr>
        <w:t xml:space="preserve"> </w:t>
      </w:r>
      <w:bookmarkStart w:id="21" w:name="_Hlk2357925"/>
      <w:r w:rsidR="001B4B0B">
        <w:rPr>
          <w:rFonts w:ascii="Arial" w:hAnsi="Arial" w:cs="Arial"/>
        </w:rPr>
        <w:t>because the volumes are virtually the same</w:t>
      </w:r>
      <w:r w:rsidR="00C140DD">
        <w:rPr>
          <w:rFonts w:ascii="Arial" w:hAnsi="Arial" w:cs="Arial"/>
        </w:rPr>
        <w:t xml:space="preserve"> (i.e.</w:t>
      </w:r>
      <w:r w:rsidR="001B4B0B" w:rsidRPr="001B4B0B">
        <w:rPr>
          <w:rFonts w:ascii="Arial" w:hAnsi="Arial" w:cs="Arial"/>
        </w:rPr>
        <w:t xml:space="preserve"> 90 kg of IFBSW </w:t>
      </w:r>
      <w:r w:rsidR="00C140DD">
        <w:rPr>
          <w:rFonts w:ascii="Arial" w:hAnsi="Arial" w:cs="Arial"/>
        </w:rPr>
        <w:t xml:space="preserve">compared to </w:t>
      </w:r>
      <w:r w:rsidR="001B4B0B" w:rsidRPr="001B4B0B">
        <w:rPr>
          <w:rFonts w:ascii="Arial" w:hAnsi="Arial" w:cs="Arial"/>
        </w:rPr>
        <w:t xml:space="preserve">90.82 kg of </w:t>
      </w:r>
      <w:r w:rsidR="00C140DD">
        <w:rPr>
          <w:rFonts w:ascii="Arial" w:hAnsi="Arial" w:cs="Arial"/>
          <w:lang w:bidi="en-US"/>
        </w:rPr>
        <w:t>post-</w:t>
      </w:r>
      <w:r w:rsidR="00C140DD" w:rsidRPr="001B4B0B">
        <w:rPr>
          <w:rFonts w:ascii="Arial" w:hAnsi="Arial" w:cs="Arial"/>
          <w:lang w:bidi="en-US"/>
        </w:rPr>
        <w:t>sCO</w:t>
      </w:r>
      <w:r w:rsidR="00C140DD" w:rsidRPr="001B4B0B">
        <w:rPr>
          <w:rFonts w:ascii="Arial" w:hAnsi="Arial" w:cs="Arial"/>
          <w:vertAlign w:val="subscript"/>
          <w:lang w:bidi="en-US"/>
        </w:rPr>
        <w:t>2</w:t>
      </w:r>
      <w:r w:rsidR="00C140DD" w:rsidRPr="001B4B0B">
        <w:rPr>
          <w:rFonts w:ascii="Arial" w:hAnsi="Arial" w:cs="Arial"/>
          <w:lang w:bidi="en-US"/>
        </w:rPr>
        <w:t xml:space="preserve"> extraction barley residue</w:t>
      </w:r>
      <w:r w:rsidR="00C140DD">
        <w:rPr>
          <w:rFonts w:ascii="Arial" w:hAnsi="Arial" w:cs="Arial"/>
          <w:lang w:bidi="en-US"/>
        </w:rPr>
        <w:t>)</w:t>
      </w:r>
      <w:r w:rsidR="001B4B0B" w:rsidRPr="001B4B0B">
        <w:rPr>
          <w:rFonts w:ascii="Arial" w:hAnsi="Arial" w:cs="Arial"/>
        </w:rPr>
        <w:t xml:space="preserve">. </w:t>
      </w:r>
      <w:r w:rsidR="00C140DD">
        <w:rPr>
          <w:rFonts w:ascii="Arial" w:hAnsi="Arial" w:cs="Arial"/>
        </w:rPr>
        <w:t xml:space="preserve">The difference in volume is simply caused by a higher </w:t>
      </w:r>
      <w:r w:rsidR="00C140DD" w:rsidRPr="001B4B0B">
        <w:rPr>
          <w:rFonts w:ascii="Arial" w:hAnsi="Arial" w:cs="Arial"/>
        </w:rPr>
        <w:t>moisture</w:t>
      </w:r>
      <w:r w:rsidR="001B4B0B" w:rsidRPr="001B4B0B">
        <w:rPr>
          <w:rFonts w:ascii="Arial" w:hAnsi="Arial" w:cs="Arial"/>
        </w:rPr>
        <w:t xml:space="preserve"> level</w:t>
      </w:r>
      <w:r w:rsidR="00C140DD">
        <w:rPr>
          <w:rFonts w:ascii="Arial" w:hAnsi="Arial" w:cs="Arial"/>
        </w:rPr>
        <w:t xml:space="preserve">. </w:t>
      </w:r>
      <w:r w:rsidR="001B4B0B" w:rsidRPr="001B4B0B">
        <w:rPr>
          <w:rFonts w:ascii="Arial" w:hAnsi="Arial" w:cs="Arial"/>
        </w:rPr>
        <w:t>This means that, in practical terms, an environmental impact of zero could be attributed to the use of IFBSW for animal feeding</w:t>
      </w:r>
      <w:bookmarkEnd w:id="21"/>
      <w:r w:rsidR="00C140DD">
        <w:rPr>
          <w:rFonts w:ascii="Arial" w:hAnsi="Arial" w:cs="Arial"/>
        </w:rPr>
        <w:t>.</w:t>
      </w:r>
    </w:p>
    <w:p w:rsidR="00B03F3C" w:rsidRDefault="00EE11F2" w:rsidP="00D0068C">
      <w:pPr>
        <w:rPr>
          <w:rFonts w:ascii="Arial" w:hAnsi="Arial" w:cs="Arial"/>
        </w:rPr>
      </w:pPr>
      <w:r w:rsidRPr="00EF74B5">
        <w:rPr>
          <w:rFonts w:ascii="Arial" w:hAnsi="Arial" w:cs="Arial"/>
        </w:rPr>
        <w:lastRenderedPageBreak/>
        <w:t xml:space="preserve">As for the social, technological and company fit criteria, these required significantly less analysis and were recorded by Molson Coors staff as shown in Table </w:t>
      </w:r>
      <w:r w:rsidR="00A363AB">
        <w:rPr>
          <w:rFonts w:ascii="Arial" w:hAnsi="Arial" w:cs="Arial"/>
        </w:rPr>
        <w:t>5</w:t>
      </w:r>
      <w:r w:rsidRPr="00EF74B5">
        <w:rPr>
          <w:rFonts w:ascii="Arial" w:hAnsi="Arial" w:cs="Arial"/>
        </w:rPr>
        <w:t xml:space="preserve">. </w:t>
      </w:r>
      <w:r w:rsidR="0049674B" w:rsidRPr="00EF74B5">
        <w:rPr>
          <w:rFonts w:ascii="Arial" w:hAnsi="Arial" w:cs="Arial"/>
        </w:rPr>
        <w:t>Measurements were recorded for the entire annual complement of 75,000</w:t>
      </w:r>
      <w:r w:rsidR="0082066F" w:rsidRPr="00EF74B5">
        <w:rPr>
          <w:rFonts w:ascii="Arial" w:hAnsi="Arial" w:cs="Arial"/>
        </w:rPr>
        <w:t xml:space="preserve"> </w:t>
      </w:r>
      <w:r w:rsidR="0049674B" w:rsidRPr="00EF74B5">
        <w:rPr>
          <w:rFonts w:ascii="Arial" w:hAnsi="Arial" w:cs="Arial"/>
        </w:rPr>
        <w:t xml:space="preserve">t. Where possible, these were recorded in </w:t>
      </w:r>
      <w:r w:rsidR="00C140DD">
        <w:rPr>
          <w:rFonts w:ascii="Arial" w:hAnsi="Arial" w:cs="Arial"/>
        </w:rPr>
        <w:t>quantitative</w:t>
      </w:r>
      <w:r w:rsidR="0049674B" w:rsidRPr="00EF74B5">
        <w:rPr>
          <w:rFonts w:ascii="Arial" w:hAnsi="Arial" w:cs="Arial"/>
        </w:rPr>
        <w:t xml:space="preserve"> units such as decibels for noise, number of jobs created or number of </w:t>
      </w:r>
      <w:r w:rsidR="00C140DD">
        <w:rPr>
          <w:rFonts w:ascii="Arial" w:hAnsi="Arial" w:cs="Arial"/>
        </w:rPr>
        <w:t>vehicles</w:t>
      </w:r>
      <w:r w:rsidR="0049674B" w:rsidRPr="00EF74B5">
        <w:rPr>
          <w:rFonts w:ascii="Arial" w:hAnsi="Arial" w:cs="Arial"/>
        </w:rPr>
        <w:t xml:space="preserve"> for traffic creation, although for certain criteria, such as </w:t>
      </w:r>
      <w:proofErr w:type="spellStart"/>
      <w:r w:rsidR="00C56A21">
        <w:rPr>
          <w:rFonts w:ascii="Arial" w:hAnsi="Arial" w:cs="Arial"/>
        </w:rPr>
        <w:t>odor</w:t>
      </w:r>
      <w:proofErr w:type="spellEnd"/>
      <w:r w:rsidR="0049674B" w:rsidRPr="00EF74B5">
        <w:rPr>
          <w:rFonts w:ascii="Arial" w:hAnsi="Arial" w:cs="Arial"/>
        </w:rPr>
        <w:t xml:space="preserve"> generation a mark of ++ was recorded for the perceived most positive scenario and + for the least. Equally criteria of fit with strategy, fit with brand and fit with company expertise were recorded on a </w:t>
      </w:r>
      <w:bookmarkStart w:id="22" w:name="_Hlk14807387"/>
      <w:r w:rsidR="00266AC4" w:rsidRPr="00EF74B5">
        <w:rPr>
          <w:rFonts w:ascii="Arial" w:hAnsi="Arial" w:cs="Arial"/>
        </w:rPr>
        <w:t>Likert</w:t>
      </w:r>
      <w:r w:rsidR="0049674B" w:rsidRPr="00EF74B5">
        <w:rPr>
          <w:rFonts w:ascii="Arial" w:hAnsi="Arial" w:cs="Arial"/>
        </w:rPr>
        <w:t xml:space="preserve"> scale of 1-5 with 1 equalling poor, 3 equalling average and 5 equalling excellent</w:t>
      </w:r>
      <w:bookmarkEnd w:id="22"/>
      <w:r w:rsidR="0049674B" w:rsidRPr="00EF74B5">
        <w:rPr>
          <w:rFonts w:ascii="Arial" w:hAnsi="Arial" w:cs="Arial"/>
        </w:rPr>
        <w:t xml:space="preserve">. Technological </w:t>
      </w:r>
      <w:r w:rsidR="00C140DD">
        <w:rPr>
          <w:rFonts w:ascii="Arial" w:hAnsi="Arial" w:cs="Arial"/>
        </w:rPr>
        <w:t>maturity</w:t>
      </w:r>
      <w:r w:rsidR="0049674B" w:rsidRPr="00EF74B5">
        <w:rPr>
          <w:rFonts w:ascii="Arial" w:hAnsi="Arial" w:cs="Arial"/>
        </w:rPr>
        <w:t xml:space="preserve"> criteria are scored using established technological, integration and demand readiness levels respectively (see Hjorth and </w:t>
      </w:r>
      <w:proofErr w:type="spellStart"/>
      <w:r w:rsidR="0049674B" w:rsidRPr="00EF74B5">
        <w:rPr>
          <w:rFonts w:ascii="Arial" w:hAnsi="Arial" w:cs="Arial"/>
        </w:rPr>
        <w:t>Brem</w:t>
      </w:r>
      <w:proofErr w:type="spellEnd"/>
      <w:r w:rsidR="0049674B" w:rsidRPr="00EF74B5">
        <w:rPr>
          <w:rFonts w:ascii="Arial" w:hAnsi="Arial" w:cs="Arial"/>
        </w:rPr>
        <w:t xml:space="preserve"> 2016 </w:t>
      </w:r>
      <w:r w:rsidR="00A674B2" w:rsidRPr="00EF74B5">
        <w:rPr>
          <w:rFonts w:ascii="Arial" w:hAnsi="Arial" w:cs="Arial"/>
        </w:rPr>
        <w:fldChar w:fldCharType="begin" w:fldLock="1"/>
      </w:r>
      <w:r w:rsidR="002D2421">
        <w:rPr>
          <w:rFonts w:ascii="Arial" w:hAnsi="Arial" w:cs="Arial"/>
        </w:rPr>
        <w:instrText>ADDIN CSL_CITATION {"citationItems":[{"id":"ITEM-1","itemData":{"author":[{"dropping-particle":"","family":"Hjorth","given":"S Solberg","non-dropping-particle":"","parse-names":false,"suffix":""},{"dropping-particle":"","family":"Sustainability","given":"A Brem -","non-dropping-particle":"","parse-names":false,"suffix":""},{"dropping-particle":"","family":"2016","given":"undefined","non-dropping-particle":"","parse-names":false,"suffix":""}],"container-title":"mdpi.com","id":"ITEM-1","issued":{"date-parts":[["0"]]},"title":"How to assess market readiness for an innovative solution: the case of heat recovery technologies for SMEs","type":"article-journal"},"uris":["http://www.mendeley.com/documents/?uuid=e0bc435e-0735-3314-9ee1-e1b1ac0c0355"]}],"mendeley":{"formattedCitation":"[21]","plainTextFormattedCitation":"[21]","previouslyFormattedCitation":"[21]"},"properties":{"noteIndex":0},"schema":"https://github.com/citation-style-language/schema/raw/master/csl-citation.json"}</w:instrText>
      </w:r>
      <w:r w:rsidR="00A674B2" w:rsidRPr="00EF74B5">
        <w:rPr>
          <w:rFonts w:ascii="Arial" w:hAnsi="Arial" w:cs="Arial"/>
        </w:rPr>
        <w:fldChar w:fldCharType="separate"/>
      </w:r>
      <w:r w:rsidR="009B2689" w:rsidRPr="009B2689">
        <w:rPr>
          <w:rFonts w:ascii="Arial" w:hAnsi="Arial" w:cs="Arial"/>
          <w:noProof/>
        </w:rPr>
        <w:t>[21]</w:t>
      </w:r>
      <w:r w:rsidR="00A674B2" w:rsidRPr="00EF74B5">
        <w:rPr>
          <w:rFonts w:ascii="Arial" w:hAnsi="Arial" w:cs="Arial"/>
        </w:rPr>
        <w:fldChar w:fldCharType="end"/>
      </w:r>
      <w:r w:rsidR="0049674B" w:rsidRPr="00EF74B5">
        <w:rPr>
          <w:rFonts w:ascii="Arial" w:hAnsi="Arial" w:cs="Arial"/>
        </w:rPr>
        <w:t>).</w:t>
      </w:r>
      <w:r w:rsidR="007A48F2" w:rsidRPr="00EF74B5">
        <w:rPr>
          <w:rFonts w:ascii="Arial" w:hAnsi="Arial" w:cs="Arial"/>
        </w:rPr>
        <w:t xml:space="preserve"> </w:t>
      </w:r>
    </w:p>
    <w:p w:rsidR="0015319D" w:rsidRPr="0015319D" w:rsidRDefault="007A48F2" w:rsidP="0015319D">
      <w:pPr>
        <w:rPr>
          <w:rFonts w:ascii="Arial" w:hAnsi="Arial" w:cs="Arial"/>
          <w:lang w:bidi="en-US"/>
        </w:rPr>
      </w:pPr>
      <w:r w:rsidRPr="00EF74B5">
        <w:rPr>
          <w:rFonts w:ascii="Arial" w:hAnsi="Arial" w:cs="Arial"/>
        </w:rPr>
        <w:t xml:space="preserve">To overcome the significant difference in scales of the evaluation criteria, the weighted summation method (WSM), as described </w:t>
      </w:r>
      <w:bookmarkStart w:id="23" w:name="_Hlk280903"/>
      <w:r w:rsidRPr="00EF74B5">
        <w:rPr>
          <w:rFonts w:ascii="Arial" w:hAnsi="Arial" w:cs="Arial"/>
        </w:rPr>
        <w:t xml:space="preserve">by </w:t>
      </w:r>
      <w:proofErr w:type="spellStart"/>
      <w:r w:rsidRPr="00EF74B5">
        <w:rPr>
          <w:rFonts w:ascii="Arial" w:hAnsi="Arial" w:cs="Arial"/>
        </w:rPr>
        <w:t>Herwijnen</w:t>
      </w:r>
      <w:proofErr w:type="spellEnd"/>
      <w:r w:rsidRPr="00EF74B5">
        <w:rPr>
          <w:rFonts w:ascii="Arial" w:hAnsi="Arial" w:cs="Arial"/>
        </w:rPr>
        <w:t xml:space="preserve"> (2006) was applied to all of the economic, environmental, social, technological and company fit values obtained via the processes described above </w:t>
      </w:r>
      <w:r w:rsidR="00A674B2" w:rsidRPr="00EF74B5">
        <w:rPr>
          <w:rFonts w:ascii="Arial" w:hAnsi="Arial" w:cs="Arial"/>
        </w:rPr>
        <w:fldChar w:fldCharType="begin" w:fldLock="1"/>
      </w:r>
      <w:r w:rsidR="002D2421">
        <w:rPr>
          <w:rFonts w:ascii="Arial" w:hAnsi="Arial" w:cs="Arial"/>
        </w:rPr>
        <w:instrText>ADDIN CSL_CITATION {"citationItems":[{"id":"ITEM-1","itemData":{"author":[{"dropping-particle":"","family":"Herwijnen","given":"MV","non-dropping-particle":"","parse-names":false,"suffix":""}],"id":"ITEM-1","issued":{"date-parts":[["2006"]]},"title":"Weighted Summation (WSum)","type":"report"},"uris":["http://www.mendeley.com/documents/?uuid=364e6d77-8c87-30f0-b764-2c059cfc810f"]}],"mendeley":{"formattedCitation":"[25]","plainTextFormattedCitation":"[25]","previouslyFormattedCitation":"[25]"},"properties":{"noteIndex":0},"schema":"https://github.com/citation-style-language/schema/raw/master/csl-citation.json"}</w:instrText>
      </w:r>
      <w:r w:rsidR="00A674B2" w:rsidRPr="00EF74B5">
        <w:rPr>
          <w:rFonts w:ascii="Arial" w:hAnsi="Arial" w:cs="Arial"/>
        </w:rPr>
        <w:fldChar w:fldCharType="separate"/>
      </w:r>
      <w:r w:rsidR="009B2689" w:rsidRPr="009B2689">
        <w:rPr>
          <w:rFonts w:ascii="Arial" w:hAnsi="Arial" w:cs="Arial"/>
          <w:noProof/>
        </w:rPr>
        <w:t>[25]</w:t>
      </w:r>
      <w:r w:rsidR="00A674B2" w:rsidRPr="00EF74B5">
        <w:rPr>
          <w:rFonts w:ascii="Arial" w:hAnsi="Arial" w:cs="Arial"/>
        </w:rPr>
        <w:fldChar w:fldCharType="end"/>
      </w:r>
      <w:r w:rsidRPr="00EF74B5">
        <w:rPr>
          <w:rFonts w:ascii="Arial" w:hAnsi="Arial" w:cs="Arial"/>
        </w:rPr>
        <w:t>.</w:t>
      </w:r>
      <w:bookmarkEnd w:id="23"/>
      <w:r w:rsidRPr="00EF74B5">
        <w:rPr>
          <w:rFonts w:ascii="Arial" w:hAnsi="Arial" w:cs="Arial"/>
        </w:rPr>
        <w:t xml:space="preserve"> </w:t>
      </w:r>
      <w:r w:rsidR="0015319D" w:rsidRPr="0015319D">
        <w:rPr>
          <w:rFonts w:ascii="Arial" w:hAnsi="Arial" w:cs="Arial"/>
          <w:lang w:bidi="en-US"/>
        </w:rPr>
        <w:t xml:space="preserve">In the weighted summation approach, each of the evaluation criteria and their sub-criteria have their units removed and are </w:t>
      </w:r>
      <w:proofErr w:type="spellStart"/>
      <w:r w:rsidR="0015319D" w:rsidRPr="0015319D">
        <w:rPr>
          <w:rFonts w:ascii="Arial" w:hAnsi="Arial" w:cs="Arial"/>
          <w:lang w:bidi="en-US"/>
        </w:rPr>
        <w:t>standarised</w:t>
      </w:r>
      <w:proofErr w:type="spellEnd"/>
      <w:r w:rsidR="0015319D" w:rsidRPr="0015319D">
        <w:rPr>
          <w:rFonts w:ascii="Arial" w:hAnsi="Arial" w:cs="Arial"/>
          <w:lang w:bidi="en-US"/>
        </w:rPr>
        <w:t xml:space="preserve"> based upon their position in relation to the highest and lowest recorded values for that criteria which is expressed on a scale of 0-1. </w:t>
      </w:r>
      <w:bookmarkStart w:id="24" w:name="_Hlk2265014"/>
      <w:r w:rsidR="0015319D" w:rsidRPr="0015319D">
        <w:rPr>
          <w:rFonts w:ascii="Arial" w:hAnsi="Arial" w:cs="Arial"/>
          <w:lang w:bidi="en-US"/>
        </w:rPr>
        <w:t>This is described in Equation 1 used for non-beneficial criteria (e.g. environmental pollution) and Equation 2 for beneficial criteria (</w:t>
      </w:r>
      <w:r w:rsidR="0015319D">
        <w:rPr>
          <w:rFonts w:ascii="Arial" w:hAnsi="Arial" w:cs="Arial"/>
          <w:lang w:bidi="en-US"/>
        </w:rPr>
        <w:t xml:space="preserve">e.g. </w:t>
      </w:r>
      <w:r w:rsidR="0015319D" w:rsidRPr="0015319D">
        <w:rPr>
          <w:rFonts w:ascii="Arial" w:hAnsi="Arial" w:cs="Arial"/>
          <w:lang w:bidi="en-US"/>
        </w:rPr>
        <w:t xml:space="preserve">job creation). </w:t>
      </w:r>
      <w:bookmarkEnd w:id="24"/>
      <w:r w:rsidR="0015319D" w:rsidRPr="0015319D">
        <w:rPr>
          <w:rFonts w:ascii="Arial" w:hAnsi="Arial" w:cs="Arial"/>
          <w:lang w:bidi="en-US"/>
        </w:rPr>
        <w:t xml:space="preserve">In both equations, </w:t>
      </w:r>
      <w:proofErr w:type="gramStart"/>
      <w:r w:rsidR="0015319D" w:rsidRPr="0015319D">
        <w:rPr>
          <w:rFonts w:ascii="Arial" w:hAnsi="Arial" w:cs="Arial"/>
          <w:lang w:bidi="en-US"/>
        </w:rPr>
        <w:t>Vi</w:t>
      </w:r>
      <w:proofErr w:type="gramEnd"/>
      <w:r w:rsidR="0015319D" w:rsidRPr="0015319D">
        <w:rPr>
          <w:rFonts w:ascii="Arial" w:hAnsi="Arial" w:cs="Arial"/>
          <w:lang w:bidi="en-US"/>
        </w:rPr>
        <w:t xml:space="preserve"> = the standardized value for a given evaluation criterion (i) and </w:t>
      </w:r>
      <w:proofErr w:type="spellStart"/>
      <w:r w:rsidR="0015319D" w:rsidRPr="0015319D">
        <w:rPr>
          <w:rFonts w:ascii="Arial" w:hAnsi="Arial" w:cs="Arial"/>
          <w:lang w:bidi="en-US"/>
        </w:rPr>
        <w:t>Sij</w:t>
      </w:r>
      <w:proofErr w:type="spellEnd"/>
      <w:r w:rsidR="0015319D" w:rsidRPr="0015319D">
        <w:rPr>
          <w:rFonts w:ascii="Arial" w:hAnsi="Arial" w:cs="Arial"/>
          <w:lang w:bidi="en-US"/>
        </w:rPr>
        <w:t xml:space="preserve"> = the original score for evaluation criterion i under valorisation option j. </w:t>
      </w:r>
    </w:p>
    <w:p w:rsidR="0015319D" w:rsidRPr="0015319D" w:rsidRDefault="0015319D" w:rsidP="0015319D">
      <w:pPr>
        <w:rPr>
          <w:rFonts w:ascii="Arial" w:hAnsi="Arial" w:cs="Arial"/>
          <w:lang w:bidi="en-US"/>
        </w:rPr>
      </w:pPr>
      <m:oMath>
        <w:bookmarkStart w:id="25" w:name="_Hlk528596041"/>
        <w:bookmarkStart w:id="26" w:name="_Hlk2265029"/>
        <m:r>
          <w:rPr>
            <w:rFonts w:ascii="Cambria Math" w:hAnsi="Cambria Math" w:cs="Arial"/>
            <w:lang w:bidi="en-US"/>
          </w:rPr>
          <m:t>Vi</m:t>
        </m:r>
        <m:r>
          <m:rPr>
            <m:sty m:val="p"/>
          </m:rPr>
          <w:rPr>
            <w:rFonts w:ascii="Cambria Math" w:hAnsi="Cambria Math" w:cs="Arial"/>
            <w:lang w:bidi="en-US"/>
          </w:rPr>
          <m:t>=</m:t>
        </m:r>
        <m:f>
          <m:fPr>
            <m:ctrlPr>
              <w:rPr>
                <w:rFonts w:ascii="Cambria Math" w:hAnsi="Cambria Math" w:cs="Arial"/>
                <w:lang w:bidi="en-US"/>
              </w:rPr>
            </m:ctrlPr>
          </m:fPr>
          <m:num>
            <m:r>
              <m:rPr>
                <m:sty m:val="p"/>
              </m:rPr>
              <w:rPr>
                <w:rFonts w:ascii="Cambria Math" w:hAnsi="Cambria Math" w:cs="Arial"/>
                <w:lang w:bidi="en-US"/>
              </w:rPr>
              <m:t xml:space="preserve">min </m:t>
            </m:r>
            <m:r>
              <w:rPr>
                <w:rFonts w:ascii="Cambria Math" w:hAnsi="Cambria Math" w:cs="Arial"/>
                <w:lang w:bidi="en-US"/>
              </w:rPr>
              <m:t>Sij</m:t>
            </m:r>
          </m:num>
          <m:den>
            <m:r>
              <w:rPr>
                <w:rFonts w:ascii="Cambria Math" w:hAnsi="Cambria Math" w:cs="Arial"/>
                <w:lang w:bidi="en-US"/>
              </w:rPr>
              <m:t>Sij</m:t>
            </m:r>
          </m:den>
        </m:f>
        <m:r>
          <m:rPr>
            <m:sty m:val="p"/>
          </m:rPr>
          <w:rPr>
            <w:rFonts w:ascii="Cambria Math" w:hAnsi="Cambria Math" w:cs="Arial"/>
            <w:lang w:bidi="en-US"/>
          </w:rPr>
          <m:t xml:space="preserve"> </m:t>
        </m:r>
      </m:oMath>
      <w:bookmarkEnd w:id="25"/>
      <w:r w:rsidRPr="0015319D">
        <w:rPr>
          <w:rFonts w:ascii="Arial" w:hAnsi="Arial" w:cs="Arial"/>
          <w:lang w:bidi="en-US"/>
        </w:rPr>
        <w:tab/>
        <w:t>Equation 1.</w:t>
      </w:r>
    </w:p>
    <w:p w:rsidR="0015319D" w:rsidRPr="0015319D" w:rsidRDefault="0015319D" w:rsidP="0015319D">
      <w:pPr>
        <w:rPr>
          <w:rFonts w:ascii="Arial" w:hAnsi="Arial" w:cs="Arial"/>
          <w:lang w:bidi="en-US"/>
        </w:rPr>
      </w:pPr>
      <m:oMath>
        <m:r>
          <w:rPr>
            <w:rFonts w:ascii="Cambria Math" w:hAnsi="Cambria Math" w:cs="Arial"/>
            <w:lang w:bidi="en-US"/>
          </w:rPr>
          <m:t>Vi</m:t>
        </m:r>
        <m:r>
          <m:rPr>
            <m:sty m:val="p"/>
          </m:rPr>
          <w:rPr>
            <w:rFonts w:ascii="Cambria Math" w:hAnsi="Cambria Math" w:cs="Arial"/>
            <w:lang w:bidi="en-US"/>
          </w:rPr>
          <m:t>=</m:t>
        </m:r>
        <m:f>
          <m:fPr>
            <m:ctrlPr>
              <w:rPr>
                <w:rFonts w:ascii="Cambria Math" w:hAnsi="Cambria Math" w:cs="Arial"/>
                <w:lang w:bidi="en-US"/>
              </w:rPr>
            </m:ctrlPr>
          </m:fPr>
          <m:num>
            <m:r>
              <m:rPr>
                <m:sty m:val="p"/>
              </m:rPr>
              <w:rPr>
                <w:rFonts w:ascii="Cambria Math" w:hAnsi="Cambria Math" w:cs="Arial"/>
                <w:lang w:bidi="en-US"/>
              </w:rPr>
              <m:t xml:space="preserve"> </m:t>
            </m:r>
            <m:r>
              <w:rPr>
                <w:rFonts w:ascii="Cambria Math" w:hAnsi="Cambria Math" w:cs="Arial"/>
                <w:lang w:bidi="en-US"/>
              </w:rPr>
              <m:t>Sij</m:t>
            </m:r>
          </m:num>
          <m:den>
            <m:r>
              <w:rPr>
                <w:rFonts w:ascii="Cambria Math" w:hAnsi="Cambria Math" w:cs="Arial"/>
                <w:lang w:bidi="en-US"/>
              </w:rPr>
              <m:t>max Sij</m:t>
            </m:r>
          </m:den>
        </m:f>
      </m:oMath>
      <w:r w:rsidRPr="0015319D">
        <w:rPr>
          <w:rFonts w:ascii="Arial" w:hAnsi="Arial" w:cs="Arial"/>
          <w:lang w:bidi="en-US"/>
        </w:rPr>
        <w:t xml:space="preserve">     Equation 2.</w:t>
      </w:r>
    </w:p>
    <w:bookmarkEnd w:id="26"/>
    <w:p w:rsidR="001E110E" w:rsidRPr="001E110E" w:rsidRDefault="0015319D" w:rsidP="001E110E">
      <w:pPr>
        <w:rPr>
          <w:lang w:bidi="en-US"/>
        </w:rPr>
      </w:pPr>
      <w:r w:rsidRPr="0015319D">
        <w:rPr>
          <w:rFonts w:ascii="Arial" w:hAnsi="Arial" w:cs="Arial"/>
          <w:lang w:bidi="en-US"/>
        </w:rPr>
        <w:t>The standardized values for each evaluation criterion and sub-criterion are then assigned a weight. As all of the evaluation criteria are equally essential in enabling sustainable valorisation of food waste, unless there is very good reason, an equal weighting method must be used</w:t>
      </w:r>
      <w:r w:rsidRPr="0015319D">
        <w:rPr>
          <w:rFonts w:ascii="Arial" w:hAnsi="Arial" w:cs="Arial"/>
        </w:rPr>
        <w:t xml:space="preserve"> (</w:t>
      </w:r>
      <w:r>
        <w:rPr>
          <w:rFonts w:ascii="Arial" w:hAnsi="Arial" w:cs="Arial"/>
        </w:rPr>
        <w:t>as is shown in Table 3 below</w:t>
      </w:r>
      <w:r w:rsidRPr="0015319D">
        <w:rPr>
          <w:rFonts w:ascii="Arial" w:hAnsi="Arial" w:cs="Arial"/>
        </w:rPr>
        <w:t xml:space="preserve">). </w:t>
      </w:r>
    </w:p>
    <w:p w:rsidR="007A48F2" w:rsidRPr="00EF74B5" w:rsidRDefault="00DF7465" w:rsidP="007A48F2">
      <w:pPr>
        <w:rPr>
          <w:rFonts w:ascii="Arial" w:hAnsi="Arial" w:cs="Arial"/>
        </w:rPr>
      </w:pPr>
      <w:r w:rsidRPr="00EF74B5">
        <w:rPr>
          <w:rFonts w:ascii="Arial" w:hAnsi="Arial" w:cs="Arial"/>
        </w:rPr>
        <w:t xml:space="preserve">Table </w:t>
      </w:r>
      <w:r w:rsidR="0015319D">
        <w:rPr>
          <w:rFonts w:ascii="Arial" w:hAnsi="Arial" w:cs="Arial"/>
        </w:rPr>
        <w:t>3</w:t>
      </w:r>
      <w:r w:rsidRPr="00EF74B5">
        <w:rPr>
          <w:rFonts w:ascii="Arial" w:hAnsi="Arial" w:cs="Arial"/>
        </w:rPr>
        <w:t xml:space="preserve">: Assigned weighting for each </w:t>
      </w:r>
      <w:r w:rsidR="0082066F" w:rsidRPr="00EF74B5">
        <w:rPr>
          <w:rFonts w:ascii="Arial" w:hAnsi="Arial" w:cs="Arial"/>
        </w:rPr>
        <w:t>criterion</w:t>
      </w:r>
    </w:p>
    <w:tbl>
      <w:tblPr>
        <w:tblStyle w:val="TableGrid"/>
        <w:tblW w:w="0" w:type="auto"/>
        <w:tblInd w:w="108" w:type="dxa"/>
        <w:tblLook w:val="04A0"/>
      </w:tblPr>
      <w:tblGrid>
        <w:gridCol w:w="1410"/>
        <w:gridCol w:w="1147"/>
        <w:gridCol w:w="3928"/>
        <w:gridCol w:w="1270"/>
        <w:gridCol w:w="1153"/>
      </w:tblGrid>
      <w:tr w:rsidR="007A48F2" w:rsidRPr="00EF74B5" w:rsidTr="007A48F2">
        <w:tc>
          <w:tcPr>
            <w:tcW w:w="141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Criteria</w:t>
            </w:r>
          </w:p>
        </w:tc>
        <w:tc>
          <w:tcPr>
            <w:tcW w:w="1147"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Weighting</w:t>
            </w: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Sub-Criteria</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Weighting</w:t>
            </w:r>
          </w:p>
        </w:tc>
        <w:tc>
          <w:tcPr>
            <w:tcW w:w="1153"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Individual Weighting</w:t>
            </w:r>
          </w:p>
        </w:tc>
      </w:tr>
      <w:tr w:rsidR="007A48F2" w:rsidRPr="00EF74B5" w:rsidTr="007A48F2">
        <w:tc>
          <w:tcPr>
            <w:tcW w:w="141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Economic</w:t>
            </w:r>
          </w:p>
        </w:tc>
        <w:tc>
          <w:tcPr>
            <w:tcW w:w="1147"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Net Present Value</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w:t>
            </w:r>
          </w:p>
        </w:tc>
        <w:tc>
          <w:tcPr>
            <w:tcW w:w="1153" w:type="dxa"/>
          </w:tcPr>
          <w:p w:rsidR="007A48F2" w:rsidRPr="001E110E" w:rsidRDefault="007A48F2"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20%</w:t>
            </w:r>
          </w:p>
        </w:tc>
      </w:tr>
      <w:tr w:rsidR="007A48F2" w:rsidRPr="00EF74B5" w:rsidTr="007A48F2">
        <w:tc>
          <w:tcPr>
            <w:tcW w:w="1410"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Environmental</w:t>
            </w:r>
          </w:p>
        </w:tc>
        <w:tc>
          <w:tcPr>
            <w:tcW w:w="1147"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Climate Change Potential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1/7</w:t>
            </w:r>
          </w:p>
        </w:tc>
        <w:tc>
          <w:tcPr>
            <w:tcW w:w="1153" w:type="dxa"/>
          </w:tcPr>
          <w:p w:rsidR="007A48F2" w:rsidRPr="001E110E" w:rsidRDefault="001637EA" w:rsidP="002D242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2.85%</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eastAsia="de-DE" w:bidi="en-US"/>
              </w:rPr>
              <w:t>Photochemical Ozone Formation Potential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1/7</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2.85%</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eastAsia="de-DE" w:bidi="en-US"/>
              </w:rPr>
            </w:pPr>
            <w:r w:rsidRPr="001E110E">
              <w:rPr>
                <w:rFonts w:ascii="Arial" w:eastAsia="Times New Roman" w:hAnsi="Arial" w:cs="Arial"/>
                <w:snapToGrid w:val="0"/>
                <w:color w:val="000000"/>
                <w:sz w:val="18"/>
                <w:szCs w:val="18"/>
                <w:lang w:eastAsia="de-DE" w:bidi="en-US"/>
              </w:rPr>
              <w:t>Human Toxicity Potential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1/7</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2.85%</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eastAsia="de-DE" w:bidi="en-US"/>
              </w:rPr>
            </w:pPr>
            <w:r w:rsidRPr="001E110E">
              <w:rPr>
                <w:rFonts w:ascii="Arial" w:eastAsia="Times New Roman" w:hAnsi="Arial" w:cs="Arial"/>
                <w:snapToGrid w:val="0"/>
                <w:color w:val="000000"/>
                <w:sz w:val="18"/>
                <w:szCs w:val="18"/>
                <w:lang w:eastAsia="de-DE" w:bidi="en-US"/>
              </w:rPr>
              <w:t>Acidification Potential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1/7</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2.85%</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eastAsia="de-DE" w:bidi="en-US"/>
              </w:rPr>
            </w:pPr>
            <w:r w:rsidRPr="001E110E">
              <w:rPr>
                <w:rFonts w:ascii="Arial" w:eastAsia="Times New Roman" w:hAnsi="Arial" w:cs="Arial"/>
                <w:snapToGrid w:val="0"/>
                <w:color w:val="000000"/>
                <w:sz w:val="18"/>
                <w:szCs w:val="18"/>
                <w:lang w:eastAsia="de-DE" w:bidi="en-US"/>
              </w:rPr>
              <w:t>Eutrophication Potential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1/7</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2.85%</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eastAsia="de-DE" w:bidi="en-US"/>
              </w:rPr>
            </w:pPr>
            <w:r w:rsidRPr="001E110E">
              <w:rPr>
                <w:rFonts w:ascii="Arial" w:eastAsia="Times New Roman" w:hAnsi="Arial" w:cs="Arial"/>
                <w:snapToGrid w:val="0"/>
                <w:color w:val="000000"/>
                <w:sz w:val="18"/>
                <w:szCs w:val="18"/>
                <w:lang w:eastAsia="de-DE" w:bidi="en-US"/>
              </w:rPr>
              <w:t>Ozone Depletion Potential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1/7</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2.85%</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7A48F2">
            <w:pPr>
              <w:tabs>
                <w:tab w:val="left" w:pos="1172"/>
              </w:tabs>
              <w:adjustRightInd w:val="0"/>
              <w:snapToGrid w:val="0"/>
              <w:rPr>
                <w:rFonts w:ascii="Arial" w:eastAsia="Times New Roman" w:hAnsi="Arial" w:cs="Arial"/>
                <w:snapToGrid w:val="0"/>
                <w:color w:val="000000"/>
                <w:sz w:val="18"/>
                <w:szCs w:val="18"/>
                <w:lang w:eastAsia="de-DE" w:bidi="en-US"/>
              </w:rPr>
            </w:pPr>
            <w:r w:rsidRPr="001E110E">
              <w:rPr>
                <w:rFonts w:ascii="Arial" w:eastAsia="Times New Roman" w:hAnsi="Arial" w:cs="Arial"/>
                <w:snapToGrid w:val="0"/>
                <w:color w:val="000000"/>
                <w:sz w:val="18"/>
                <w:szCs w:val="18"/>
                <w:lang w:eastAsia="de-DE" w:bidi="en-US"/>
              </w:rPr>
              <w:tab/>
              <w:t>Ecotoxicity Potential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1/7</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2.85%</w:t>
            </w:r>
          </w:p>
        </w:tc>
      </w:tr>
      <w:tr w:rsidR="007A48F2" w:rsidRPr="00EF74B5" w:rsidTr="007A48F2">
        <w:tc>
          <w:tcPr>
            <w:tcW w:w="1410"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Social</w:t>
            </w:r>
          </w:p>
        </w:tc>
        <w:tc>
          <w:tcPr>
            <w:tcW w:w="1147"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Social Acceptability</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4%</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C56A21"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Odor</w:t>
            </w:r>
            <w:r w:rsidR="007A48F2" w:rsidRPr="001E110E">
              <w:rPr>
                <w:rFonts w:ascii="Arial" w:eastAsia="Times New Roman" w:hAnsi="Arial" w:cs="Arial"/>
                <w:snapToGrid w:val="0"/>
                <w:color w:val="000000"/>
                <w:sz w:val="18"/>
                <w:szCs w:val="18"/>
                <w:lang w:val="en-US" w:eastAsia="de-DE" w:bidi="en-US"/>
              </w:rPr>
              <w:t xml:space="preserve"> Generation</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4%</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Noise</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4%</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Job Creation</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4%</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Traffic</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4%</w:t>
            </w:r>
          </w:p>
        </w:tc>
      </w:tr>
      <w:tr w:rsidR="007A48F2" w:rsidRPr="00EF74B5" w:rsidTr="007A48F2">
        <w:tc>
          <w:tcPr>
            <w:tcW w:w="1410"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Technology</w:t>
            </w:r>
          </w:p>
        </w:tc>
        <w:tc>
          <w:tcPr>
            <w:tcW w:w="1147"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Technological Readiness Level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1/3</w:t>
            </w:r>
          </w:p>
        </w:tc>
        <w:tc>
          <w:tcPr>
            <w:tcW w:w="1153" w:type="dxa"/>
          </w:tcPr>
          <w:p w:rsidR="007A48F2" w:rsidRPr="001E110E" w:rsidRDefault="001637EA"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6</w:t>
            </w:r>
            <w:r w:rsidR="00DF7465" w:rsidRPr="001E110E">
              <w:rPr>
                <w:rFonts w:ascii="Arial" w:eastAsia="Times New Roman" w:hAnsi="Arial" w:cs="Arial"/>
                <w:snapToGrid w:val="0"/>
                <w:color w:val="000000"/>
                <w:sz w:val="18"/>
                <w:szCs w:val="18"/>
                <w:lang w:val="en-US" w:eastAsia="de-DE" w:bidi="en-US"/>
              </w:rPr>
              <w:t>.66</w:t>
            </w:r>
            <w:r w:rsidRPr="001E110E">
              <w:rPr>
                <w:rFonts w:ascii="Arial" w:eastAsia="Times New Roman" w:hAnsi="Arial" w:cs="Arial"/>
                <w:snapToGrid w:val="0"/>
                <w:color w:val="000000"/>
                <w:sz w:val="18"/>
                <w:szCs w:val="18"/>
                <w:lang w:val="en-US" w:eastAsia="de-DE" w:bidi="en-US"/>
              </w:rPr>
              <w:t>%</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Integration Readiness Level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1/3</w:t>
            </w:r>
          </w:p>
        </w:tc>
        <w:tc>
          <w:tcPr>
            <w:tcW w:w="1153" w:type="dxa"/>
          </w:tcPr>
          <w:p w:rsidR="007A48F2" w:rsidRPr="001E110E" w:rsidRDefault="00DF7465"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6.66%</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Demand Readiness Level</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1/3</w:t>
            </w:r>
          </w:p>
        </w:tc>
        <w:tc>
          <w:tcPr>
            <w:tcW w:w="1153" w:type="dxa"/>
          </w:tcPr>
          <w:p w:rsidR="007A48F2" w:rsidRPr="001E110E" w:rsidRDefault="00DF7465"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6.66%</w:t>
            </w:r>
          </w:p>
        </w:tc>
      </w:tr>
      <w:tr w:rsidR="007A48F2" w:rsidRPr="00EF74B5" w:rsidTr="007A48F2">
        <w:tc>
          <w:tcPr>
            <w:tcW w:w="1410"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Company fit</w:t>
            </w:r>
          </w:p>
        </w:tc>
        <w:tc>
          <w:tcPr>
            <w:tcW w:w="1147" w:type="dxa"/>
            <w:vMerge w:val="restart"/>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1/5</w:t>
            </w: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Fit with brand image</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1/3</w:t>
            </w:r>
          </w:p>
        </w:tc>
        <w:tc>
          <w:tcPr>
            <w:tcW w:w="1153" w:type="dxa"/>
          </w:tcPr>
          <w:p w:rsidR="007A48F2" w:rsidRPr="001E110E" w:rsidRDefault="00DF7465"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6.66%</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Fit with company strategy</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1/3</w:t>
            </w:r>
          </w:p>
        </w:tc>
        <w:tc>
          <w:tcPr>
            <w:tcW w:w="1153" w:type="dxa"/>
          </w:tcPr>
          <w:p w:rsidR="007A48F2" w:rsidRPr="001E110E" w:rsidRDefault="00DF7465"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6.66%</w:t>
            </w:r>
          </w:p>
        </w:tc>
      </w:tr>
      <w:tr w:rsidR="007A48F2" w:rsidRPr="00EF74B5" w:rsidTr="007A48F2">
        <w:tc>
          <w:tcPr>
            <w:tcW w:w="1410"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1147" w:type="dxa"/>
            <w:vMerge/>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p>
        </w:tc>
        <w:tc>
          <w:tcPr>
            <w:tcW w:w="3928"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Fit with company expertise</w:t>
            </w:r>
          </w:p>
        </w:tc>
        <w:tc>
          <w:tcPr>
            <w:tcW w:w="1270" w:type="dxa"/>
          </w:tcPr>
          <w:p w:rsidR="007A48F2" w:rsidRPr="001E110E" w:rsidRDefault="007A48F2" w:rsidP="002A2897">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1/3</w:t>
            </w:r>
          </w:p>
        </w:tc>
        <w:tc>
          <w:tcPr>
            <w:tcW w:w="1153" w:type="dxa"/>
          </w:tcPr>
          <w:p w:rsidR="007A48F2" w:rsidRPr="001E110E" w:rsidRDefault="00DF7465" w:rsidP="00F50241">
            <w:pPr>
              <w:adjustRightInd w:val="0"/>
              <w:snapToGrid w:val="0"/>
              <w:jc w:val="center"/>
              <w:rPr>
                <w:rFonts w:ascii="Arial" w:eastAsia="Times New Roman" w:hAnsi="Arial" w:cs="Arial"/>
                <w:snapToGrid w:val="0"/>
                <w:color w:val="000000"/>
                <w:sz w:val="18"/>
                <w:szCs w:val="18"/>
                <w:lang w:val="en-US" w:eastAsia="de-DE" w:bidi="en-US"/>
              </w:rPr>
            </w:pPr>
            <w:r w:rsidRPr="001E110E">
              <w:rPr>
                <w:rFonts w:ascii="Arial" w:eastAsia="Times New Roman" w:hAnsi="Arial" w:cs="Arial"/>
                <w:snapToGrid w:val="0"/>
                <w:color w:val="000000"/>
                <w:sz w:val="18"/>
                <w:szCs w:val="18"/>
                <w:lang w:val="en-US" w:eastAsia="de-DE" w:bidi="en-US"/>
              </w:rPr>
              <w:t>6.66%</w:t>
            </w:r>
          </w:p>
        </w:tc>
      </w:tr>
    </w:tbl>
    <w:p w:rsidR="0049674B" w:rsidRPr="00EF74B5" w:rsidRDefault="0049674B" w:rsidP="007A48F2">
      <w:pPr>
        <w:rPr>
          <w:rFonts w:ascii="Arial" w:hAnsi="Arial" w:cs="Arial"/>
        </w:rPr>
      </w:pPr>
    </w:p>
    <w:p w:rsidR="001E110E" w:rsidRPr="0015319D" w:rsidRDefault="001E110E" w:rsidP="001E110E">
      <w:pPr>
        <w:rPr>
          <w:rFonts w:ascii="Arial" w:hAnsi="Arial" w:cs="Arial"/>
          <w:lang w:bidi="en-US"/>
        </w:rPr>
      </w:pPr>
      <w:r w:rsidRPr="0015319D">
        <w:rPr>
          <w:rFonts w:ascii="Arial" w:hAnsi="Arial" w:cs="Arial"/>
        </w:rPr>
        <w:lastRenderedPageBreak/>
        <w:t>In this way, the standardized values for each of the evaluation sub-criteria can then be multiplied by their respective weightings and summed to give a total value for valorisation scenario as shown in Equation 3</w:t>
      </w:r>
      <w:r>
        <w:rPr>
          <w:rFonts w:ascii="Arial" w:hAnsi="Arial" w:cs="Arial"/>
        </w:rPr>
        <w:t xml:space="preserve">, resulting in </w:t>
      </w:r>
      <w:r w:rsidRPr="0015319D">
        <w:rPr>
          <w:rFonts w:ascii="Arial" w:hAnsi="Arial" w:cs="Arial"/>
        </w:rPr>
        <w:t xml:space="preserve">the final values shown in Figure </w:t>
      </w:r>
      <w:r>
        <w:rPr>
          <w:rFonts w:ascii="Arial" w:hAnsi="Arial" w:cs="Arial"/>
        </w:rPr>
        <w:t>1.</w:t>
      </w:r>
    </w:p>
    <w:p w:rsidR="001E110E" w:rsidRDefault="001E110E" w:rsidP="001E110E">
      <w:pPr>
        <w:rPr>
          <w:rFonts w:ascii="Arial" w:hAnsi="Arial" w:cs="Arial"/>
          <w:lang w:bidi="en-US"/>
        </w:rPr>
      </w:pPr>
      <m:oMath>
        <m:r>
          <w:rPr>
            <w:rFonts w:ascii="Cambria Math" w:hAnsi="Cambria Math" w:cs="Arial"/>
            <w:lang w:bidi="en-US"/>
          </w:rPr>
          <m:t>Score</m:t>
        </m:r>
        <m:r>
          <m:rPr>
            <m:sty m:val="p"/>
          </m:rPr>
          <w:rPr>
            <w:rFonts w:ascii="Cambria Math" w:hAnsi="Cambria Math" w:cs="Arial"/>
            <w:lang w:bidi="en-US"/>
          </w:rPr>
          <m:t xml:space="preserve"> </m:t>
        </m:r>
        <m:d>
          <m:dPr>
            <m:ctrlPr>
              <w:rPr>
                <w:rFonts w:ascii="Cambria Math" w:hAnsi="Cambria Math" w:cs="Arial"/>
                <w:lang w:bidi="en-US"/>
              </w:rPr>
            </m:ctrlPr>
          </m:dPr>
          <m:e>
            <m:r>
              <w:rPr>
                <w:rFonts w:ascii="Cambria Math" w:hAnsi="Cambria Math" w:cs="Arial"/>
                <w:lang w:bidi="en-US"/>
              </w:rPr>
              <m:t>j</m:t>
            </m:r>
          </m:e>
        </m:d>
        <m:r>
          <m:rPr>
            <m:sty m:val="p"/>
          </m:rPr>
          <w:rPr>
            <w:rFonts w:ascii="Cambria Math" w:hAnsi="Cambria Math" w:cs="Arial"/>
            <w:lang w:bidi="en-US"/>
          </w:rPr>
          <m:t>=</m:t>
        </m:r>
        <m:nary>
          <m:naryPr>
            <m:chr m:val="∑"/>
            <m:limLoc m:val="subSup"/>
            <m:ctrlPr>
              <w:rPr>
                <w:rFonts w:ascii="Cambria Math" w:hAnsi="Cambria Math" w:cs="Arial"/>
                <w:lang w:bidi="en-US"/>
              </w:rPr>
            </m:ctrlPr>
          </m:naryPr>
          <m:sub>
            <m:r>
              <w:rPr>
                <w:rFonts w:ascii="Cambria Math" w:hAnsi="Cambria Math" w:cs="Arial"/>
                <w:lang w:bidi="en-US"/>
              </w:rPr>
              <m:t>Wi</m:t>
            </m:r>
          </m:sub>
          <m:sup>
            <m:r>
              <w:rPr>
                <w:rFonts w:ascii="Cambria Math" w:hAnsi="Cambria Math" w:cs="Arial"/>
                <w:lang w:bidi="en-US"/>
              </w:rPr>
              <m:t>N</m:t>
            </m:r>
          </m:sup>
          <m:e>
            <m:r>
              <w:rPr>
                <w:rFonts w:ascii="Cambria Math" w:hAnsi="Cambria Math" w:cs="Arial"/>
                <w:lang w:bidi="en-US"/>
              </w:rPr>
              <m:t>WiVi</m:t>
            </m:r>
          </m:e>
        </m:nary>
        <m:r>
          <w:rPr>
            <w:rFonts w:ascii="Cambria Math" w:hAnsi="Cambria Math" w:cs="Arial"/>
            <w:lang w:bidi="en-US"/>
          </w:rPr>
          <m:t xml:space="preserve"> </m:t>
        </m:r>
      </m:oMath>
      <w:r w:rsidRPr="0015319D">
        <w:rPr>
          <w:rFonts w:ascii="Arial" w:hAnsi="Arial" w:cs="Arial"/>
          <w:lang w:bidi="en-US"/>
        </w:rPr>
        <w:t xml:space="preserve"> Equation 3</w:t>
      </w:r>
    </w:p>
    <w:p w:rsidR="001E110E" w:rsidRDefault="001E110E" w:rsidP="001E110E">
      <w:pPr>
        <w:pStyle w:val="Heading1"/>
        <w:rPr>
          <w:lang w:bidi="en-US"/>
        </w:rPr>
      </w:pPr>
      <w:r>
        <w:rPr>
          <w:lang w:bidi="en-US"/>
        </w:rPr>
        <w:t>Stage 5: Sensitivity Analysis</w:t>
      </w:r>
    </w:p>
    <w:p w:rsidR="001E110E" w:rsidRPr="00663461" w:rsidRDefault="001E110E" w:rsidP="001E110E">
      <w:pPr>
        <w:rPr>
          <w:rFonts w:ascii="Arial" w:hAnsi="Arial" w:cs="Arial"/>
        </w:rPr>
      </w:pPr>
      <w:r w:rsidRPr="00663461">
        <w:rPr>
          <w:rFonts w:ascii="Arial" w:hAnsi="Arial" w:cs="Arial"/>
        </w:rPr>
        <w:t>A full sensitivity analysis was performed for all of the set-up and running costs modelled for each scenario. This was performed as a what-if analysis data table where the costs for electricity, CO</w:t>
      </w:r>
      <w:r w:rsidRPr="00F241FE">
        <w:rPr>
          <w:rFonts w:ascii="Arial" w:hAnsi="Arial" w:cs="Arial"/>
          <w:vertAlign w:val="subscript"/>
        </w:rPr>
        <w:t>2</w:t>
      </w:r>
      <w:r w:rsidRPr="00663461">
        <w:rPr>
          <w:rFonts w:ascii="Arial" w:hAnsi="Arial" w:cs="Arial"/>
        </w:rPr>
        <w:t xml:space="preserve">, water and staff salaries and the benefits received from the sale of wax and animal feed were incrementally increased and decreased by 5% up to a maximum of 50% increase and decrease from their current value.  </w:t>
      </w:r>
      <w:r w:rsidR="00AE4D04" w:rsidRPr="00663461">
        <w:rPr>
          <w:rFonts w:ascii="Arial" w:hAnsi="Arial" w:cs="Arial"/>
        </w:rPr>
        <w:t xml:space="preserve">The purpose is to identify key costs or benefits that need the most management attention in order to retain a positive NPV. These can then be cross referenced with market analysis to determine potential levels of risk, in this case, the price of animal feed on the spot market was identified as a key variable in both scenarios. </w:t>
      </w:r>
      <w:r w:rsidRPr="00663461">
        <w:rPr>
          <w:rFonts w:ascii="Arial" w:hAnsi="Arial" w:cs="Arial"/>
        </w:rPr>
        <w:t>The results are shown in Table 4.</w:t>
      </w:r>
    </w:p>
    <w:p w:rsidR="00C304D5" w:rsidRPr="00EF74B5" w:rsidRDefault="00C304D5" w:rsidP="0049674B">
      <w:pPr>
        <w:pStyle w:val="MDPI31text"/>
        <w:ind w:firstLine="0"/>
        <w:jc w:val="left"/>
        <w:rPr>
          <w:rFonts w:ascii="Arial" w:hAnsi="Arial" w:cs="Arial"/>
          <w:sz w:val="22"/>
        </w:rPr>
      </w:pPr>
    </w:p>
    <w:p w:rsidR="00EE11F2" w:rsidRPr="00EF74B5" w:rsidRDefault="00DF7465" w:rsidP="00D0068C">
      <w:pPr>
        <w:rPr>
          <w:rFonts w:ascii="Arial" w:hAnsi="Arial" w:cs="Arial"/>
        </w:rPr>
      </w:pPr>
      <w:r w:rsidRPr="00EF74B5">
        <w:rPr>
          <w:rFonts w:ascii="Arial" w:hAnsi="Arial" w:cs="Arial"/>
          <w:noProof/>
          <w:lang w:val="en-US"/>
        </w:rPr>
        <w:drawing>
          <wp:inline distT="0" distB="0" distL="0" distR="0">
            <wp:extent cx="5654806" cy="38004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67768" cy="3809187"/>
                    </a:xfrm>
                    <a:prstGeom prst="rect">
                      <a:avLst/>
                    </a:prstGeom>
                    <a:noFill/>
                  </pic:spPr>
                </pic:pic>
              </a:graphicData>
            </a:graphic>
          </wp:inline>
        </w:drawing>
      </w:r>
    </w:p>
    <w:p w:rsidR="00DF7465" w:rsidRDefault="00DF7465" w:rsidP="00DF7465">
      <w:pPr>
        <w:pStyle w:val="MDPI31text"/>
        <w:ind w:firstLine="0"/>
        <w:rPr>
          <w:rFonts w:ascii="Arial" w:hAnsi="Arial" w:cs="Arial"/>
          <w:sz w:val="22"/>
          <w:lang w:val="en-GB"/>
        </w:rPr>
      </w:pPr>
      <w:r w:rsidRPr="00EF74B5">
        <w:rPr>
          <w:rFonts w:ascii="Arial" w:hAnsi="Arial" w:cs="Arial"/>
          <w:sz w:val="22"/>
        </w:rPr>
        <w:t xml:space="preserve">Figure </w:t>
      </w:r>
      <w:r w:rsidR="0067736F">
        <w:rPr>
          <w:rFonts w:ascii="Arial" w:hAnsi="Arial" w:cs="Arial"/>
          <w:sz w:val="22"/>
        </w:rPr>
        <w:t>1</w:t>
      </w:r>
      <w:r w:rsidRPr="00EF74B5">
        <w:rPr>
          <w:rFonts w:ascii="Arial" w:hAnsi="Arial" w:cs="Arial"/>
          <w:sz w:val="22"/>
        </w:rPr>
        <w:t xml:space="preserve">: Normalized, weighted and summed results for the </w:t>
      </w:r>
      <w:r w:rsidRPr="00EF74B5">
        <w:rPr>
          <w:rFonts w:ascii="Arial" w:hAnsi="Arial" w:cs="Arial"/>
          <w:sz w:val="22"/>
          <w:lang w:val="en-GB"/>
        </w:rPr>
        <w:t>sCO</w:t>
      </w:r>
      <w:r w:rsidRPr="00EF74B5">
        <w:rPr>
          <w:rFonts w:ascii="Arial" w:hAnsi="Arial" w:cs="Arial"/>
          <w:sz w:val="22"/>
          <w:vertAlign w:val="subscript"/>
          <w:lang w:val="en-GB"/>
        </w:rPr>
        <w:t>2</w:t>
      </w:r>
      <w:r w:rsidRPr="00EF74B5">
        <w:rPr>
          <w:rFonts w:ascii="Arial" w:hAnsi="Arial" w:cs="Arial"/>
          <w:sz w:val="22"/>
          <w:lang w:val="en-GB"/>
        </w:rPr>
        <w:t xml:space="preserve"> extraction and bedding scenarios</w:t>
      </w:r>
    </w:p>
    <w:p w:rsidR="001E110E" w:rsidRDefault="001E110E"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AE4D04" w:rsidRDefault="00AE4D04" w:rsidP="00DF7465">
      <w:pPr>
        <w:pStyle w:val="MDPI31text"/>
        <w:ind w:firstLine="0"/>
        <w:rPr>
          <w:rFonts w:ascii="Arial" w:hAnsi="Arial" w:cs="Arial"/>
          <w:sz w:val="22"/>
        </w:rPr>
      </w:pPr>
    </w:p>
    <w:p w:rsidR="00221611" w:rsidRPr="00EF74B5" w:rsidRDefault="00221611" w:rsidP="00DF7465">
      <w:pPr>
        <w:pStyle w:val="MDPI31text"/>
        <w:ind w:firstLine="0"/>
        <w:rPr>
          <w:rFonts w:ascii="Arial" w:hAnsi="Arial" w:cs="Arial"/>
          <w:sz w:val="22"/>
        </w:rPr>
      </w:pPr>
      <w:r>
        <w:rPr>
          <w:rFonts w:ascii="Arial" w:hAnsi="Arial" w:cs="Arial"/>
          <w:sz w:val="22"/>
        </w:rPr>
        <w:t>Table 5: Sensitivity analysis for both IFBSW valorisation scenarios</w:t>
      </w:r>
    </w:p>
    <w:p w:rsidR="00DF7465" w:rsidRPr="00EF74B5" w:rsidRDefault="00221611" w:rsidP="00D0068C">
      <w:pPr>
        <w:rPr>
          <w:rFonts w:ascii="Arial" w:hAnsi="Arial" w:cs="Arial"/>
        </w:rPr>
      </w:pPr>
      <w:r w:rsidRPr="00221611">
        <w:rPr>
          <w:noProof/>
          <w:lang w:val="en-US"/>
        </w:rPr>
        <w:drawing>
          <wp:inline distT="0" distB="0" distL="0" distR="0">
            <wp:extent cx="8245380" cy="5316716"/>
            <wp:effectExtent l="0" t="254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8259537" cy="5325845"/>
                    </a:xfrm>
                    <a:prstGeom prst="rect">
                      <a:avLst/>
                    </a:prstGeom>
                    <a:noFill/>
                    <a:ln>
                      <a:noFill/>
                    </a:ln>
                  </pic:spPr>
                </pic:pic>
              </a:graphicData>
            </a:graphic>
          </wp:inline>
        </w:drawing>
      </w:r>
    </w:p>
    <w:p w:rsidR="00F00A27" w:rsidRPr="002D2421" w:rsidRDefault="00F00A27" w:rsidP="00DF7465">
      <w:pPr>
        <w:pStyle w:val="Heading1"/>
        <w:rPr>
          <w:rFonts w:cs="Arial"/>
          <w:b/>
          <w:sz w:val="22"/>
          <w:szCs w:val="22"/>
        </w:rPr>
      </w:pPr>
      <w:r w:rsidRPr="002D2421">
        <w:rPr>
          <w:rFonts w:cs="Arial"/>
          <w:b/>
          <w:sz w:val="22"/>
          <w:szCs w:val="22"/>
        </w:rPr>
        <w:t>References</w:t>
      </w:r>
    </w:p>
    <w:p w:rsidR="002D2421" w:rsidRPr="002D2421" w:rsidRDefault="00A674B2" w:rsidP="002D2421">
      <w:pPr>
        <w:widowControl w:val="0"/>
        <w:autoSpaceDE w:val="0"/>
        <w:autoSpaceDN w:val="0"/>
        <w:adjustRightInd w:val="0"/>
        <w:spacing w:line="240" w:lineRule="auto"/>
        <w:ind w:left="640" w:hanging="640"/>
        <w:rPr>
          <w:rFonts w:ascii="Arial" w:hAnsi="Arial" w:cs="Arial"/>
          <w:noProof/>
          <w:szCs w:val="24"/>
        </w:rPr>
      </w:pPr>
      <w:r w:rsidRPr="00EF74B5">
        <w:rPr>
          <w:rFonts w:ascii="Arial" w:hAnsi="Arial" w:cs="Arial"/>
        </w:rPr>
        <w:fldChar w:fldCharType="begin" w:fldLock="1"/>
      </w:r>
      <w:r w:rsidR="00F00A27" w:rsidRPr="00EF74B5">
        <w:rPr>
          <w:rFonts w:ascii="Arial" w:hAnsi="Arial" w:cs="Arial"/>
        </w:rPr>
        <w:instrText xml:space="preserve">ADDIN Mendeley Bibliography CSL_BIBLIOGRAPHY </w:instrText>
      </w:r>
      <w:r w:rsidRPr="00EF74B5">
        <w:rPr>
          <w:rFonts w:ascii="Arial" w:hAnsi="Arial" w:cs="Arial"/>
        </w:rPr>
        <w:fldChar w:fldCharType="separate"/>
      </w:r>
      <w:r w:rsidR="002D2421" w:rsidRPr="002D2421">
        <w:rPr>
          <w:rFonts w:ascii="Arial" w:hAnsi="Arial" w:cs="Arial"/>
          <w:noProof/>
          <w:szCs w:val="24"/>
        </w:rPr>
        <w:t xml:space="preserve">1. </w:t>
      </w:r>
      <w:r w:rsidR="002D2421" w:rsidRPr="002D2421">
        <w:rPr>
          <w:rFonts w:ascii="Arial" w:hAnsi="Arial" w:cs="Arial"/>
          <w:noProof/>
          <w:szCs w:val="24"/>
        </w:rPr>
        <w:tab/>
      </w:r>
      <w:r w:rsidR="00F06365" w:rsidRPr="00F06365">
        <w:rPr>
          <w:rFonts w:ascii="Arial" w:hAnsi="Arial" w:cs="Arial"/>
          <w:noProof/>
          <w:szCs w:val="24"/>
        </w:rPr>
        <w:t>Patsios, S; Kontogiannopoulos, K; Mitrouli, S; Plakas, A; Karabelas, J; Sotiris, P; Konstantinos, K; Soultana, M; Konstantinos, P; Anastasios, J. Characterisation of Agricultural Waste Co- and By-Products. Agrocycle. 2016.</w:t>
      </w:r>
      <w:r w:rsidR="002D2421" w:rsidRPr="002D2421">
        <w:rPr>
          <w:rFonts w:ascii="Arial" w:hAnsi="Arial" w:cs="Arial"/>
          <w:noProof/>
          <w:szCs w:val="24"/>
        </w:rPr>
        <w:t xml:space="preserve"> </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 </w:t>
      </w:r>
      <w:r w:rsidRPr="002D2421">
        <w:rPr>
          <w:rFonts w:ascii="Arial" w:hAnsi="Arial" w:cs="Arial"/>
          <w:noProof/>
          <w:szCs w:val="24"/>
        </w:rPr>
        <w:tab/>
      </w:r>
      <w:r w:rsidR="00C10900" w:rsidRPr="00C10900">
        <w:rPr>
          <w:rFonts w:ascii="Arial" w:hAnsi="Arial" w:cs="Arial"/>
          <w:noProof/>
          <w:szCs w:val="24"/>
        </w:rPr>
        <w:t>UK Government. Environmental taxes, reliefs and schemes for businesses. 2018. Available from: https://www.gov.uk/green-taxes-and-reliefs/capital-allowances-on-energyefficient-items. Accessed 05/03/2019.</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3. </w:t>
      </w:r>
      <w:r w:rsidRPr="002D2421">
        <w:rPr>
          <w:rFonts w:ascii="Arial" w:hAnsi="Arial" w:cs="Arial"/>
          <w:noProof/>
          <w:szCs w:val="24"/>
        </w:rPr>
        <w:tab/>
      </w:r>
      <w:r w:rsidR="00C10900" w:rsidRPr="00C10900">
        <w:rPr>
          <w:rFonts w:ascii="Arial" w:hAnsi="Arial" w:cs="Arial"/>
          <w:noProof/>
          <w:szCs w:val="24"/>
        </w:rPr>
        <w:t>Rocha-Meneses</w:t>
      </w:r>
      <w:r w:rsidR="00C10900">
        <w:rPr>
          <w:rFonts w:ascii="Arial" w:hAnsi="Arial" w:cs="Arial"/>
          <w:noProof/>
          <w:szCs w:val="24"/>
        </w:rPr>
        <w:t>,</w:t>
      </w:r>
      <w:r w:rsidR="00C10900" w:rsidRPr="00C10900">
        <w:rPr>
          <w:rFonts w:ascii="Arial" w:hAnsi="Arial" w:cs="Arial"/>
          <w:noProof/>
          <w:szCs w:val="24"/>
        </w:rPr>
        <w:t xml:space="preserve"> L</w:t>
      </w:r>
      <w:r w:rsidR="00C10900">
        <w:rPr>
          <w:rFonts w:ascii="Arial" w:hAnsi="Arial" w:cs="Arial"/>
          <w:noProof/>
          <w:szCs w:val="24"/>
        </w:rPr>
        <w:t>;</w:t>
      </w:r>
      <w:r w:rsidR="00C10900" w:rsidRPr="00C10900">
        <w:rPr>
          <w:rFonts w:ascii="Arial" w:hAnsi="Arial" w:cs="Arial"/>
          <w:noProof/>
          <w:szCs w:val="24"/>
        </w:rPr>
        <w:t xml:space="preserve"> Raud</w:t>
      </w:r>
      <w:r w:rsidR="00C10900">
        <w:rPr>
          <w:rFonts w:ascii="Arial" w:hAnsi="Arial" w:cs="Arial"/>
          <w:noProof/>
          <w:szCs w:val="24"/>
        </w:rPr>
        <w:t>,</w:t>
      </w:r>
      <w:r w:rsidR="00C10900" w:rsidRPr="00C10900">
        <w:rPr>
          <w:rFonts w:ascii="Arial" w:hAnsi="Arial" w:cs="Arial"/>
          <w:noProof/>
          <w:szCs w:val="24"/>
        </w:rPr>
        <w:t xml:space="preserve"> M</w:t>
      </w:r>
      <w:r w:rsidR="00C10900">
        <w:rPr>
          <w:rFonts w:ascii="Arial" w:hAnsi="Arial" w:cs="Arial"/>
          <w:noProof/>
          <w:szCs w:val="24"/>
        </w:rPr>
        <w:t>;</w:t>
      </w:r>
      <w:r w:rsidR="00C10900" w:rsidRPr="00C10900">
        <w:rPr>
          <w:rFonts w:ascii="Arial" w:hAnsi="Arial" w:cs="Arial"/>
          <w:noProof/>
          <w:szCs w:val="24"/>
        </w:rPr>
        <w:t xml:space="preserve"> Orupõld</w:t>
      </w:r>
      <w:r w:rsidR="00C10900">
        <w:rPr>
          <w:rFonts w:ascii="Arial" w:hAnsi="Arial" w:cs="Arial"/>
          <w:noProof/>
          <w:szCs w:val="24"/>
        </w:rPr>
        <w:t>,</w:t>
      </w:r>
      <w:r w:rsidR="00C10900" w:rsidRPr="00C10900">
        <w:rPr>
          <w:rFonts w:ascii="Arial" w:hAnsi="Arial" w:cs="Arial"/>
          <w:noProof/>
          <w:szCs w:val="24"/>
        </w:rPr>
        <w:t xml:space="preserve"> K</w:t>
      </w:r>
      <w:r w:rsidR="00C10900">
        <w:rPr>
          <w:rFonts w:ascii="Arial" w:hAnsi="Arial" w:cs="Arial"/>
          <w:noProof/>
          <w:szCs w:val="24"/>
        </w:rPr>
        <w:t>;</w:t>
      </w:r>
      <w:r w:rsidR="00C10900" w:rsidRPr="00C10900">
        <w:rPr>
          <w:rFonts w:ascii="Arial" w:hAnsi="Arial" w:cs="Arial"/>
          <w:noProof/>
          <w:szCs w:val="24"/>
        </w:rPr>
        <w:t xml:space="preserve"> Kikas</w:t>
      </w:r>
      <w:r w:rsidR="00C10900">
        <w:rPr>
          <w:rFonts w:ascii="Arial" w:hAnsi="Arial" w:cs="Arial"/>
          <w:noProof/>
          <w:szCs w:val="24"/>
        </w:rPr>
        <w:t>,</w:t>
      </w:r>
      <w:r w:rsidR="00C10900" w:rsidRPr="00C10900">
        <w:rPr>
          <w:rFonts w:ascii="Arial" w:hAnsi="Arial" w:cs="Arial"/>
          <w:noProof/>
          <w:szCs w:val="24"/>
        </w:rPr>
        <w:t xml:space="preserve"> T. Second-generation bioethanol production: A review of strategies for waste valorisation. Agronomy Research. 15(3):830-47.</w:t>
      </w:r>
      <w:r w:rsidR="00C10900">
        <w:rPr>
          <w:rFonts w:ascii="Arial" w:hAnsi="Arial" w:cs="Arial"/>
          <w:noProof/>
          <w:szCs w:val="24"/>
        </w:rPr>
        <w:t>2017.</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4. </w:t>
      </w:r>
      <w:r w:rsidRPr="002D2421">
        <w:rPr>
          <w:rFonts w:ascii="Arial" w:hAnsi="Arial" w:cs="Arial"/>
          <w:noProof/>
          <w:szCs w:val="24"/>
        </w:rPr>
        <w:tab/>
      </w:r>
      <w:r w:rsidR="00C10900" w:rsidRPr="00C10900">
        <w:rPr>
          <w:rFonts w:ascii="Arial" w:hAnsi="Arial" w:cs="Arial"/>
          <w:noProof/>
          <w:szCs w:val="24"/>
        </w:rPr>
        <w:t>Styles</w:t>
      </w:r>
      <w:r w:rsidR="00C10900">
        <w:rPr>
          <w:rFonts w:ascii="Arial" w:hAnsi="Arial" w:cs="Arial"/>
          <w:noProof/>
          <w:szCs w:val="24"/>
        </w:rPr>
        <w:t>,</w:t>
      </w:r>
      <w:r w:rsidR="00C10900" w:rsidRPr="00C10900">
        <w:rPr>
          <w:rFonts w:ascii="Arial" w:hAnsi="Arial" w:cs="Arial"/>
          <w:noProof/>
          <w:szCs w:val="24"/>
        </w:rPr>
        <w:t xml:space="preserve"> D</w:t>
      </w:r>
      <w:r w:rsidR="00C10900">
        <w:rPr>
          <w:rFonts w:ascii="Arial" w:hAnsi="Arial" w:cs="Arial"/>
          <w:noProof/>
          <w:szCs w:val="24"/>
        </w:rPr>
        <w:t>;</w:t>
      </w:r>
      <w:r w:rsidR="00C10900" w:rsidRPr="00C10900">
        <w:rPr>
          <w:rFonts w:ascii="Arial" w:hAnsi="Arial" w:cs="Arial"/>
          <w:noProof/>
          <w:szCs w:val="24"/>
        </w:rPr>
        <w:t xml:space="preserve"> Dominguez</w:t>
      </w:r>
      <w:r w:rsidR="00C10900">
        <w:rPr>
          <w:rFonts w:ascii="Arial" w:hAnsi="Arial" w:cs="Arial"/>
          <w:noProof/>
          <w:szCs w:val="24"/>
        </w:rPr>
        <w:t>,</w:t>
      </w:r>
      <w:r w:rsidR="00C10900" w:rsidRPr="00C10900">
        <w:rPr>
          <w:rFonts w:ascii="Arial" w:hAnsi="Arial" w:cs="Arial"/>
          <w:noProof/>
          <w:szCs w:val="24"/>
        </w:rPr>
        <w:t xml:space="preserve"> EM</w:t>
      </w:r>
      <w:r w:rsidR="00C10900">
        <w:rPr>
          <w:rFonts w:ascii="Arial" w:hAnsi="Arial" w:cs="Arial"/>
          <w:noProof/>
          <w:szCs w:val="24"/>
        </w:rPr>
        <w:t>;</w:t>
      </w:r>
      <w:r w:rsidR="00C10900" w:rsidRPr="00C10900">
        <w:rPr>
          <w:rFonts w:ascii="Arial" w:hAnsi="Arial" w:cs="Arial"/>
          <w:noProof/>
          <w:szCs w:val="24"/>
        </w:rPr>
        <w:t xml:space="preserve"> Chadwick</w:t>
      </w:r>
      <w:r w:rsidR="00C10900">
        <w:rPr>
          <w:rFonts w:ascii="Arial" w:hAnsi="Arial" w:cs="Arial"/>
          <w:noProof/>
          <w:szCs w:val="24"/>
        </w:rPr>
        <w:t>,</w:t>
      </w:r>
      <w:r w:rsidR="00C10900" w:rsidRPr="00C10900">
        <w:rPr>
          <w:rFonts w:ascii="Arial" w:hAnsi="Arial" w:cs="Arial"/>
          <w:noProof/>
          <w:szCs w:val="24"/>
        </w:rPr>
        <w:t xml:space="preserve"> D. Environmental balance of the UK biogas sector: An evaluation by consequential life cycle assessment. Science of the Total Environment.1;560:241-53.</w:t>
      </w:r>
      <w:r w:rsidR="00C10900">
        <w:rPr>
          <w:rFonts w:ascii="Arial" w:hAnsi="Arial" w:cs="Arial"/>
          <w:noProof/>
          <w:szCs w:val="24"/>
        </w:rPr>
        <w:t xml:space="preserve"> 2016</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5. </w:t>
      </w:r>
      <w:r w:rsidRPr="002D2421">
        <w:rPr>
          <w:rFonts w:ascii="Arial" w:hAnsi="Arial" w:cs="Arial"/>
          <w:noProof/>
          <w:szCs w:val="24"/>
        </w:rPr>
        <w:tab/>
      </w:r>
      <w:r w:rsidR="00C10900" w:rsidRPr="00C10900">
        <w:rPr>
          <w:rFonts w:ascii="Arial" w:hAnsi="Arial" w:cs="Arial"/>
          <w:noProof/>
          <w:szCs w:val="24"/>
        </w:rPr>
        <w:t>Kim</w:t>
      </w:r>
      <w:r w:rsidR="00C10900">
        <w:rPr>
          <w:rFonts w:ascii="Arial" w:hAnsi="Arial" w:cs="Arial"/>
          <w:noProof/>
          <w:szCs w:val="24"/>
        </w:rPr>
        <w:t>,</w:t>
      </w:r>
      <w:r w:rsidR="00C10900" w:rsidRPr="00C10900">
        <w:rPr>
          <w:rFonts w:ascii="Arial" w:hAnsi="Arial" w:cs="Arial"/>
          <w:noProof/>
          <w:szCs w:val="24"/>
        </w:rPr>
        <w:t xml:space="preserve"> MH</w:t>
      </w:r>
      <w:r w:rsidR="00C10900">
        <w:rPr>
          <w:rFonts w:ascii="Arial" w:hAnsi="Arial" w:cs="Arial"/>
          <w:noProof/>
          <w:szCs w:val="24"/>
        </w:rPr>
        <w:t>;</w:t>
      </w:r>
      <w:r w:rsidR="00C10900" w:rsidRPr="00C10900">
        <w:rPr>
          <w:rFonts w:ascii="Arial" w:hAnsi="Arial" w:cs="Arial"/>
          <w:noProof/>
          <w:szCs w:val="24"/>
        </w:rPr>
        <w:t xml:space="preserve"> Song</w:t>
      </w:r>
      <w:r w:rsidR="00C10900">
        <w:rPr>
          <w:rFonts w:ascii="Arial" w:hAnsi="Arial" w:cs="Arial"/>
          <w:noProof/>
          <w:szCs w:val="24"/>
        </w:rPr>
        <w:t>,</w:t>
      </w:r>
      <w:r w:rsidR="00C10900" w:rsidRPr="00C10900">
        <w:rPr>
          <w:rFonts w:ascii="Arial" w:hAnsi="Arial" w:cs="Arial"/>
          <w:noProof/>
          <w:szCs w:val="24"/>
        </w:rPr>
        <w:t xml:space="preserve"> YE</w:t>
      </w:r>
      <w:r w:rsidR="00C10900">
        <w:rPr>
          <w:rFonts w:ascii="Arial" w:hAnsi="Arial" w:cs="Arial"/>
          <w:noProof/>
          <w:szCs w:val="24"/>
        </w:rPr>
        <w:t>;</w:t>
      </w:r>
      <w:r w:rsidR="00C10900" w:rsidRPr="00C10900">
        <w:rPr>
          <w:rFonts w:ascii="Arial" w:hAnsi="Arial" w:cs="Arial"/>
          <w:noProof/>
          <w:szCs w:val="24"/>
        </w:rPr>
        <w:t xml:space="preserve"> Song</w:t>
      </w:r>
      <w:r w:rsidR="00C10900">
        <w:rPr>
          <w:rFonts w:ascii="Arial" w:hAnsi="Arial" w:cs="Arial"/>
          <w:noProof/>
          <w:szCs w:val="24"/>
        </w:rPr>
        <w:t>,</w:t>
      </w:r>
      <w:r w:rsidR="00C10900" w:rsidRPr="00C10900">
        <w:rPr>
          <w:rFonts w:ascii="Arial" w:hAnsi="Arial" w:cs="Arial"/>
          <w:noProof/>
          <w:szCs w:val="24"/>
        </w:rPr>
        <w:t xml:space="preserve"> HB</w:t>
      </w:r>
      <w:r w:rsidR="00C10900">
        <w:rPr>
          <w:rFonts w:ascii="Arial" w:hAnsi="Arial" w:cs="Arial"/>
          <w:noProof/>
          <w:szCs w:val="24"/>
        </w:rPr>
        <w:t>;</w:t>
      </w:r>
      <w:r w:rsidR="00C10900" w:rsidRPr="00C10900">
        <w:rPr>
          <w:rFonts w:ascii="Arial" w:hAnsi="Arial" w:cs="Arial"/>
          <w:noProof/>
          <w:szCs w:val="24"/>
        </w:rPr>
        <w:t xml:space="preserve"> Kim</w:t>
      </w:r>
      <w:r w:rsidR="00C10900">
        <w:rPr>
          <w:rFonts w:ascii="Arial" w:hAnsi="Arial" w:cs="Arial"/>
          <w:noProof/>
          <w:szCs w:val="24"/>
        </w:rPr>
        <w:t>,</w:t>
      </w:r>
      <w:r w:rsidR="00C10900" w:rsidRPr="00C10900">
        <w:rPr>
          <w:rFonts w:ascii="Arial" w:hAnsi="Arial" w:cs="Arial"/>
          <w:noProof/>
          <w:szCs w:val="24"/>
        </w:rPr>
        <w:t xml:space="preserve"> JW</w:t>
      </w:r>
      <w:r w:rsidR="00C10900">
        <w:rPr>
          <w:rFonts w:ascii="Arial" w:hAnsi="Arial" w:cs="Arial"/>
          <w:noProof/>
          <w:szCs w:val="24"/>
        </w:rPr>
        <w:t>;</w:t>
      </w:r>
      <w:r w:rsidR="00C10900" w:rsidRPr="00C10900">
        <w:rPr>
          <w:rFonts w:ascii="Arial" w:hAnsi="Arial" w:cs="Arial"/>
          <w:noProof/>
          <w:szCs w:val="24"/>
        </w:rPr>
        <w:t xml:space="preserve"> Hwang</w:t>
      </w:r>
      <w:r w:rsidR="00C10900">
        <w:rPr>
          <w:rFonts w:ascii="Arial" w:hAnsi="Arial" w:cs="Arial"/>
          <w:noProof/>
          <w:szCs w:val="24"/>
        </w:rPr>
        <w:t>,</w:t>
      </w:r>
      <w:r w:rsidR="00C10900" w:rsidRPr="00C10900">
        <w:rPr>
          <w:rFonts w:ascii="Arial" w:hAnsi="Arial" w:cs="Arial"/>
          <w:noProof/>
          <w:szCs w:val="24"/>
        </w:rPr>
        <w:t xml:space="preserve"> SJ. Evaluation of food waste disposal options by LCC analysis from the perspective of global warming: Jungnang case, South Korea. Waste management. 1;31(9-10):2112-20.</w:t>
      </w:r>
      <w:r w:rsidR="00C10900">
        <w:rPr>
          <w:rFonts w:ascii="Arial" w:hAnsi="Arial" w:cs="Arial"/>
          <w:noProof/>
          <w:szCs w:val="24"/>
        </w:rPr>
        <w:t>2011.</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lastRenderedPageBreak/>
        <w:t xml:space="preserve">6. </w:t>
      </w:r>
      <w:r w:rsidRPr="002D2421">
        <w:rPr>
          <w:rFonts w:ascii="Arial" w:hAnsi="Arial" w:cs="Arial"/>
          <w:noProof/>
          <w:szCs w:val="24"/>
        </w:rPr>
        <w:tab/>
      </w:r>
      <w:r w:rsidR="00C10900" w:rsidRPr="00C10900">
        <w:rPr>
          <w:rFonts w:ascii="Arial" w:hAnsi="Arial" w:cs="Arial"/>
          <w:noProof/>
          <w:szCs w:val="24"/>
        </w:rPr>
        <w:t>Lundie</w:t>
      </w:r>
      <w:r w:rsidR="00C10900">
        <w:rPr>
          <w:rFonts w:ascii="Arial" w:hAnsi="Arial" w:cs="Arial"/>
          <w:noProof/>
          <w:szCs w:val="24"/>
        </w:rPr>
        <w:t>,</w:t>
      </w:r>
      <w:r w:rsidR="00C10900" w:rsidRPr="00C10900">
        <w:rPr>
          <w:rFonts w:ascii="Arial" w:hAnsi="Arial" w:cs="Arial"/>
          <w:noProof/>
          <w:szCs w:val="24"/>
        </w:rPr>
        <w:t xml:space="preserve"> S</w:t>
      </w:r>
      <w:r w:rsidR="00C10900">
        <w:rPr>
          <w:rFonts w:ascii="Arial" w:hAnsi="Arial" w:cs="Arial"/>
          <w:noProof/>
          <w:szCs w:val="24"/>
        </w:rPr>
        <w:t>;</w:t>
      </w:r>
      <w:r w:rsidR="00C10900" w:rsidRPr="00C10900">
        <w:rPr>
          <w:rFonts w:ascii="Arial" w:hAnsi="Arial" w:cs="Arial"/>
          <w:noProof/>
          <w:szCs w:val="24"/>
        </w:rPr>
        <w:t xml:space="preserve"> Peters</w:t>
      </w:r>
      <w:r w:rsidR="00C10900">
        <w:rPr>
          <w:rFonts w:ascii="Arial" w:hAnsi="Arial" w:cs="Arial"/>
          <w:noProof/>
          <w:szCs w:val="24"/>
        </w:rPr>
        <w:t>,</w:t>
      </w:r>
      <w:r w:rsidR="00C10900" w:rsidRPr="00C10900">
        <w:rPr>
          <w:rFonts w:ascii="Arial" w:hAnsi="Arial" w:cs="Arial"/>
          <w:noProof/>
          <w:szCs w:val="24"/>
        </w:rPr>
        <w:t xml:space="preserve"> GM. Life cycle assessment of food waste management options. Journal of cleaner production. 1;13(3):275-86.</w:t>
      </w:r>
      <w:r w:rsidR="00C10900">
        <w:rPr>
          <w:rFonts w:ascii="Arial" w:hAnsi="Arial" w:cs="Arial"/>
          <w:noProof/>
          <w:szCs w:val="24"/>
        </w:rPr>
        <w:t xml:space="preserve"> 2005.</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7. </w:t>
      </w:r>
      <w:r w:rsidRPr="002D2421">
        <w:rPr>
          <w:rFonts w:ascii="Arial" w:hAnsi="Arial" w:cs="Arial"/>
          <w:noProof/>
          <w:szCs w:val="24"/>
        </w:rPr>
        <w:tab/>
        <w:t>Parfitt, J; Stanley, C; Thompson</w:t>
      </w:r>
      <w:r w:rsidR="00C10900">
        <w:rPr>
          <w:rFonts w:ascii="Arial" w:hAnsi="Arial" w:cs="Arial"/>
          <w:noProof/>
          <w:szCs w:val="24"/>
        </w:rPr>
        <w:t>,</w:t>
      </w:r>
      <w:r w:rsidRPr="002D2421">
        <w:rPr>
          <w:rFonts w:ascii="Arial" w:hAnsi="Arial" w:cs="Arial"/>
          <w:noProof/>
          <w:szCs w:val="24"/>
        </w:rPr>
        <w:t xml:space="preserve"> L. Guidance for food and drink manufacturers and retailers on the use of food surplus as animal feed. 2016. </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8. </w:t>
      </w:r>
      <w:r w:rsidRPr="002D2421">
        <w:rPr>
          <w:rFonts w:ascii="Arial" w:hAnsi="Arial" w:cs="Arial"/>
          <w:noProof/>
          <w:szCs w:val="24"/>
        </w:rPr>
        <w:tab/>
      </w:r>
      <w:r w:rsidR="00C10900">
        <w:rPr>
          <w:rFonts w:ascii="Arial" w:hAnsi="Arial" w:cs="Arial"/>
          <w:noProof/>
          <w:szCs w:val="24"/>
        </w:rPr>
        <w:t xml:space="preserve">BSI. </w:t>
      </w:r>
      <w:r w:rsidRPr="002D2421">
        <w:rPr>
          <w:rFonts w:ascii="Arial" w:hAnsi="Arial" w:cs="Arial"/>
          <w:noProof/>
          <w:szCs w:val="24"/>
        </w:rPr>
        <w:t xml:space="preserve">Specification for whole digestate, separated liquor and separated fibre derived from the anaerobic digestion of source-segregated biodegradable material. </w:t>
      </w:r>
      <w:r w:rsidR="00C10900">
        <w:rPr>
          <w:rFonts w:ascii="Arial" w:hAnsi="Arial" w:cs="Arial"/>
          <w:noProof/>
          <w:szCs w:val="24"/>
        </w:rPr>
        <w:t xml:space="preserve">WRAP. </w:t>
      </w:r>
      <w:r w:rsidRPr="002D2421">
        <w:rPr>
          <w:rFonts w:ascii="Arial" w:hAnsi="Arial" w:cs="Arial"/>
          <w:noProof/>
          <w:szCs w:val="24"/>
        </w:rPr>
        <w:t xml:space="preserve">2014. </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9. </w:t>
      </w:r>
      <w:r w:rsidRPr="002D2421">
        <w:rPr>
          <w:rFonts w:ascii="Arial" w:hAnsi="Arial" w:cs="Arial"/>
          <w:noProof/>
          <w:szCs w:val="24"/>
        </w:rPr>
        <w:tab/>
      </w:r>
      <w:r w:rsidR="00C10900" w:rsidRPr="00C10900">
        <w:rPr>
          <w:rFonts w:ascii="Arial" w:hAnsi="Arial" w:cs="Arial"/>
          <w:noProof/>
          <w:szCs w:val="24"/>
        </w:rPr>
        <w:t>Vandermeersch</w:t>
      </w:r>
      <w:r w:rsidR="00C10900">
        <w:rPr>
          <w:rFonts w:ascii="Arial" w:hAnsi="Arial" w:cs="Arial"/>
          <w:noProof/>
          <w:szCs w:val="24"/>
        </w:rPr>
        <w:t>,</w:t>
      </w:r>
      <w:r w:rsidR="00C10900" w:rsidRPr="00C10900">
        <w:rPr>
          <w:rFonts w:ascii="Arial" w:hAnsi="Arial" w:cs="Arial"/>
          <w:noProof/>
          <w:szCs w:val="24"/>
        </w:rPr>
        <w:t xml:space="preserve"> T</w:t>
      </w:r>
      <w:r w:rsidR="00C10900">
        <w:rPr>
          <w:rFonts w:ascii="Arial" w:hAnsi="Arial" w:cs="Arial"/>
          <w:noProof/>
          <w:szCs w:val="24"/>
        </w:rPr>
        <w:t>;</w:t>
      </w:r>
      <w:r w:rsidR="00C10900" w:rsidRPr="00C10900">
        <w:rPr>
          <w:rFonts w:ascii="Arial" w:hAnsi="Arial" w:cs="Arial"/>
          <w:noProof/>
          <w:szCs w:val="24"/>
        </w:rPr>
        <w:t xml:space="preserve"> Alvarenga</w:t>
      </w:r>
      <w:r w:rsidR="00C10900">
        <w:rPr>
          <w:rFonts w:ascii="Arial" w:hAnsi="Arial" w:cs="Arial"/>
          <w:noProof/>
          <w:szCs w:val="24"/>
        </w:rPr>
        <w:t>,</w:t>
      </w:r>
      <w:r w:rsidR="00C10900" w:rsidRPr="00C10900">
        <w:rPr>
          <w:rFonts w:ascii="Arial" w:hAnsi="Arial" w:cs="Arial"/>
          <w:noProof/>
          <w:szCs w:val="24"/>
        </w:rPr>
        <w:t xml:space="preserve"> RA</w:t>
      </w:r>
      <w:r w:rsidR="00C10900">
        <w:rPr>
          <w:rFonts w:ascii="Arial" w:hAnsi="Arial" w:cs="Arial"/>
          <w:noProof/>
          <w:szCs w:val="24"/>
        </w:rPr>
        <w:t>;</w:t>
      </w:r>
      <w:r w:rsidR="00C10900" w:rsidRPr="00C10900">
        <w:rPr>
          <w:rFonts w:ascii="Arial" w:hAnsi="Arial" w:cs="Arial"/>
          <w:noProof/>
          <w:szCs w:val="24"/>
        </w:rPr>
        <w:t xml:space="preserve"> Ragaert</w:t>
      </w:r>
      <w:r w:rsidR="00C10900">
        <w:rPr>
          <w:rFonts w:ascii="Arial" w:hAnsi="Arial" w:cs="Arial"/>
          <w:noProof/>
          <w:szCs w:val="24"/>
        </w:rPr>
        <w:t>,</w:t>
      </w:r>
      <w:r w:rsidR="00C10900" w:rsidRPr="00C10900">
        <w:rPr>
          <w:rFonts w:ascii="Arial" w:hAnsi="Arial" w:cs="Arial"/>
          <w:noProof/>
          <w:szCs w:val="24"/>
        </w:rPr>
        <w:t xml:space="preserve"> P</w:t>
      </w:r>
      <w:r w:rsidR="00C10900">
        <w:rPr>
          <w:rFonts w:ascii="Arial" w:hAnsi="Arial" w:cs="Arial"/>
          <w:noProof/>
          <w:szCs w:val="24"/>
        </w:rPr>
        <w:t>;</w:t>
      </w:r>
      <w:r w:rsidR="00C10900" w:rsidRPr="00C10900">
        <w:rPr>
          <w:rFonts w:ascii="Arial" w:hAnsi="Arial" w:cs="Arial"/>
          <w:noProof/>
          <w:szCs w:val="24"/>
        </w:rPr>
        <w:t xml:space="preserve"> Dewulf</w:t>
      </w:r>
      <w:r w:rsidR="00C10900">
        <w:rPr>
          <w:rFonts w:ascii="Arial" w:hAnsi="Arial" w:cs="Arial"/>
          <w:noProof/>
          <w:szCs w:val="24"/>
        </w:rPr>
        <w:t>,</w:t>
      </w:r>
      <w:r w:rsidR="00C10900" w:rsidRPr="00C10900">
        <w:rPr>
          <w:rFonts w:ascii="Arial" w:hAnsi="Arial" w:cs="Arial"/>
          <w:noProof/>
          <w:szCs w:val="24"/>
        </w:rPr>
        <w:t xml:space="preserve"> J. Environmental sustainability assessment of food waste valorization options. Resources, Conservation and Recycling.1;87:57-64.</w:t>
      </w:r>
      <w:r w:rsidR="00C10900">
        <w:rPr>
          <w:rFonts w:ascii="Arial" w:hAnsi="Arial" w:cs="Arial"/>
          <w:noProof/>
          <w:szCs w:val="24"/>
        </w:rPr>
        <w:t xml:space="preserve"> 2014.</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10. </w:t>
      </w:r>
      <w:r w:rsidRPr="002D2421">
        <w:rPr>
          <w:rFonts w:ascii="Arial" w:hAnsi="Arial" w:cs="Arial"/>
          <w:noProof/>
          <w:szCs w:val="24"/>
        </w:rPr>
        <w:tab/>
      </w:r>
      <w:r w:rsidR="00C10900" w:rsidRPr="00C10900">
        <w:rPr>
          <w:rFonts w:ascii="Arial" w:hAnsi="Arial" w:cs="Arial"/>
          <w:noProof/>
          <w:szCs w:val="24"/>
        </w:rPr>
        <w:t>Salemdeeb</w:t>
      </w:r>
      <w:r w:rsidR="00F6194A">
        <w:rPr>
          <w:rFonts w:ascii="Arial" w:hAnsi="Arial" w:cs="Arial"/>
          <w:noProof/>
          <w:szCs w:val="24"/>
        </w:rPr>
        <w:t>,</w:t>
      </w:r>
      <w:r w:rsidR="00C10900" w:rsidRPr="00C10900">
        <w:rPr>
          <w:rFonts w:ascii="Arial" w:hAnsi="Arial" w:cs="Arial"/>
          <w:noProof/>
          <w:szCs w:val="24"/>
        </w:rPr>
        <w:t xml:space="preserve"> R</w:t>
      </w:r>
      <w:r w:rsidR="00F6194A">
        <w:rPr>
          <w:rFonts w:ascii="Arial" w:hAnsi="Arial" w:cs="Arial"/>
          <w:noProof/>
          <w:szCs w:val="24"/>
        </w:rPr>
        <w:t xml:space="preserve">; </w:t>
      </w:r>
      <w:r w:rsidR="00C10900" w:rsidRPr="00C10900">
        <w:rPr>
          <w:rFonts w:ascii="Arial" w:hAnsi="Arial" w:cs="Arial"/>
          <w:noProof/>
          <w:szCs w:val="24"/>
        </w:rPr>
        <w:t>Ermgassen</w:t>
      </w:r>
      <w:r w:rsidR="00F6194A">
        <w:rPr>
          <w:rFonts w:ascii="Arial" w:hAnsi="Arial" w:cs="Arial"/>
          <w:noProof/>
          <w:szCs w:val="24"/>
        </w:rPr>
        <w:t>,</w:t>
      </w:r>
      <w:r w:rsidR="00C10900" w:rsidRPr="00C10900">
        <w:rPr>
          <w:rFonts w:ascii="Arial" w:hAnsi="Arial" w:cs="Arial"/>
          <w:noProof/>
          <w:szCs w:val="24"/>
        </w:rPr>
        <w:t xml:space="preserve"> EK</w:t>
      </w:r>
      <w:r w:rsidR="00F6194A">
        <w:rPr>
          <w:rFonts w:ascii="Arial" w:hAnsi="Arial" w:cs="Arial"/>
          <w:noProof/>
          <w:szCs w:val="24"/>
        </w:rPr>
        <w:t>;</w:t>
      </w:r>
      <w:r w:rsidR="00C10900" w:rsidRPr="00C10900">
        <w:rPr>
          <w:rFonts w:ascii="Arial" w:hAnsi="Arial" w:cs="Arial"/>
          <w:noProof/>
          <w:szCs w:val="24"/>
        </w:rPr>
        <w:t xml:space="preserve"> Kim</w:t>
      </w:r>
      <w:r w:rsidR="00F6194A">
        <w:rPr>
          <w:rFonts w:ascii="Arial" w:hAnsi="Arial" w:cs="Arial"/>
          <w:noProof/>
          <w:szCs w:val="24"/>
        </w:rPr>
        <w:t>,</w:t>
      </w:r>
      <w:r w:rsidR="00C10900" w:rsidRPr="00C10900">
        <w:rPr>
          <w:rFonts w:ascii="Arial" w:hAnsi="Arial" w:cs="Arial"/>
          <w:noProof/>
          <w:szCs w:val="24"/>
        </w:rPr>
        <w:t xml:space="preserve"> MH</w:t>
      </w:r>
      <w:r w:rsidR="00F6194A">
        <w:rPr>
          <w:rFonts w:ascii="Arial" w:hAnsi="Arial" w:cs="Arial"/>
          <w:noProof/>
          <w:szCs w:val="24"/>
        </w:rPr>
        <w:t>;</w:t>
      </w:r>
      <w:r w:rsidR="00C10900" w:rsidRPr="00C10900">
        <w:rPr>
          <w:rFonts w:ascii="Arial" w:hAnsi="Arial" w:cs="Arial"/>
          <w:noProof/>
          <w:szCs w:val="24"/>
        </w:rPr>
        <w:t xml:space="preserve"> Balmford</w:t>
      </w:r>
      <w:r w:rsidR="00F6194A">
        <w:rPr>
          <w:rFonts w:ascii="Arial" w:hAnsi="Arial" w:cs="Arial"/>
          <w:noProof/>
          <w:szCs w:val="24"/>
        </w:rPr>
        <w:t>,</w:t>
      </w:r>
      <w:r w:rsidR="00C10900" w:rsidRPr="00C10900">
        <w:rPr>
          <w:rFonts w:ascii="Arial" w:hAnsi="Arial" w:cs="Arial"/>
          <w:noProof/>
          <w:szCs w:val="24"/>
        </w:rPr>
        <w:t xml:space="preserve"> A</w:t>
      </w:r>
      <w:r w:rsidR="00F6194A">
        <w:rPr>
          <w:rFonts w:ascii="Arial" w:hAnsi="Arial" w:cs="Arial"/>
          <w:noProof/>
          <w:szCs w:val="24"/>
        </w:rPr>
        <w:t>;</w:t>
      </w:r>
      <w:r w:rsidR="00C10900" w:rsidRPr="00C10900">
        <w:rPr>
          <w:rFonts w:ascii="Arial" w:hAnsi="Arial" w:cs="Arial"/>
          <w:noProof/>
          <w:szCs w:val="24"/>
        </w:rPr>
        <w:t xml:space="preserve"> Al-Tabbaa</w:t>
      </w:r>
      <w:r w:rsidR="00F6194A">
        <w:rPr>
          <w:rFonts w:ascii="Arial" w:hAnsi="Arial" w:cs="Arial"/>
          <w:noProof/>
          <w:szCs w:val="24"/>
        </w:rPr>
        <w:t>,</w:t>
      </w:r>
      <w:r w:rsidR="00C10900" w:rsidRPr="00C10900">
        <w:rPr>
          <w:rFonts w:ascii="Arial" w:hAnsi="Arial" w:cs="Arial"/>
          <w:noProof/>
          <w:szCs w:val="24"/>
        </w:rPr>
        <w:t xml:space="preserve"> A. Environmental and health impacts of using food waste as animal feed: a comparative analysis of food waste management options. Journal of cleaner production.1;140:871-80.</w:t>
      </w:r>
      <w:r w:rsidR="00F6194A">
        <w:rPr>
          <w:rFonts w:ascii="Arial" w:hAnsi="Arial" w:cs="Arial"/>
          <w:noProof/>
          <w:szCs w:val="24"/>
        </w:rPr>
        <w:t xml:space="preserve"> 2017.</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11. </w:t>
      </w:r>
      <w:r w:rsidRPr="002D2421">
        <w:rPr>
          <w:rFonts w:ascii="Arial" w:hAnsi="Arial" w:cs="Arial"/>
          <w:noProof/>
          <w:szCs w:val="24"/>
        </w:rPr>
        <w:tab/>
      </w:r>
      <w:r w:rsidR="00F6194A" w:rsidRPr="00F6194A">
        <w:rPr>
          <w:rFonts w:ascii="Arial" w:hAnsi="Arial" w:cs="Arial"/>
          <w:noProof/>
          <w:szCs w:val="24"/>
        </w:rPr>
        <w:t>Amienyo</w:t>
      </w:r>
      <w:r w:rsidR="00F6194A">
        <w:rPr>
          <w:rFonts w:ascii="Arial" w:hAnsi="Arial" w:cs="Arial"/>
          <w:noProof/>
          <w:szCs w:val="24"/>
        </w:rPr>
        <w:t>,</w:t>
      </w:r>
      <w:r w:rsidR="00F6194A" w:rsidRPr="00F6194A">
        <w:rPr>
          <w:rFonts w:ascii="Arial" w:hAnsi="Arial" w:cs="Arial"/>
          <w:noProof/>
          <w:szCs w:val="24"/>
        </w:rPr>
        <w:t xml:space="preserve"> D</w:t>
      </w:r>
      <w:r w:rsidR="00F6194A">
        <w:rPr>
          <w:rFonts w:ascii="Arial" w:hAnsi="Arial" w:cs="Arial"/>
          <w:noProof/>
          <w:szCs w:val="24"/>
        </w:rPr>
        <w:t>;</w:t>
      </w:r>
      <w:r w:rsidR="00F6194A" w:rsidRPr="00F6194A">
        <w:rPr>
          <w:rFonts w:ascii="Arial" w:hAnsi="Arial" w:cs="Arial"/>
          <w:noProof/>
          <w:szCs w:val="24"/>
        </w:rPr>
        <w:t xml:space="preserve"> Azapagic</w:t>
      </w:r>
      <w:r w:rsidR="00F6194A">
        <w:rPr>
          <w:rFonts w:ascii="Arial" w:hAnsi="Arial" w:cs="Arial"/>
          <w:noProof/>
          <w:szCs w:val="24"/>
        </w:rPr>
        <w:t>,</w:t>
      </w:r>
      <w:r w:rsidR="00F6194A" w:rsidRPr="00F6194A">
        <w:rPr>
          <w:rFonts w:ascii="Arial" w:hAnsi="Arial" w:cs="Arial"/>
          <w:noProof/>
          <w:szCs w:val="24"/>
        </w:rPr>
        <w:t xml:space="preserve"> A. Life cycle environmental impacts and costs of beer production and consumption in the UK. The International Journal of Life Cycle Assessment.1;21(4):492-509.</w:t>
      </w:r>
      <w:r w:rsidRPr="002D2421">
        <w:rPr>
          <w:rFonts w:ascii="Arial" w:hAnsi="Arial" w:cs="Arial"/>
          <w:noProof/>
          <w:szCs w:val="24"/>
        </w:rPr>
        <w:t xml:space="preserve"> </w:t>
      </w:r>
      <w:r w:rsidR="00F6194A">
        <w:rPr>
          <w:rFonts w:ascii="Arial" w:hAnsi="Arial" w:cs="Arial"/>
          <w:noProof/>
          <w:szCs w:val="24"/>
        </w:rPr>
        <w:t>2016.</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12. </w:t>
      </w:r>
      <w:r w:rsidRPr="002D2421">
        <w:rPr>
          <w:rFonts w:ascii="Arial" w:hAnsi="Arial" w:cs="Arial"/>
          <w:noProof/>
          <w:szCs w:val="24"/>
        </w:rPr>
        <w:tab/>
      </w:r>
      <w:r w:rsidR="00F6194A" w:rsidRPr="00F6194A">
        <w:rPr>
          <w:rFonts w:ascii="Arial" w:hAnsi="Arial" w:cs="Arial"/>
          <w:noProof/>
          <w:szCs w:val="24"/>
        </w:rPr>
        <w:t>Chong</w:t>
      </w:r>
      <w:r w:rsidR="00F6194A">
        <w:rPr>
          <w:rFonts w:ascii="Arial" w:hAnsi="Arial" w:cs="Arial"/>
          <w:noProof/>
          <w:szCs w:val="24"/>
        </w:rPr>
        <w:t>,</w:t>
      </w:r>
      <w:r w:rsidR="00F6194A" w:rsidRPr="00F6194A">
        <w:rPr>
          <w:rFonts w:ascii="Arial" w:hAnsi="Arial" w:cs="Arial"/>
          <w:noProof/>
          <w:szCs w:val="24"/>
        </w:rPr>
        <w:t xml:space="preserve"> YT</w:t>
      </w:r>
      <w:r w:rsidR="00F6194A">
        <w:rPr>
          <w:rFonts w:ascii="Arial" w:hAnsi="Arial" w:cs="Arial"/>
          <w:noProof/>
          <w:szCs w:val="24"/>
        </w:rPr>
        <w:t>;</w:t>
      </w:r>
      <w:r w:rsidR="00F6194A" w:rsidRPr="00F6194A">
        <w:rPr>
          <w:rFonts w:ascii="Arial" w:hAnsi="Arial" w:cs="Arial"/>
          <w:noProof/>
          <w:szCs w:val="24"/>
        </w:rPr>
        <w:t xml:space="preserve"> Teo</w:t>
      </w:r>
      <w:r w:rsidR="00F6194A">
        <w:rPr>
          <w:rFonts w:ascii="Arial" w:hAnsi="Arial" w:cs="Arial"/>
          <w:noProof/>
          <w:szCs w:val="24"/>
        </w:rPr>
        <w:t>,</w:t>
      </w:r>
      <w:r w:rsidR="00F6194A" w:rsidRPr="00F6194A">
        <w:rPr>
          <w:rFonts w:ascii="Arial" w:hAnsi="Arial" w:cs="Arial"/>
          <w:noProof/>
          <w:szCs w:val="24"/>
        </w:rPr>
        <w:t xml:space="preserve"> KM</w:t>
      </w:r>
      <w:r w:rsidR="00F6194A">
        <w:rPr>
          <w:rFonts w:ascii="Arial" w:hAnsi="Arial" w:cs="Arial"/>
          <w:noProof/>
          <w:szCs w:val="24"/>
        </w:rPr>
        <w:t>;</w:t>
      </w:r>
      <w:r w:rsidR="00F6194A" w:rsidRPr="00F6194A">
        <w:rPr>
          <w:rFonts w:ascii="Arial" w:hAnsi="Arial" w:cs="Arial"/>
          <w:noProof/>
          <w:szCs w:val="24"/>
        </w:rPr>
        <w:t xml:space="preserve"> Tang</w:t>
      </w:r>
      <w:r w:rsidR="00F6194A">
        <w:rPr>
          <w:rFonts w:ascii="Arial" w:hAnsi="Arial" w:cs="Arial"/>
          <w:noProof/>
          <w:szCs w:val="24"/>
        </w:rPr>
        <w:t>,</w:t>
      </w:r>
      <w:r w:rsidR="00F6194A" w:rsidRPr="00F6194A">
        <w:rPr>
          <w:rFonts w:ascii="Arial" w:hAnsi="Arial" w:cs="Arial"/>
          <w:noProof/>
          <w:szCs w:val="24"/>
        </w:rPr>
        <w:t xml:space="preserve"> LC. A lifecycle-based sustainability indicator framework for waste-to-energy systems and a proposed metric of sustainability. Renewable and Sustainable Energy Reviews.1;56:797-809.</w:t>
      </w:r>
      <w:r w:rsidR="00F6194A">
        <w:rPr>
          <w:rFonts w:ascii="Arial" w:hAnsi="Arial" w:cs="Arial"/>
          <w:noProof/>
          <w:szCs w:val="24"/>
        </w:rPr>
        <w:t>2016.</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13. </w:t>
      </w:r>
      <w:r w:rsidRPr="002D2421">
        <w:rPr>
          <w:rFonts w:ascii="Arial" w:hAnsi="Arial" w:cs="Arial"/>
          <w:noProof/>
          <w:szCs w:val="24"/>
        </w:rPr>
        <w:tab/>
      </w:r>
      <w:r w:rsidR="00F6194A" w:rsidRPr="00F6194A">
        <w:rPr>
          <w:rFonts w:ascii="Arial" w:hAnsi="Arial" w:cs="Arial"/>
          <w:noProof/>
          <w:szCs w:val="24"/>
        </w:rPr>
        <w:t>Den Boer</w:t>
      </w:r>
      <w:r w:rsidR="00F6194A">
        <w:rPr>
          <w:rFonts w:ascii="Arial" w:hAnsi="Arial" w:cs="Arial"/>
          <w:noProof/>
          <w:szCs w:val="24"/>
        </w:rPr>
        <w:t>,</w:t>
      </w:r>
      <w:r w:rsidR="00F6194A" w:rsidRPr="00F6194A">
        <w:rPr>
          <w:rFonts w:ascii="Arial" w:hAnsi="Arial" w:cs="Arial"/>
          <w:noProof/>
          <w:szCs w:val="24"/>
        </w:rPr>
        <w:t xml:space="preserve"> J</w:t>
      </w:r>
      <w:r w:rsidR="00F6194A">
        <w:rPr>
          <w:rFonts w:ascii="Arial" w:hAnsi="Arial" w:cs="Arial"/>
          <w:noProof/>
          <w:szCs w:val="24"/>
        </w:rPr>
        <w:t>;</w:t>
      </w:r>
      <w:r w:rsidR="00F6194A" w:rsidRPr="00F6194A">
        <w:rPr>
          <w:rFonts w:ascii="Arial" w:hAnsi="Arial" w:cs="Arial"/>
          <w:noProof/>
          <w:szCs w:val="24"/>
        </w:rPr>
        <w:t xml:space="preserve"> Den Boer</w:t>
      </w:r>
      <w:r w:rsidR="00F6194A">
        <w:rPr>
          <w:rFonts w:ascii="Arial" w:hAnsi="Arial" w:cs="Arial"/>
          <w:noProof/>
          <w:szCs w:val="24"/>
        </w:rPr>
        <w:t>,</w:t>
      </w:r>
      <w:r w:rsidR="00F6194A" w:rsidRPr="00F6194A">
        <w:rPr>
          <w:rFonts w:ascii="Arial" w:hAnsi="Arial" w:cs="Arial"/>
          <w:noProof/>
          <w:szCs w:val="24"/>
        </w:rPr>
        <w:t xml:space="preserve"> E</w:t>
      </w:r>
      <w:r w:rsidR="00F6194A">
        <w:rPr>
          <w:rFonts w:ascii="Arial" w:hAnsi="Arial" w:cs="Arial"/>
          <w:noProof/>
          <w:szCs w:val="24"/>
        </w:rPr>
        <w:t>;</w:t>
      </w:r>
      <w:r w:rsidR="00F6194A" w:rsidRPr="00F6194A">
        <w:rPr>
          <w:rFonts w:ascii="Arial" w:hAnsi="Arial" w:cs="Arial"/>
          <w:noProof/>
          <w:szCs w:val="24"/>
        </w:rPr>
        <w:t xml:space="preserve"> Jager</w:t>
      </w:r>
      <w:r w:rsidR="00F6194A">
        <w:rPr>
          <w:rFonts w:ascii="Arial" w:hAnsi="Arial" w:cs="Arial"/>
          <w:noProof/>
          <w:szCs w:val="24"/>
        </w:rPr>
        <w:t>,</w:t>
      </w:r>
      <w:r w:rsidR="00F6194A" w:rsidRPr="00F6194A">
        <w:rPr>
          <w:rFonts w:ascii="Arial" w:hAnsi="Arial" w:cs="Arial"/>
          <w:noProof/>
          <w:szCs w:val="24"/>
        </w:rPr>
        <w:t xml:space="preserve"> J. LCA-IWM: a decision support tool for sustainability assessment of waste management systems. Waste management. 2007 Jan 1;27(8):1032-45.</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14. </w:t>
      </w:r>
      <w:r w:rsidRPr="002D2421">
        <w:rPr>
          <w:rFonts w:ascii="Arial" w:hAnsi="Arial" w:cs="Arial"/>
          <w:noProof/>
          <w:szCs w:val="24"/>
        </w:rPr>
        <w:tab/>
      </w:r>
      <w:r w:rsidR="00F6194A" w:rsidRPr="00F6194A">
        <w:rPr>
          <w:rFonts w:ascii="Arial" w:hAnsi="Arial" w:cs="Arial"/>
          <w:noProof/>
          <w:szCs w:val="24"/>
        </w:rPr>
        <w:t>Kythreotou</w:t>
      </w:r>
      <w:r w:rsidR="00F6194A">
        <w:rPr>
          <w:rFonts w:ascii="Arial" w:hAnsi="Arial" w:cs="Arial"/>
          <w:noProof/>
          <w:szCs w:val="24"/>
        </w:rPr>
        <w:t>,</w:t>
      </w:r>
      <w:r w:rsidR="00F6194A" w:rsidRPr="00F6194A">
        <w:rPr>
          <w:rFonts w:ascii="Arial" w:hAnsi="Arial" w:cs="Arial"/>
          <w:noProof/>
          <w:szCs w:val="24"/>
        </w:rPr>
        <w:t xml:space="preserve"> N</w:t>
      </w:r>
      <w:r w:rsidR="00F6194A">
        <w:rPr>
          <w:rFonts w:ascii="Arial" w:hAnsi="Arial" w:cs="Arial"/>
          <w:noProof/>
          <w:szCs w:val="24"/>
        </w:rPr>
        <w:t>;</w:t>
      </w:r>
      <w:r w:rsidR="00F6194A" w:rsidRPr="00F6194A">
        <w:rPr>
          <w:rFonts w:ascii="Arial" w:hAnsi="Arial" w:cs="Arial"/>
          <w:noProof/>
          <w:szCs w:val="24"/>
        </w:rPr>
        <w:t xml:space="preserve"> Florides</w:t>
      </w:r>
      <w:r w:rsidR="00F6194A">
        <w:rPr>
          <w:rFonts w:ascii="Arial" w:hAnsi="Arial" w:cs="Arial"/>
          <w:noProof/>
          <w:szCs w:val="24"/>
        </w:rPr>
        <w:t>,</w:t>
      </w:r>
      <w:r w:rsidR="00F6194A" w:rsidRPr="00F6194A">
        <w:rPr>
          <w:rFonts w:ascii="Arial" w:hAnsi="Arial" w:cs="Arial"/>
          <w:noProof/>
          <w:szCs w:val="24"/>
        </w:rPr>
        <w:t xml:space="preserve"> G</w:t>
      </w:r>
      <w:r w:rsidR="00F6194A">
        <w:rPr>
          <w:rFonts w:ascii="Arial" w:hAnsi="Arial" w:cs="Arial"/>
          <w:noProof/>
          <w:szCs w:val="24"/>
        </w:rPr>
        <w:t>;</w:t>
      </w:r>
      <w:r w:rsidR="00F6194A" w:rsidRPr="00F6194A">
        <w:rPr>
          <w:rFonts w:ascii="Arial" w:hAnsi="Arial" w:cs="Arial"/>
          <w:noProof/>
          <w:szCs w:val="24"/>
        </w:rPr>
        <w:t xml:space="preserve"> Tassou</w:t>
      </w:r>
      <w:r w:rsidR="00F6194A">
        <w:rPr>
          <w:rFonts w:ascii="Arial" w:hAnsi="Arial" w:cs="Arial"/>
          <w:noProof/>
          <w:szCs w:val="24"/>
        </w:rPr>
        <w:t>,</w:t>
      </w:r>
      <w:r w:rsidR="00F6194A" w:rsidRPr="00F6194A">
        <w:rPr>
          <w:rFonts w:ascii="Arial" w:hAnsi="Arial" w:cs="Arial"/>
          <w:noProof/>
          <w:szCs w:val="24"/>
        </w:rPr>
        <w:t xml:space="preserve"> SA. A review of simple to scientific models for anaerobic digestion. Renewable Energy. 1;71:701-14.</w:t>
      </w:r>
      <w:r w:rsidR="00F6194A">
        <w:rPr>
          <w:rFonts w:ascii="Arial" w:hAnsi="Arial" w:cs="Arial"/>
          <w:noProof/>
          <w:szCs w:val="24"/>
        </w:rPr>
        <w:t>2014.</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15. </w:t>
      </w:r>
      <w:r w:rsidRPr="002D2421">
        <w:rPr>
          <w:rFonts w:ascii="Arial" w:hAnsi="Arial" w:cs="Arial"/>
          <w:noProof/>
          <w:szCs w:val="24"/>
        </w:rPr>
        <w:tab/>
      </w:r>
      <w:r w:rsidR="00F6194A">
        <w:rPr>
          <w:rFonts w:ascii="Arial" w:hAnsi="Arial" w:cs="Arial"/>
          <w:noProof/>
          <w:szCs w:val="24"/>
        </w:rPr>
        <w:t xml:space="preserve">European Commission. </w:t>
      </w:r>
      <w:r w:rsidR="00F6194A" w:rsidRPr="00F6194A">
        <w:rPr>
          <w:rFonts w:ascii="Arial" w:hAnsi="Arial" w:cs="Arial"/>
          <w:noProof/>
          <w:szCs w:val="24"/>
        </w:rPr>
        <w:t>Best Available Techniques (BAT) Reference Document for Waste treatment Industrial Emissions Directive 2010/75/EU (Integrated Pollution Prevention and Control)</w:t>
      </w:r>
      <w:r w:rsidRPr="002D2421">
        <w:rPr>
          <w:rFonts w:ascii="Arial" w:hAnsi="Arial" w:cs="Arial"/>
          <w:noProof/>
          <w:szCs w:val="24"/>
        </w:rPr>
        <w:t xml:space="preserve">. </w:t>
      </w:r>
      <w:r w:rsidR="00F6194A">
        <w:rPr>
          <w:rFonts w:ascii="Arial" w:hAnsi="Arial" w:cs="Arial"/>
          <w:noProof/>
          <w:szCs w:val="24"/>
        </w:rPr>
        <w:t>Available:</w:t>
      </w:r>
      <w:r w:rsidR="00F6194A" w:rsidRPr="00F6194A">
        <w:t xml:space="preserve"> </w:t>
      </w:r>
      <w:r w:rsidR="00F6194A" w:rsidRPr="00F6194A">
        <w:rPr>
          <w:rFonts w:ascii="Arial" w:hAnsi="Arial" w:cs="Arial"/>
          <w:noProof/>
          <w:szCs w:val="24"/>
        </w:rPr>
        <w:t>https://ec.europa.eu/jrc/en/publication/eur-scientific-and-technical-research-reports/best-available-techniques-bat-reference-document-waste-treatment-industrial-emissions</w:t>
      </w:r>
      <w:r w:rsidR="00F6194A">
        <w:rPr>
          <w:rFonts w:ascii="Arial" w:hAnsi="Arial" w:cs="Arial"/>
          <w:noProof/>
          <w:szCs w:val="24"/>
        </w:rPr>
        <w:t>. Accessed 05/03/2019.</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16. </w:t>
      </w:r>
      <w:r w:rsidRPr="002D2421">
        <w:rPr>
          <w:rFonts w:ascii="Arial" w:hAnsi="Arial" w:cs="Arial"/>
          <w:noProof/>
          <w:szCs w:val="24"/>
        </w:rPr>
        <w:tab/>
      </w:r>
      <w:r w:rsidR="00F6194A" w:rsidRPr="00F6194A">
        <w:rPr>
          <w:rFonts w:ascii="Arial" w:hAnsi="Arial" w:cs="Arial"/>
          <w:noProof/>
          <w:szCs w:val="24"/>
        </w:rPr>
        <w:t>Den Boer</w:t>
      </w:r>
      <w:r w:rsidR="00F6194A">
        <w:rPr>
          <w:rFonts w:ascii="Arial" w:hAnsi="Arial" w:cs="Arial"/>
          <w:noProof/>
          <w:szCs w:val="24"/>
        </w:rPr>
        <w:t>,</w:t>
      </w:r>
      <w:r w:rsidR="00F6194A" w:rsidRPr="00F6194A">
        <w:rPr>
          <w:rFonts w:ascii="Arial" w:hAnsi="Arial" w:cs="Arial"/>
          <w:noProof/>
          <w:szCs w:val="24"/>
        </w:rPr>
        <w:t xml:space="preserve"> E</w:t>
      </w:r>
      <w:r w:rsidR="00F6194A">
        <w:rPr>
          <w:rFonts w:ascii="Arial" w:hAnsi="Arial" w:cs="Arial"/>
          <w:noProof/>
          <w:szCs w:val="24"/>
        </w:rPr>
        <w:t>;</w:t>
      </w:r>
      <w:r w:rsidR="00F6194A" w:rsidRPr="00F6194A">
        <w:rPr>
          <w:rFonts w:ascii="Arial" w:hAnsi="Arial" w:cs="Arial"/>
          <w:noProof/>
          <w:szCs w:val="24"/>
        </w:rPr>
        <w:t xml:space="preserve"> Brouwer</w:t>
      </w:r>
      <w:r w:rsidR="00F6194A">
        <w:rPr>
          <w:rFonts w:ascii="Arial" w:hAnsi="Arial" w:cs="Arial"/>
          <w:noProof/>
          <w:szCs w:val="24"/>
        </w:rPr>
        <w:t>,</w:t>
      </w:r>
      <w:r w:rsidR="00F6194A" w:rsidRPr="00F6194A">
        <w:rPr>
          <w:rFonts w:ascii="Arial" w:hAnsi="Arial" w:cs="Arial"/>
          <w:noProof/>
          <w:szCs w:val="24"/>
        </w:rPr>
        <w:t xml:space="preserve"> F</w:t>
      </w:r>
      <w:r w:rsidR="00F6194A">
        <w:rPr>
          <w:rFonts w:ascii="Arial" w:hAnsi="Arial" w:cs="Arial"/>
          <w:noProof/>
          <w:szCs w:val="24"/>
        </w:rPr>
        <w:t>;</w:t>
      </w:r>
      <w:r w:rsidR="00F6194A" w:rsidRPr="00F6194A">
        <w:rPr>
          <w:rFonts w:ascii="Arial" w:hAnsi="Arial" w:cs="Arial"/>
          <w:noProof/>
          <w:szCs w:val="24"/>
        </w:rPr>
        <w:t xml:space="preserve"> Schroten</w:t>
      </w:r>
      <w:r w:rsidR="00F6194A">
        <w:rPr>
          <w:rFonts w:ascii="Arial" w:hAnsi="Arial" w:cs="Arial"/>
          <w:noProof/>
          <w:szCs w:val="24"/>
        </w:rPr>
        <w:t>,</w:t>
      </w:r>
      <w:r w:rsidR="00F6194A" w:rsidRPr="00F6194A">
        <w:rPr>
          <w:rFonts w:ascii="Arial" w:hAnsi="Arial" w:cs="Arial"/>
          <w:noProof/>
          <w:szCs w:val="24"/>
        </w:rPr>
        <w:t xml:space="preserve"> A</w:t>
      </w:r>
      <w:r w:rsidR="00F6194A">
        <w:rPr>
          <w:rFonts w:ascii="Arial" w:hAnsi="Arial" w:cs="Arial"/>
          <w:noProof/>
          <w:szCs w:val="24"/>
        </w:rPr>
        <w:t>;</w:t>
      </w:r>
      <w:r w:rsidR="00F6194A" w:rsidRPr="00F6194A">
        <w:rPr>
          <w:rFonts w:ascii="Arial" w:hAnsi="Arial" w:cs="Arial"/>
          <w:noProof/>
          <w:szCs w:val="24"/>
        </w:rPr>
        <w:t xml:space="preserve"> Van Essen</w:t>
      </w:r>
      <w:r w:rsidR="00F6194A">
        <w:rPr>
          <w:rFonts w:ascii="Arial" w:hAnsi="Arial" w:cs="Arial"/>
          <w:noProof/>
          <w:szCs w:val="24"/>
        </w:rPr>
        <w:t>,</w:t>
      </w:r>
      <w:r w:rsidR="00F6194A" w:rsidRPr="00F6194A">
        <w:rPr>
          <w:rFonts w:ascii="Arial" w:hAnsi="Arial" w:cs="Arial"/>
          <w:noProof/>
          <w:szCs w:val="24"/>
        </w:rPr>
        <w:t xml:space="preserve"> H. Are trucks taking their toll? The environmental, safety and congestion impacts of lorries in the EU.</w:t>
      </w:r>
      <w:r w:rsidR="00F6194A">
        <w:rPr>
          <w:rFonts w:ascii="Arial" w:hAnsi="Arial" w:cs="Arial"/>
          <w:noProof/>
          <w:szCs w:val="24"/>
        </w:rPr>
        <w:t>2009.</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17. </w:t>
      </w:r>
      <w:r w:rsidRPr="002D2421">
        <w:rPr>
          <w:rFonts w:ascii="Arial" w:hAnsi="Arial" w:cs="Arial"/>
          <w:noProof/>
          <w:szCs w:val="24"/>
        </w:rPr>
        <w:tab/>
        <w:t xml:space="preserve">Buksti, M.; Fremming, T.; Juul, S.; Grandjean, F.; Christensen S. Surplus Food Redistribution System. Feasibility Final Report. </w:t>
      </w:r>
      <w:r w:rsidR="00F6194A">
        <w:rPr>
          <w:rFonts w:ascii="Arial" w:hAnsi="Arial" w:cs="Arial"/>
          <w:noProof/>
          <w:szCs w:val="24"/>
        </w:rPr>
        <w:t xml:space="preserve">EU FUSIONS Project. </w:t>
      </w:r>
      <w:r w:rsidRPr="002D2421">
        <w:rPr>
          <w:rFonts w:ascii="Arial" w:hAnsi="Arial" w:cs="Arial"/>
          <w:noProof/>
          <w:szCs w:val="24"/>
        </w:rPr>
        <w:t xml:space="preserve">2015. </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18. </w:t>
      </w:r>
      <w:r w:rsidRPr="002D2421">
        <w:rPr>
          <w:rFonts w:ascii="Arial" w:hAnsi="Arial" w:cs="Arial"/>
          <w:noProof/>
          <w:szCs w:val="24"/>
        </w:rPr>
        <w:tab/>
      </w:r>
      <w:r w:rsidR="00F6194A" w:rsidRPr="00F6194A">
        <w:rPr>
          <w:rFonts w:ascii="Arial" w:hAnsi="Arial" w:cs="Arial"/>
          <w:noProof/>
          <w:szCs w:val="24"/>
        </w:rPr>
        <w:t>Kijak</w:t>
      </w:r>
      <w:r w:rsidR="00F6194A">
        <w:rPr>
          <w:rFonts w:ascii="Arial" w:hAnsi="Arial" w:cs="Arial"/>
          <w:noProof/>
          <w:szCs w:val="24"/>
        </w:rPr>
        <w:t>,</w:t>
      </w:r>
      <w:r w:rsidR="00F6194A" w:rsidRPr="00F6194A">
        <w:rPr>
          <w:rFonts w:ascii="Arial" w:hAnsi="Arial" w:cs="Arial"/>
          <w:noProof/>
          <w:szCs w:val="24"/>
        </w:rPr>
        <w:t xml:space="preserve"> R</w:t>
      </w:r>
      <w:r w:rsidR="00F6194A">
        <w:rPr>
          <w:rFonts w:ascii="Arial" w:hAnsi="Arial" w:cs="Arial"/>
          <w:noProof/>
          <w:szCs w:val="24"/>
        </w:rPr>
        <w:t>;</w:t>
      </w:r>
      <w:r w:rsidR="00F6194A" w:rsidRPr="00F6194A">
        <w:rPr>
          <w:rFonts w:ascii="Arial" w:hAnsi="Arial" w:cs="Arial"/>
          <w:noProof/>
          <w:szCs w:val="24"/>
        </w:rPr>
        <w:t xml:space="preserve"> Moy</w:t>
      </w:r>
      <w:r w:rsidR="00F6194A">
        <w:rPr>
          <w:rFonts w:ascii="Arial" w:hAnsi="Arial" w:cs="Arial"/>
          <w:noProof/>
          <w:szCs w:val="24"/>
        </w:rPr>
        <w:t>, D.</w:t>
      </w:r>
      <w:r w:rsidR="00F6194A" w:rsidRPr="00F6194A">
        <w:rPr>
          <w:rFonts w:ascii="Arial" w:hAnsi="Arial" w:cs="Arial"/>
          <w:noProof/>
          <w:szCs w:val="24"/>
        </w:rPr>
        <w:t xml:space="preserve"> A decision support framework for sustainable waste management. Journal of Industrial Ecology.8(3):33-50.</w:t>
      </w:r>
      <w:r w:rsidR="00F6194A">
        <w:rPr>
          <w:rFonts w:ascii="Arial" w:hAnsi="Arial" w:cs="Arial"/>
          <w:noProof/>
          <w:szCs w:val="24"/>
        </w:rPr>
        <w:t>2004.</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19. </w:t>
      </w:r>
      <w:r w:rsidRPr="002D2421">
        <w:rPr>
          <w:rFonts w:ascii="Arial" w:hAnsi="Arial" w:cs="Arial"/>
          <w:noProof/>
          <w:szCs w:val="24"/>
        </w:rPr>
        <w:tab/>
      </w:r>
      <w:r w:rsidR="00F6194A" w:rsidRPr="00F6194A">
        <w:rPr>
          <w:rFonts w:ascii="Arial" w:hAnsi="Arial" w:cs="Arial"/>
          <w:noProof/>
          <w:szCs w:val="24"/>
        </w:rPr>
        <w:t>Garcia-Garcia</w:t>
      </w:r>
      <w:r w:rsidR="00F6194A">
        <w:rPr>
          <w:rFonts w:ascii="Arial" w:hAnsi="Arial" w:cs="Arial"/>
          <w:noProof/>
          <w:szCs w:val="24"/>
        </w:rPr>
        <w:t>,</w:t>
      </w:r>
      <w:r w:rsidR="00F6194A" w:rsidRPr="00F6194A">
        <w:rPr>
          <w:rFonts w:ascii="Arial" w:hAnsi="Arial" w:cs="Arial"/>
          <w:noProof/>
          <w:szCs w:val="24"/>
        </w:rPr>
        <w:t xml:space="preserve"> G. Development of a framework for sustainable management of industrial food waste (Doctoral dissertation, © Guillermo Garcia-Garcia).</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20. </w:t>
      </w:r>
      <w:r w:rsidRPr="002D2421">
        <w:rPr>
          <w:rFonts w:ascii="Arial" w:hAnsi="Arial" w:cs="Arial"/>
          <w:noProof/>
          <w:szCs w:val="24"/>
        </w:rPr>
        <w:tab/>
        <w:t xml:space="preserve">HORIZON 2020—Work Programme 2014–2015. Technology Readiness Levels (TRL). Brussels; 2014. </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21. </w:t>
      </w:r>
      <w:r w:rsidRPr="002D2421">
        <w:rPr>
          <w:rFonts w:ascii="Arial" w:hAnsi="Arial" w:cs="Arial"/>
          <w:noProof/>
          <w:szCs w:val="24"/>
        </w:rPr>
        <w:tab/>
      </w:r>
      <w:r w:rsidR="00F6194A" w:rsidRPr="00F6194A">
        <w:rPr>
          <w:rFonts w:ascii="Arial" w:hAnsi="Arial" w:cs="Arial"/>
          <w:noProof/>
          <w:szCs w:val="24"/>
        </w:rPr>
        <w:t>Solberg Hjorth</w:t>
      </w:r>
      <w:r w:rsidR="00F6194A">
        <w:rPr>
          <w:rFonts w:ascii="Arial" w:hAnsi="Arial" w:cs="Arial"/>
          <w:noProof/>
          <w:szCs w:val="24"/>
        </w:rPr>
        <w:t>,</w:t>
      </w:r>
      <w:r w:rsidR="00F6194A" w:rsidRPr="00F6194A">
        <w:rPr>
          <w:rFonts w:ascii="Arial" w:hAnsi="Arial" w:cs="Arial"/>
          <w:noProof/>
          <w:szCs w:val="24"/>
        </w:rPr>
        <w:t xml:space="preserve"> S</w:t>
      </w:r>
      <w:r w:rsidR="00F6194A">
        <w:rPr>
          <w:rFonts w:ascii="Arial" w:hAnsi="Arial" w:cs="Arial"/>
          <w:noProof/>
          <w:szCs w:val="24"/>
        </w:rPr>
        <w:t>;</w:t>
      </w:r>
      <w:r w:rsidR="00F6194A" w:rsidRPr="00F6194A">
        <w:rPr>
          <w:rFonts w:ascii="Arial" w:hAnsi="Arial" w:cs="Arial"/>
          <w:noProof/>
          <w:szCs w:val="24"/>
        </w:rPr>
        <w:t xml:space="preserve"> Brem</w:t>
      </w:r>
      <w:r w:rsidR="00F6194A">
        <w:rPr>
          <w:rFonts w:ascii="Arial" w:hAnsi="Arial" w:cs="Arial"/>
          <w:noProof/>
          <w:szCs w:val="24"/>
        </w:rPr>
        <w:t>,</w:t>
      </w:r>
      <w:r w:rsidR="00F6194A" w:rsidRPr="00F6194A">
        <w:rPr>
          <w:rFonts w:ascii="Arial" w:hAnsi="Arial" w:cs="Arial"/>
          <w:noProof/>
          <w:szCs w:val="24"/>
        </w:rPr>
        <w:t xml:space="preserve"> A. How to assess market readiness for an innovative solution: The case of heat recovery technologies for SMEs. Sustainability. 9;8(11):1152.</w:t>
      </w:r>
      <w:r w:rsidR="00F6194A">
        <w:rPr>
          <w:rFonts w:ascii="Arial" w:hAnsi="Arial" w:cs="Arial"/>
          <w:noProof/>
          <w:szCs w:val="24"/>
        </w:rPr>
        <w:t>2016.</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22. </w:t>
      </w:r>
      <w:r w:rsidRPr="002D2421">
        <w:rPr>
          <w:rFonts w:ascii="Arial" w:hAnsi="Arial" w:cs="Arial"/>
          <w:noProof/>
          <w:szCs w:val="24"/>
        </w:rPr>
        <w:tab/>
      </w:r>
      <w:r w:rsidR="00F6194A" w:rsidRPr="00F6194A">
        <w:rPr>
          <w:rFonts w:ascii="Arial" w:hAnsi="Arial" w:cs="Arial"/>
          <w:noProof/>
          <w:szCs w:val="24"/>
        </w:rPr>
        <w:t>Sauser</w:t>
      </w:r>
      <w:r w:rsidR="00F6194A">
        <w:rPr>
          <w:rFonts w:ascii="Arial" w:hAnsi="Arial" w:cs="Arial"/>
          <w:noProof/>
          <w:szCs w:val="24"/>
        </w:rPr>
        <w:t>,</w:t>
      </w:r>
      <w:r w:rsidR="00F6194A" w:rsidRPr="00F6194A">
        <w:rPr>
          <w:rFonts w:ascii="Arial" w:hAnsi="Arial" w:cs="Arial"/>
          <w:noProof/>
          <w:szCs w:val="24"/>
        </w:rPr>
        <w:t xml:space="preserve"> B</w:t>
      </w:r>
      <w:r w:rsidR="00F6194A">
        <w:rPr>
          <w:rFonts w:ascii="Arial" w:hAnsi="Arial" w:cs="Arial"/>
          <w:noProof/>
          <w:szCs w:val="24"/>
        </w:rPr>
        <w:t>;</w:t>
      </w:r>
      <w:r w:rsidR="00F6194A" w:rsidRPr="00F6194A">
        <w:rPr>
          <w:rFonts w:ascii="Arial" w:hAnsi="Arial" w:cs="Arial"/>
          <w:noProof/>
          <w:szCs w:val="24"/>
        </w:rPr>
        <w:t xml:space="preserve"> Verma</w:t>
      </w:r>
      <w:r w:rsidR="00F6194A">
        <w:rPr>
          <w:rFonts w:ascii="Arial" w:hAnsi="Arial" w:cs="Arial"/>
          <w:noProof/>
          <w:szCs w:val="24"/>
        </w:rPr>
        <w:t>,</w:t>
      </w:r>
      <w:r w:rsidR="00F6194A" w:rsidRPr="00F6194A">
        <w:rPr>
          <w:rFonts w:ascii="Arial" w:hAnsi="Arial" w:cs="Arial"/>
          <w:noProof/>
          <w:szCs w:val="24"/>
        </w:rPr>
        <w:t xml:space="preserve"> D</w:t>
      </w:r>
      <w:r w:rsidR="00F6194A">
        <w:rPr>
          <w:rFonts w:ascii="Arial" w:hAnsi="Arial" w:cs="Arial"/>
          <w:noProof/>
          <w:szCs w:val="24"/>
        </w:rPr>
        <w:t>;</w:t>
      </w:r>
      <w:r w:rsidR="00F6194A" w:rsidRPr="00F6194A">
        <w:rPr>
          <w:rFonts w:ascii="Arial" w:hAnsi="Arial" w:cs="Arial"/>
          <w:noProof/>
          <w:szCs w:val="24"/>
        </w:rPr>
        <w:t xml:space="preserve"> Ramirez-Marquez</w:t>
      </w:r>
      <w:r w:rsidR="00F6194A">
        <w:rPr>
          <w:rFonts w:ascii="Arial" w:hAnsi="Arial" w:cs="Arial"/>
          <w:noProof/>
          <w:szCs w:val="24"/>
        </w:rPr>
        <w:t>,</w:t>
      </w:r>
      <w:r w:rsidR="00F6194A" w:rsidRPr="00F6194A">
        <w:rPr>
          <w:rFonts w:ascii="Arial" w:hAnsi="Arial" w:cs="Arial"/>
          <w:noProof/>
          <w:szCs w:val="24"/>
        </w:rPr>
        <w:t xml:space="preserve"> J</w:t>
      </w:r>
      <w:r w:rsidR="00F6194A">
        <w:rPr>
          <w:rFonts w:ascii="Arial" w:hAnsi="Arial" w:cs="Arial"/>
          <w:noProof/>
          <w:szCs w:val="24"/>
        </w:rPr>
        <w:t>;</w:t>
      </w:r>
      <w:r w:rsidR="00F6194A" w:rsidRPr="00F6194A">
        <w:rPr>
          <w:rFonts w:ascii="Arial" w:hAnsi="Arial" w:cs="Arial"/>
          <w:noProof/>
          <w:szCs w:val="24"/>
        </w:rPr>
        <w:t xml:space="preserve"> Gove</w:t>
      </w:r>
      <w:r w:rsidR="00F6194A">
        <w:rPr>
          <w:rFonts w:ascii="Arial" w:hAnsi="Arial" w:cs="Arial"/>
          <w:noProof/>
          <w:szCs w:val="24"/>
        </w:rPr>
        <w:t>,</w:t>
      </w:r>
      <w:r w:rsidR="00F6194A" w:rsidRPr="00F6194A">
        <w:rPr>
          <w:rFonts w:ascii="Arial" w:hAnsi="Arial" w:cs="Arial"/>
          <w:noProof/>
          <w:szCs w:val="24"/>
        </w:rPr>
        <w:t xml:space="preserve"> R. From TRL to SRL: The concept of systems readiness levels. InConference on Systems Engineering Research, Los Angeles, CA 7 (pp. 1-10).</w:t>
      </w:r>
      <w:r w:rsidR="00F6194A">
        <w:rPr>
          <w:rFonts w:ascii="Arial" w:hAnsi="Arial" w:cs="Arial"/>
          <w:noProof/>
          <w:szCs w:val="24"/>
        </w:rPr>
        <w:t>2006.</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lastRenderedPageBreak/>
        <w:t xml:space="preserve">23. </w:t>
      </w:r>
      <w:r w:rsidRPr="002D2421">
        <w:rPr>
          <w:rFonts w:ascii="Arial" w:hAnsi="Arial" w:cs="Arial"/>
          <w:noProof/>
          <w:szCs w:val="24"/>
        </w:rPr>
        <w:tab/>
      </w:r>
      <w:r w:rsidR="00770C2A" w:rsidRPr="00770C2A">
        <w:rPr>
          <w:rFonts w:ascii="Arial" w:hAnsi="Arial" w:cs="Arial"/>
          <w:noProof/>
          <w:szCs w:val="24"/>
        </w:rPr>
        <w:t>Paun</w:t>
      </w:r>
      <w:r w:rsidR="00770C2A">
        <w:rPr>
          <w:rFonts w:ascii="Arial" w:hAnsi="Arial" w:cs="Arial"/>
          <w:noProof/>
          <w:szCs w:val="24"/>
        </w:rPr>
        <w:t>,</w:t>
      </w:r>
      <w:r w:rsidR="00770C2A" w:rsidRPr="00770C2A">
        <w:rPr>
          <w:rFonts w:ascii="Arial" w:hAnsi="Arial" w:cs="Arial"/>
          <w:noProof/>
          <w:szCs w:val="24"/>
        </w:rPr>
        <w:t xml:space="preserve"> F. 'Demand Readiness Level'(DRL): A New Tool to Hybridize Market Pull and Technology Push Approaches-Introspective Analysis of the New Trends in Technology Transfer Practices.</w:t>
      </w:r>
      <w:r w:rsidR="00770C2A">
        <w:rPr>
          <w:rFonts w:ascii="Arial" w:hAnsi="Arial" w:cs="Arial"/>
          <w:noProof/>
          <w:szCs w:val="24"/>
        </w:rPr>
        <w:t>2011.</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24. </w:t>
      </w:r>
      <w:r w:rsidRPr="002D2421">
        <w:rPr>
          <w:rFonts w:ascii="Arial" w:hAnsi="Arial" w:cs="Arial"/>
          <w:noProof/>
          <w:szCs w:val="24"/>
        </w:rPr>
        <w:tab/>
        <w:t>WRAP. Valorization Business Case Toolkit. Available from: http://www.wrapcymru.org.uk/register-download-valorisation-business-case-toolkit</w:t>
      </w:r>
      <w:r w:rsidR="00770C2A">
        <w:rPr>
          <w:rFonts w:ascii="Arial" w:hAnsi="Arial" w:cs="Arial"/>
          <w:noProof/>
          <w:szCs w:val="24"/>
        </w:rPr>
        <w:t>. Accessed 05/03/2019.</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25. </w:t>
      </w:r>
      <w:r w:rsidRPr="002D2421">
        <w:rPr>
          <w:rFonts w:ascii="Arial" w:hAnsi="Arial" w:cs="Arial"/>
          <w:noProof/>
          <w:szCs w:val="24"/>
        </w:rPr>
        <w:tab/>
        <w:t xml:space="preserve">Herwijnen M. Weighted Summation (WSum). 2006. </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26. </w:t>
      </w:r>
      <w:r w:rsidRPr="002D2421">
        <w:rPr>
          <w:rFonts w:ascii="Arial" w:hAnsi="Arial" w:cs="Arial"/>
          <w:noProof/>
          <w:szCs w:val="24"/>
        </w:rPr>
        <w:tab/>
        <w:t>Sin E. The extraction and fractionation of waxes from biomass. 2012</w:t>
      </w:r>
      <w:r w:rsidR="00770C2A">
        <w:rPr>
          <w:rFonts w:ascii="Arial" w:hAnsi="Arial" w:cs="Arial"/>
          <w:noProof/>
          <w:szCs w:val="24"/>
        </w:rPr>
        <w:t>.</w:t>
      </w:r>
      <w:r w:rsidRPr="002D2421">
        <w:rPr>
          <w:rFonts w:ascii="Arial" w:hAnsi="Arial" w:cs="Arial"/>
          <w:noProof/>
          <w:szCs w:val="24"/>
        </w:rPr>
        <w:t xml:space="preserve"> Available from: http://etheses.whiterose.ac.uk/3123/</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27. </w:t>
      </w:r>
      <w:r w:rsidRPr="002D2421">
        <w:rPr>
          <w:rFonts w:ascii="Arial" w:hAnsi="Arial" w:cs="Arial"/>
          <w:noProof/>
          <w:szCs w:val="24"/>
        </w:rPr>
        <w:tab/>
      </w:r>
      <w:r w:rsidR="00770C2A" w:rsidRPr="00770C2A">
        <w:rPr>
          <w:rFonts w:ascii="Arial" w:hAnsi="Arial" w:cs="Arial"/>
          <w:noProof/>
          <w:szCs w:val="24"/>
        </w:rPr>
        <w:t>Snell M. Cost–benefit analysis. Thomas Telford Ltd; 2011.</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28. </w:t>
      </w:r>
      <w:r w:rsidRPr="002D2421">
        <w:rPr>
          <w:rFonts w:ascii="Arial" w:hAnsi="Arial" w:cs="Arial"/>
          <w:noProof/>
          <w:szCs w:val="24"/>
        </w:rPr>
        <w:tab/>
      </w:r>
      <w:bookmarkStart w:id="27" w:name="_Hlk2694044"/>
      <w:r w:rsidR="00770C2A" w:rsidRPr="00770C2A">
        <w:rPr>
          <w:rFonts w:ascii="Arial" w:hAnsi="Arial" w:cs="Arial"/>
          <w:noProof/>
          <w:szCs w:val="24"/>
        </w:rPr>
        <w:t>Ackerman</w:t>
      </w:r>
      <w:r w:rsidR="00770C2A">
        <w:rPr>
          <w:rFonts w:ascii="Arial" w:hAnsi="Arial" w:cs="Arial"/>
          <w:noProof/>
          <w:szCs w:val="24"/>
        </w:rPr>
        <w:t>,</w:t>
      </w:r>
      <w:r w:rsidR="00770C2A" w:rsidRPr="00770C2A">
        <w:rPr>
          <w:rFonts w:ascii="Arial" w:hAnsi="Arial" w:cs="Arial"/>
          <w:noProof/>
          <w:szCs w:val="24"/>
        </w:rPr>
        <w:t xml:space="preserve"> </w:t>
      </w:r>
      <w:r w:rsidR="00770C2A">
        <w:rPr>
          <w:rFonts w:ascii="Arial" w:hAnsi="Arial" w:cs="Arial"/>
          <w:noProof/>
          <w:szCs w:val="24"/>
        </w:rPr>
        <w:t>F;</w:t>
      </w:r>
      <w:r w:rsidR="00770C2A" w:rsidRPr="00770C2A">
        <w:rPr>
          <w:rFonts w:ascii="Arial" w:hAnsi="Arial" w:cs="Arial"/>
          <w:noProof/>
          <w:szCs w:val="24"/>
        </w:rPr>
        <w:t xml:space="preserve"> Heinzerling</w:t>
      </w:r>
      <w:r w:rsidR="00770C2A">
        <w:rPr>
          <w:rFonts w:ascii="Arial" w:hAnsi="Arial" w:cs="Arial"/>
          <w:noProof/>
          <w:szCs w:val="24"/>
        </w:rPr>
        <w:t>,</w:t>
      </w:r>
      <w:r w:rsidR="00770C2A" w:rsidRPr="00770C2A">
        <w:rPr>
          <w:rFonts w:ascii="Arial" w:hAnsi="Arial" w:cs="Arial"/>
          <w:noProof/>
          <w:szCs w:val="24"/>
        </w:rPr>
        <w:t xml:space="preserve"> L. Pricing the priceless: Cost-benefit analysis of environmental protection. U. Pa. L. Rev.150:1553.</w:t>
      </w:r>
      <w:r w:rsidR="00770C2A">
        <w:rPr>
          <w:rFonts w:ascii="Arial" w:hAnsi="Arial" w:cs="Arial"/>
          <w:noProof/>
          <w:szCs w:val="24"/>
        </w:rPr>
        <w:t>2001</w:t>
      </w:r>
    </w:p>
    <w:bookmarkEnd w:id="27"/>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29. </w:t>
      </w:r>
      <w:r w:rsidRPr="002D2421">
        <w:rPr>
          <w:rFonts w:ascii="Arial" w:hAnsi="Arial" w:cs="Arial"/>
          <w:noProof/>
          <w:szCs w:val="24"/>
        </w:rPr>
        <w:tab/>
        <w:t>Benis, K</w:t>
      </w:r>
      <w:r w:rsidR="00770C2A">
        <w:rPr>
          <w:rFonts w:ascii="Arial" w:hAnsi="Arial" w:cs="Arial"/>
          <w:noProof/>
          <w:szCs w:val="24"/>
        </w:rPr>
        <w:t>;</w:t>
      </w:r>
      <w:r w:rsidRPr="002D2421">
        <w:rPr>
          <w:rFonts w:ascii="Arial" w:hAnsi="Arial" w:cs="Arial"/>
          <w:noProof/>
          <w:szCs w:val="24"/>
        </w:rPr>
        <w:t xml:space="preserve"> Turan, I</w:t>
      </w:r>
      <w:r w:rsidR="00770C2A">
        <w:rPr>
          <w:rFonts w:ascii="Arial" w:hAnsi="Arial" w:cs="Arial"/>
          <w:noProof/>
          <w:szCs w:val="24"/>
        </w:rPr>
        <w:t>;</w:t>
      </w:r>
      <w:r w:rsidRPr="002D2421">
        <w:rPr>
          <w:rFonts w:ascii="Arial" w:hAnsi="Arial" w:cs="Arial"/>
          <w:noProof/>
          <w:szCs w:val="24"/>
        </w:rPr>
        <w:t xml:space="preserve"> Reinhart, C</w:t>
      </w:r>
      <w:r w:rsidR="00770C2A">
        <w:rPr>
          <w:rFonts w:ascii="Arial" w:hAnsi="Arial" w:cs="Arial"/>
          <w:noProof/>
          <w:szCs w:val="24"/>
        </w:rPr>
        <w:t>;</w:t>
      </w:r>
      <w:r w:rsidRPr="002D2421">
        <w:rPr>
          <w:rFonts w:ascii="Arial" w:hAnsi="Arial" w:cs="Arial"/>
          <w:noProof/>
          <w:szCs w:val="24"/>
        </w:rPr>
        <w:t xml:space="preserve"> Ferrão</w:t>
      </w:r>
      <w:r w:rsidR="00770C2A">
        <w:rPr>
          <w:rFonts w:ascii="Arial" w:hAnsi="Arial" w:cs="Arial"/>
          <w:noProof/>
          <w:szCs w:val="24"/>
        </w:rPr>
        <w:t>,</w:t>
      </w:r>
      <w:r w:rsidRPr="002D2421">
        <w:rPr>
          <w:rFonts w:ascii="Arial" w:hAnsi="Arial" w:cs="Arial"/>
          <w:noProof/>
          <w:szCs w:val="24"/>
        </w:rPr>
        <w:t xml:space="preserve"> P. Putting rooftops to use–A Cost-Benefit Analysis of food production vs. energy generation under Mediterranean climates. Cities. 78:166–79. </w:t>
      </w:r>
      <w:r w:rsidR="00770C2A">
        <w:rPr>
          <w:rFonts w:ascii="Arial" w:hAnsi="Arial" w:cs="Arial"/>
          <w:noProof/>
          <w:szCs w:val="24"/>
        </w:rPr>
        <w:t>2018</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30. </w:t>
      </w:r>
      <w:r w:rsidRPr="002D2421">
        <w:rPr>
          <w:rFonts w:ascii="Arial" w:hAnsi="Arial" w:cs="Arial"/>
          <w:noProof/>
          <w:szCs w:val="24"/>
        </w:rPr>
        <w:tab/>
        <w:t>OECD. Long-term Interest Rates</w:t>
      </w:r>
      <w:r w:rsidR="00770C2A">
        <w:rPr>
          <w:rFonts w:ascii="Arial" w:hAnsi="Arial" w:cs="Arial"/>
          <w:noProof/>
          <w:szCs w:val="24"/>
        </w:rPr>
        <w:t xml:space="preserve">. </w:t>
      </w:r>
      <w:r w:rsidRPr="002D2421">
        <w:rPr>
          <w:rFonts w:ascii="Arial" w:hAnsi="Arial" w:cs="Arial"/>
          <w:noProof/>
          <w:szCs w:val="24"/>
        </w:rPr>
        <w:t>2018. Available from: https://data.oecd.org/interest/long-term-interest-rates.htm</w:t>
      </w:r>
      <w:r w:rsidR="00770C2A">
        <w:rPr>
          <w:rFonts w:ascii="Arial" w:hAnsi="Arial" w:cs="Arial"/>
          <w:noProof/>
          <w:szCs w:val="24"/>
        </w:rPr>
        <w:t>. Accessed 05/03/2019.</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31. </w:t>
      </w:r>
      <w:r w:rsidRPr="002D2421">
        <w:rPr>
          <w:rFonts w:ascii="Arial" w:hAnsi="Arial" w:cs="Arial"/>
          <w:noProof/>
          <w:szCs w:val="24"/>
        </w:rPr>
        <w:tab/>
        <w:t>Alibaba.com. Carnauba Wax Value per Kg</w:t>
      </w:r>
      <w:r w:rsidR="00770C2A">
        <w:rPr>
          <w:rFonts w:ascii="Arial" w:hAnsi="Arial" w:cs="Arial"/>
          <w:noProof/>
          <w:szCs w:val="24"/>
        </w:rPr>
        <w:t xml:space="preserve">. </w:t>
      </w:r>
      <w:r w:rsidRPr="002D2421">
        <w:rPr>
          <w:rFonts w:ascii="Arial" w:hAnsi="Arial" w:cs="Arial"/>
          <w:noProof/>
          <w:szCs w:val="24"/>
        </w:rPr>
        <w:t>2018. Available from: https://www.alibaba.com/product-detail/Carnauba-Wax-T3-and-T1_50031772414.html?spm=a2700.7724838.2017115.16.45cf4136Yt5JXQ</w:t>
      </w:r>
      <w:r w:rsidR="00770C2A">
        <w:rPr>
          <w:rFonts w:ascii="Arial" w:hAnsi="Arial" w:cs="Arial"/>
          <w:noProof/>
          <w:szCs w:val="24"/>
        </w:rPr>
        <w:t>. Accessed 05/03/2019.</w:t>
      </w:r>
    </w:p>
    <w:p w:rsidR="002D2421" w:rsidRPr="002D2421" w:rsidRDefault="002D2421" w:rsidP="002D2421">
      <w:pPr>
        <w:widowControl w:val="0"/>
        <w:autoSpaceDE w:val="0"/>
        <w:autoSpaceDN w:val="0"/>
        <w:adjustRightInd w:val="0"/>
        <w:spacing w:line="240" w:lineRule="auto"/>
        <w:ind w:left="640" w:hanging="640"/>
        <w:rPr>
          <w:rFonts w:ascii="Arial" w:hAnsi="Arial" w:cs="Arial"/>
          <w:noProof/>
          <w:szCs w:val="24"/>
        </w:rPr>
      </w:pPr>
      <w:r w:rsidRPr="002D2421">
        <w:rPr>
          <w:rFonts w:ascii="Arial" w:hAnsi="Arial" w:cs="Arial"/>
          <w:noProof/>
          <w:szCs w:val="24"/>
        </w:rPr>
        <w:t xml:space="preserve">32. </w:t>
      </w:r>
      <w:r w:rsidRPr="002D2421">
        <w:rPr>
          <w:rFonts w:ascii="Arial" w:hAnsi="Arial" w:cs="Arial"/>
          <w:noProof/>
          <w:szCs w:val="24"/>
        </w:rPr>
        <w:tab/>
      </w:r>
      <w:r w:rsidR="00770C2A" w:rsidRPr="00770C2A">
        <w:rPr>
          <w:rFonts w:ascii="Arial" w:hAnsi="Arial" w:cs="Arial"/>
          <w:noProof/>
          <w:szCs w:val="24"/>
        </w:rPr>
        <w:t>Attard, TM; Bukhanko, N; Eriksson, D; Arshadi, M; Geladi, P; Bergsten, U; Budarin, VL; Clark, JH; Hunt AJ. Supercritical extraction of waxes and lipids from biomass: A valuable first step towards an integrated biorefinery. Journal of Cleaner Production. 10;177:684-98. 2018.</w:t>
      </w:r>
    </w:p>
    <w:p w:rsidR="00F00A27" w:rsidRPr="007866FD" w:rsidRDefault="002D2421" w:rsidP="00663461">
      <w:pPr>
        <w:widowControl w:val="0"/>
        <w:autoSpaceDE w:val="0"/>
        <w:autoSpaceDN w:val="0"/>
        <w:adjustRightInd w:val="0"/>
        <w:spacing w:line="240" w:lineRule="auto"/>
        <w:ind w:left="640" w:hanging="640"/>
      </w:pPr>
      <w:r w:rsidRPr="002D2421">
        <w:rPr>
          <w:rFonts w:ascii="Arial" w:hAnsi="Arial" w:cs="Arial"/>
          <w:noProof/>
          <w:szCs w:val="24"/>
        </w:rPr>
        <w:t xml:space="preserve">33. </w:t>
      </w:r>
      <w:r w:rsidRPr="002D2421">
        <w:rPr>
          <w:rFonts w:ascii="Arial" w:hAnsi="Arial" w:cs="Arial"/>
          <w:noProof/>
          <w:szCs w:val="24"/>
        </w:rPr>
        <w:tab/>
        <w:t xml:space="preserve">Farming.co.uk. </w:t>
      </w:r>
      <w:r w:rsidR="00770C2A" w:rsidRPr="00770C2A">
        <w:rPr>
          <w:rFonts w:ascii="Arial" w:hAnsi="Arial" w:cs="Arial"/>
          <w:noProof/>
          <w:szCs w:val="24"/>
        </w:rPr>
        <w:t>Hay, wheat straw and barley straw prices &amp; charts by region</w:t>
      </w:r>
      <w:r w:rsidRPr="002D2421">
        <w:rPr>
          <w:rFonts w:ascii="Arial" w:hAnsi="Arial" w:cs="Arial"/>
          <w:noProof/>
          <w:szCs w:val="24"/>
        </w:rPr>
        <w:t>.</w:t>
      </w:r>
      <w:r w:rsidR="00770C2A">
        <w:rPr>
          <w:rFonts w:ascii="Arial" w:hAnsi="Arial" w:cs="Arial"/>
          <w:noProof/>
          <w:szCs w:val="24"/>
        </w:rPr>
        <w:t xml:space="preserve"> 2019.</w:t>
      </w:r>
      <w:r w:rsidRPr="002D2421">
        <w:rPr>
          <w:rFonts w:ascii="Arial" w:hAnsi="Arial" w:cs="Arial"/>
          <w:noProof/>
          <w:szCs w:val="24"/>
        </w:rPr>
        <w:t xml:space="preserve"> Available from: https://farming.co.uk/prices/baled-hay-straw</w:t>
      </w:r>
      <w:r w:rsidR="00770C2A">
        <w:rPr>
          <w:rFonts w:ascii="Arial" w:hAnsi="Arial" w:cs="Arial"/>
          <w:noProof/>
          <w:szCs w:val="24"/>
        </w:rPr>
        <w:t>. Accessed 05/03/2019.</w:t>
      </w:r>
      <w:r w:rsidR="00A674B2" w:rsidRPr="00EF74B5">
        <w:rPr>
          <w:rFonts w:ascii="Arial" w:hAnsi="Arial" w:cs="Arial"/>
        </w:rPr>
        <w:fldChar w:fldCharType="end"/>
      </w:r>
    </w:p>
    <w:sectPr w:rsidR="00F00A27" w:rsidRPr="007866FD" w:rsidSect="004478B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6407" w:rsidRDefault="005E6407" w:rsidP="00DB16AA">
      <w:pPr>
        <w:spacing w:after="0" w:line="240" w:lineRule="auto"/>
      </w:pPr>
      <w:r>
        <w:separator/>
      </w:r>
    </w:p>
  </w:endnote>
  <w:endnote w:type="continuationSeparator" w:id="0">
    <w:p w:rsidR="005E6407" w:rsidRDefault="005E6407" w:rsidP="00DB16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818370"/>
      <w:docPartObj>
        <w:docPartGallery w:val="Page Numbers (Bottom of Page)"/>
        <w:docPartUnique/>
      </w:docPartObj>
    </w:sdtPr>
    <w:sdtEndPr>
      <w:rPr>
        <w:noProof/>
      </w:rPr>
    </w:sdtEndPr>
    <w:sdtContent>
      <w:p w:rsidR="00221611" w:rsidRDefault="00A674B2">
        <w:pPr>
          <w:pStyle w:val="Footer"/>
          <w:jc w:val="right"/>
        </w:pPr>
        <w:r>
          <w:fldChar w:fldCharType="begin"/>
        </w:r>
        <w:r w:rsidR="00221611">
          <w:instrText xml:space="preserve"> PAGE   \* MERGEFORMAT </w:instrText>
        </w:r>
        <w:r>
          <w:fldChar w:fldCharType="separate"/>
        </w:r>
        <w:r w:rsidR="004478B8">
          <w:rPr>
            <w:noProof/>
          </w:rPr>
          <w:t>1</w:t>
        </w:r>
        <w:r>
          <w:rPr>
            <w:noProof/>
          </w:rPr>
          <w:fldChar w:fldCharType="end"/>
        </w:r>
      </w:p>
    </w:sdtContent>
  </w:sdt>
  <w:p w:rsidR="00221611" w:rsidRDefault="002216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6407" w:rsidRDefault="005E6407" w:rsidP="00DB16AA">
      <w:pPr>
        <w:spacing w:after="0" w:line="240" w:lineRule="auto"/>
      </w:pPr>
      <w:r>
        <w:separator/>
      </w:r>
    </w:p>
  </w:footnote>
  <w:footnote w:type="continuationSeparator" w:id="0">
    <w:p w:rsidR="005E6407" w:rsidRDefault="005E6407" w:rsidP="00DB16A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40505"/>
    <w:rsid w:val="00000C4C"/>
    <w:rsid w:val="0002444A"/>
    <w:rsid w:val="000B4E83"/>
    <w:rsid w:val="000C48B6"/>
    <w:rsid w:val="000D1C00"/>
    <w:rsid w:val="001073C2"/>
    <w:rsid w:val="00107B07"/>
    <w:rsid w:val="00133851"/>
    <w:rsid w:val="00143607"/>
    <w:rsid w:val="00150BCC"/>
    <w:rsid w:val="0015319D"/>
    <w:rsid w:val="001637EA"/>
    <w:rsid w:val="00190571"/>
    <w:rsid w:val="001B4B0B"/>
    <w:rsid w:val="001E110E"/>
    <w:rsid w:val="00203312"/>
    <w:rsid w:val="00214E4C"/>
    <w:rsid w:val="00215B95"/>
    <w:rsid w:val="00221611"/>
    <w:rsid w:val="00236E7A"/>
    <w:rsid w:val="00266AC4"/>
    <w:rsid w:val="002701E6"/>
    <w:rsid w:val="002A2897"/>
    <w:rsid w:val="002A4FF7"/>
    <w:rsid w:val="002C083A"/>
    <w:rsid w:val="002C5A6F"/>
    <w:rsid w:val="002D2421"/>
    <w:rsid w:val="002F621F"/>
    <w:rsid w:val="003278F6"/>
    <w:rsid w:val="00354E10"/>
    <w:rsid w:val="0036316D"/>
    <w:rsid w:val="00376297"/>
    <w:rsid w:val="0038619D"/>
    <w:rsid w:val="003A4FAC"/>
    <w:rsid w:val="003C623F"/>
    <w:rsid w:val="00422751"/>
    <w:rsid w:val="00423A86"/>
    <w:rsid w:val="004478B8"/>
    <w:rsid w:val="00477C9D"/>
    <w:rsid w:val="00487537"/>
    <w:rsid w:val="00493618"/>
    <w:rsid w:val="0049674B"/>
    <w:rsid w:val="004D05A5"/>
    <w:rsid w:val="004F5DEF"/>
    <w:rsid w:val="00560A54"/>
    <w:rsid w:val="00580209"/>
    <w:rsid w:val="005B256C"/>
    <w:rsid w:val="005C4189"/>
    <w:rsid w:val="005D3A31"/>
    <w:rsid w:val="005E041A"/>
    <w:rsid w:val="005E6407"/>
    <w:rsid w:val="005F526F"/>
    <w:rsid w:val="006072AE"/>
    <w:rsid w:val="00626BFE"/>
    <w:rsid w:val="00637EEB"/>
    <w:rsid w:val="00640EE8"/>
    <w:rsid w:val="00663461"/>
    <w:rsid w:val="0067736F"/>
    <w:rsid w:val="00681D48"/>
    <w:rsid w:val="006833DF"/>
    <w:rsid w:val="006D45B7"/>
    <w:rsid w:val="006D7056"/>
    <w:rsid w:val="00727F2E"/>
    <w:rsid w:val="00737825"/>
    <w:rsid w:val="00740505"/>
    <w:rsid w:val="0075320E"/>
    <w:rsid w:val="00757483"/>
    <w:rsid w:val="0076741C"/>
    <w:rsid w:val="00770C2A"/>
    <w:rsid w:val="007866FD"/>
    <w:rsid w:val="00797A27"/>
    <w:rsid w:val="007A48F2"/>
    <w:rsid w:val="007C1813"/>
    <w:rsid w:val="007D1083"/>
    <w:rsid w:val="007D4598"/>
    <w:rsid w:val="007D75B0"/>
    <w:rsid w:val="007F36D4"/>
    <w:rsid w:val="0082066F"/>
    <w:rsid w:val="00823BD6"/>
    <w:rsid w:val="0084658B"/>
    <w:rsid w:val="00853023"/>
    <w:rsid w:val="00873ADB"/>
    <w:rsid w:val="008900FC"/>
    <w:rsid w:val="009028D5"/>
    <w:rsid w:val="00913382"/>
    <w:rsid w:val="00920024"/>
    <w:rsid w:val="00935745"/>
    <w:rsid w:val="00943D8F"/>
    <w:rsid w:val="00971321"/>
    <w:rsid w:val="009B2689"/>
    <w:rsid w:val="009C6125"/>
    <w:rsid w:val="009D59E8"/>
    <w:rsid w:val="00A11186"/>
    <w:rsid w:val="00A363AB"/>
    <w:rsid w:val="00A37609"/>
    <w:rsid w:val="00A46580"/>
    <w:rsid w:val="00A674B2"/>
    <w:rsid w:val="00A801DB"/>
    <w:rsid w:val="00AA0ADC"/>
    <w:rsid w:val="00AA5270"/>
    <w:rsid w:val="00AA764D"/>
    <w:rsid w:val="00AD43D1"/>
    <w:rsid w:val="00AD5F0E"/>
    <w:rsid w:val="00AE4D04"/>
    <w:rsid w:val="00AF1248"/>
    <w:rsid w:val="00B03F3C"/>
    <w:rsid w:val="00B4789E"/>
    <w:rsid w:val="00B81C3C"/>
    <w:rsid w:val="00B91F49"/>
    <w:rsid w:val="00BA1CAA"/>
    <w:rsid w:val="00C10900"/>
    <w:rsid w:val="00C140DD"/>
    <w:rsid w:val="00C2022F"/>
    <w:rsid w:val="00C304D5"/>
    <w:rsid w:val="00C30A89"/>
    <w:rsid w:val="00C31F1D"/>
    <w:rsid w:val="00C56A21"/>
    <w:rsid w:val="00C75C7A"/>
    <w:rsid w:val="00C95110"/>
    <w:rsid w:val="00CA0F7F"/>
    <w:rsid w:val="00CE2BD6"/>
    <w:rsid w:val="00D0068C"/>
    <w:rsid w:val="00D169F3"/>
    <w:rsid w:val="00D174CE"/>
    <w:rsid w:val="00D235DF"/>
    <w:rsid w:val="00DB16AA"/>
    <w:rsid w:val="00DB5AC0"/>
    <w:rsid w:val="00DD25A9"/>
    <w:rsid w:val="00DD68CB"/>
    <w:rsid w:val="00DD7665"/>
    <w:rsid w:val="00DF7465"/>
    <w:rsid w:val="00E2688F"/>
    <w:rsid w:val="00E56A79"/>
    <w:rsid w:val="00E7190F"/>
    <w:rsid w:val="00E7622B"/>
    <w:rsid w:val="00E876C9"/>
    <w:rsid w:val="00E96E9A"/>
    <w:rsid w:val="00EB4C4A"/>
    <w:rsid w:val="00EE11F2"/>
    <w:rsid w:val="00EE67C1"/>
    <w:rsid w:val="00EF4695"/>
    <w:rsid w:val="00EF74B5"/>
    <w:rsid w:val="00F00A27"/>
    <w:rsid w:val="00F06365"/>
    <w:rsid w:val="00F10DB4"/>
    <w:rsid w:val="00F241FE"/>
    <w:rsid w:val="00F32920"/>
    <w:rsid w:val="00F50241"/>
    <w:rsid w:val="00F50931"/>
    <w:rsid w:val="00F50A45"/>
    <w:rsid w:val="00F50D9E"/>
    <w:rsid w:val="00F6194A"/>
    <w:rsid w:val="00F83FBF"/>
    <w:rsid w:val="00FC7407"/>
    <w:rsid w:val="00FD658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4B2"/>
  </w:style>
  <w:style w:type="paragraph" w:styleId="Heading1">
    <w:name w:val="heading 1"/>
    <w:basedOn w:val="Normal"/>
    <w:next w:val="Normal"/>
    <w:link w:val="Heading1Char"/>
    <w:uiPriority w:val="9"/>
    <w:qFormat/>
    <w:rsid w:val="00E876C9"/>
    <w:pPr>
      <w:keepNext/>
      <w:keepLines/>
      <w:spacing w:before="240" w:after="0"/>
      <w:outlineLvl w:val="0"/>
    </w:pPr>
    <w:rPr>
      <w:rFonts w:ascii="Arial" w:eastAsiaTheme="majorEastAsia" w:hAnsi="Arial" w:cstheme="majorBidi"/>
      <w:color w:val="000000" w:themeColor="text1"/>
      <w:sz w:val="24"/>
      <w:szCs w:val="32"/>
    </w:rPr>
  </w:style>
  <w:style w:type="paragraph" w:styleId="Heading2">
    <w:name w:val="heading 2"/>
    <w:basedOn w:val="Normal"/>
    <w:next w:val="Normal"/>
    <w:link w:val="Heading2Char"/>
    <w:uiPriority w:val="9"/>
    <w:unhideWhenUsed/>
    <w:qFormat/>
    <w:rsid w:val="00E876C9"/>
    <w:pPr>
      <w:keepNext/>
      <w:keepLines/>
      <w:spacing w:before="40" w:after="0"/>
      <w:outlineLvl w:val="1"/>
    </w:pPr>
    <w:rPr>
      <w:rFonts w:ascii="Arial" w:eastAsiaTheme="majorEastAsia" w:hAnsi="Arial" w:cstheme="majorBidi"/>
      <w:i/>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405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505"/>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876C9"/>
    <w:rPr>
      <w:rFonts w:ascii="Arial" w:eastAsiaTheme="majorEastAsia" w:hAnsi="Arial" w:cstheme="majorBidi"/>
      <w:i/>
      <w:color w:val="000000" w:themeColor="text1"/>
      <w:szCs w:val="26"/>
    </w:rPr>
  </w:style>
  <w:style w:type="character" w:customStyle="1" w:styleId="Heading1Char">
    <w:name w:val="Heading 1 Char"/>
    <w:basedOn w:val="DefaultParagraphFont"/>
    <w:link w:val="Heading1"/>
    <w:uiPriority w:val="9"/>
    <w:rsid w:val="00E876C9"/>
    <w:rPr>
      <w:rFonts w:ascii="Arial" w:eastAsiaTheme="majorEastAsia" w:hAnsi="Arial" w:cstheme="majorBidi"/>
      <w:color w:val="000000" w:themeColor="text1"/>
      <w:sz w:val="24"/>
      <w:szCs w:val="32"/>
    </w:rPr>
  </w:style>
  <w:style w:type="table" w:styleId="TableGrid">
    <w:name w:val="Table Grid"/>
    <w:basedOn w:val="TableNormal"/>
    <w:uiPriority w:val="59"/>
    <w:rsid w:val="00920024"/>
    <w:pPr>
      <w:spacing w:after="0" w:line="240" w:lineRule="auto"/>
    </w:pPr>
    <w:rPr>
      <w:rFonts w:ascii="Times New Roman" w:eastAsia="SimSu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PI31text">
    <w:name w:val="MDPI_3.1_text"/>
    <w:qFormat/>
    <w:rsid w:val="0049674B"/>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styleId="CommentReference">
    <w:name w:val="annotation reference"/>
    <w:basedOn w:val="DefaultParagraphFont"/>
    <w:uiPriority w:val="99"/>
    <w:semiHidden/>
    <w:unhideWhenUsed/>
    <w:rsid w:val="00107B07"/>
    <w:rPr>
      <w:sz w:val="16"/>
      <w:szCs w:val="16"/>
    </w:rPr>
  </w:style>
  <w:style w:type="paragraph" w:styleId="CommentText">
    <w:name w:val="annotation text"/>
    <w:basedOn w:val="Normal"/>
    <w:link w:val="CommentTextChar"/>
    <w:uiPriority w:val="99"/>
    <w:semiHidden/>
    <w:unhideWhenUsed/>
    <w:rsid w:val="00107B07"/>
    <w:pPr>
      <w:spacing w:line="240" w:lineRule="auto"/>
    </w:pPr>
    <w:rPr>
      <w:sz w:val="20"/>
      <w:szCs w:val="20"/>
    </w:rPr>
  </w:style>
  <w:style w:type="character" w:customStyle="1" w:styleId="CommentTextChar">
    <w:name w:val="Comment Text Char"/>
    <w:basedOn w:val="DefaultParagraphFont"/>
    <w:link w:val="CommentText"/>
    <w:uiPriority w:val="99"/>
    <w:semiHidden/>
    <w:rsid w:val="00107B07"/>
    <w:rPr>
      <w:sz w:val="20"/>
      <w:szCs w:val="20"/>
    </w:rPr>
  </w:style>
  <w:style w:type="paragraph" w:styleId="CommentSubject">
    <w:name w:val="annotation subject"/>
    <w:basedOn w:val="CommentText"/>
    <w:next w:val="CommentText"/>
    <w:link w:val="CommentSubjectChar"/>
    <w:uiPriority w:val="99"/>
    <w:semiHidden/>
    <w:unhideWhenUsed/>
    <w:rsid w:val="00107B07"/>
    <w:rPr>
      <w:b/>
      <w:bCs/>
    </w:rPr>
  </w:style>
  <w:style w:type="character" w:customStyle="1" w:styleId="CommentSubjectChar">
    <w:name w:val="Comment Subject Char"/>
    <w:basedOn w:val="CommentTextChar"/>
    <w:link w:val="CommentSubject"/>
    <w:uiPriority w:val="99"/>
    <w:semiHidden/>
    <w:rsid w:val="00107B07"/>
    <w:rPr>
      <w:b/>
      <w:bCs/>
      <w:sz w:val="20"/>
      <w:szCs w:val="20"/>
    </w:rPr>
  </w:style>
  <w:style w:type="paragraph" w:styleId="BalloonText">
    <w:name w:val="Balloon Text"/>
    <w:basedOn w:val="Normal"/>
    <w:link w:val="BalloonTextChar"/>
    <w:uiPriority w:val="99"/>
    <w:semiHidden/>
    <w:unhideWhenUsed/>
    <w:rsid w:val="00107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B07"/>
    <w:rPr>
      <w:rFonts w:ascii="Segoe UI" w:hAnsi="Segoe UI" w:cs="Segoe UI"/>
      <w:sz w:val="18"/>
      <w:szCs w:val="18"/>
    </w:rPr>
  </w:style>
  <w:style w:type="paragraph" w:styleId="Header">
    <w:name w:val="header"/>
    <w:basedOn w:val="Normal"/>
    <w:link w:val="HeaderChar"/>
    <w:uiPriority w:val="99"/>
    <w:unhideWhenUsed/>
    <w:rsid w:val="00DB1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6AA"/>
  </w:style>
  <w:style w:type="paragraph" w:styleId="Footer">
    <w:name w:val="footer"/>
    <w:basedOn w:val="Normal"/>
    <w:link w:val="FooterChar"/>
    <w:uiPriority w:val="99"/>
    <w:unhideWhenUsed/>
    <w:rsid w:val="00DB1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6AA"/>
  </w:style>
  <w:style w:type="character" w:styleId="LineNumber">
    <w:name w:val="line number"/>
    <w:basedOn w:val="DefaultParagraphFont"/>
    <w:uiPriority w:val="99"/>
    <w:semiHidden/>
    <w:unhideWhenUsed/>
    <w:rsid w:val="00DB16AA"/>
  </w:style>
</w:styles>
</file>

<file path=word/webSettings.xml><?xml version="1.0" encoding="utf-8"?>
<w:webSettings xmlns:r="http://schemas.openxmlformats.org/officeDocument/2006/relationships" xmlns:w="http://schemas.openxmlformats.org/wordprocessingml/2006/main">
  <w:divs>
    <w:div w:id="332951412">
      <w:bodyDiv w:val="1"/>
      <w:marLeft w:val="0"/>
      <w:marRight w:val="0"/>
      <w:marTop w:val="0"/>
      <w:marBottom w:val="0"/>
      <w:divBdr>
        <w:top w:val="none" w:sz="0" w:space="0" w:color="auto"/>
        <w:left w:val="none" w:sz="0" w:space="0" w:color="auto"/>
        <w:bottom w:val="none" w:sz="0" w:space="0" w:color="auto"/>
        <w:right w:val="none" w:sz="0" w:space="0" w:color="auto"/>
      </w:divBdr>
    </w:div>
    <w:div w:id="648824061">
      <w:bodyDiv w:val="1"/>
      <w:marLeft w:val="0"/>
      <w:marRight w:val="0"/>
      <w:marTop w:val="0"/>
      <w:marBottom w:val="0"/>
      <w:divBdr>
        <w:top w:val="none" w:sz="0" w:space="0" w:color="auto"/>
        <w:left w:val="none" w:sz="0" w:space="0" w:color="auto"/>
        <w:bottom w:val="none" w:sz="0" w:space="0" w:color="auto"/>
        <w:right w:val="none" w:sz="0" w:space="0" w:color="auto"/>
      </w:divBdr>
    </w:div>
    <w:div w:id="1270160614">
      <w:bodyDiv w:val="1"/>
      <w:marLeft w:val="0"/>
      <w:marRight w:val="0"/>
      <w:marTop w:val="0"/>
      <w:marBottom w:val="0"/>
      <w:divBdr>
        <w:top w:val="none" w:sz="0" w:space="0" w:color="auto"/>
        <w:left w:val="none" w:sz="0" w:space="0" w:color="auto"/>
        <w:bottom w:val="none" w:sz="0" w:space="0" w:color="auto"/>
        <w:right w:val="none" w:sz="0" w:space="0" w:color="auto"/>
      </w:divBdr>
    </w:div>
    <w:div w:id="1814788107">
      <w:bodyDiv w:val="1"/>
      <w:marLeft w:val="0"/>
      <w:marRight w:val="0"/>
      <w:marTop w:val="0"/>
      <w:marBottom w:val="0"/>
      <w:divBdr>
        <w:top w:val="none" w:sz="0" w:space="0" w:color="auto"/>
        <w:left w:val="none" w:sz="0" w:space="0" w:color="auto"/>
        <w:bottom w:val="none" w:sz="0" w:space="0" w:color="auto"/>
        <w:right w:val="none" w:sz="0" w:space="0" w:color="auto"/>
      </w:divBdr>
    </w:div>
    <w:div w:id="209508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2576A-97C2-4C11-87E3-4FA68CD9E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4785</Words>
  <Characters>27278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Stone</dc:creator>
  <cp:keywords/>
  <dc:description/>
  <cp:lastModifiedBy>0012268</cp:lastModifiedBy>
  <cp:revision>4</cp:revision>
  <dcterms:created xsi:type="dcterms:W3CDTF">2019-07-30T18:39:00Z</dcterms:created>
  <dcterms:modified xsi:type="dcterms:W3CDTF">2019-09-26T04:55:00Z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http://csl.mendeley.com/styles/488977711/vancouver-brackets</vt:lpwstr>
  </property>
  <property fmtid="{D5CDD505-2E9C-101B-9397-08002B2CF9AE}" pid="21" name="Mendeley Recent Style Name 9_1">
    <vt:lpwstr>Vancouver (brackets) - Jamie Stone</vt:lpwstr>
  </property>
  <property fmtid="{D5CDD505-2E9C-101B-9397-08002B2CF9AE}" pid="22" name="Mendeley Document_1">
    <vt:lpwstr>True</vt:lpwstr>
  </property>
  <property fmtid="{D5CDD505-2E9C-101B-9397-08002B2CF9AE}" pid="23" name="Mendeley Unique User Id_1">
    <vt:lpwstr>7c8235dc-7991-35dc-8dd0-97973d2c7dc5</vt:lpwstr>
  </property>
  <property fmtid="{D5CDD505-2E9C-101B-9397-08002B2CF9AE}" pid="24" name="Mendeley Citation Style_1">
    <vt:lpwstr>http://csl.mendeley.com/styles/488977711/vancouver-brackets</vt:lpwstr>
  </property>
</Properties>
</file>