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rFonts w:ascii="Times New Roman" w:cs="Times New Roman" w:eastAsia="Times New Roman" w:hAnsi="Times New Roman"/>
          <w:sz w:val="32"/>
          <w:szCs w:val="32"/>
        </w:rPr>
      </w:pPr>
      <w:bookmarkStart w:colFirst="0" w:colLast="0" w:name="_c9bslakcw4d8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Supplementary Material 4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Interpolation of metal concentrations for deep soil (D-2014 dataset) by ordinary kriging.</w:t>
      </w:r>
    </w:p>
    <w:p w:rsidR="00000000" w:rsidDel="00000000" w:rsidP="00000000" w:rsidRDefault="00000000" w:rsidRPr="00000000" w14:paraId="00000003">
      <w:pPr>
        <w:spacing w:line="480" w:lineRule="auto"/>
        <w:ind w:left="0" w:firstLine="0"/>
        <w:jc w:val="center"/>
        <w:rPr/>
      </w:pPr>
      <w:r w:rsidDel="00000000" w:rsidR="00000000" w:rsidRPr="00000000">
        <w:rPr>
          <w:b w:val="1"/>
        </w:rPr>
        <w:drawing>
          <wp:inline distB="114300" distT="114300" distL="114300" distR="114300">
            <wp:extent cx="6860020" cy="530534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60020" cy="53053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2240" w:w="15840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