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E20C" w14:textId="77777777" w:rsidR="00C96916" w:rsidRDefault="00C96916" w:rsidP="00B5553E">
      <w:pPr>
        <w:pStyle w:val="Caption"/>
        <w:keepNext/>
        <w:spacing w:before="0" w:beforeAutospacing="0" w:after="0" w:afterAutospacing="0"/>
        <w:ind w:left="284" w:right="254"/>
        <w:rPr>
          <w:b/>
          <w:bCs/>
          <w:sz w:val="22"/>
          <w:szCs w:val="22"/>
        </w:rPr>
      </w:pPr>
      <w:bookmarkStart w:id="0" w:name="_Toc108452476"/>
      <w:bookmarkStart w:id="1" w:name="_Ref95403514"/>
    </w:p>
    <w:p w14:paraId="28158402" w14:textId="77777777" w:rsidR="00C96916" w:rsidRDefault="00C96916" w:rsidP="00B5553E">
      <w:pPr>
        <w:pStyle w:val="Caption"/>
        <w:keepNext/>
        <w:spacing w:before="0" w:beforeAutospacing="0" w:after="0" w:afterAutospacing="0"/>
        <w:ind w:left="284" w:right="254"/>
        <w:rPr>
          <w:b/>
          <w:bCs/>
          <w:sz w:val="22"/>
          <w:szCs w:val="22"/>
        </w:rPr>
      </w:pPr>
    </w:p>
    <w:p w14:paraId="1DDC8BD2" w14:textId="0DFDDE52" w:rsidR="00C96916" w:rsidRDefault="00C96916" w:rsidP="00C96916">
      <w:pPr>
        <w:pStyle w:val="Caption"/>
        <w:keepNext/>
        <w:spacing w:before="0" w:beforeAutospacing="0" w:after="0" w:afterAutospacing="0"/>
        <w:ind w:left="284" w:right="25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F46AC1B" wp14:editId="44FE5D21">
            <wp:extent cx="2006600" cy="2210168"/>
            <wp:effectExtent l="0" t="0" r="0" b="0"/>
            <wp:docPr id="1549540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540209" name="Picture 154954020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668" cy="22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CC5CE" w14:textId="65533AA9" w:rsidR="00C96916" w:rsidRPr="00C96916" w:rsidRDefault="00C96916" w:rsidP="00C96916">
      <w:pPr>
        <w:pStyle w:val="Caption"/>
        <w:keepNext/>
        <w:spacing w:before="0" w:beforeAutospacing="0" w:after="0" w:afterAutospacing="0"/>
        <w:ind w:left="284" w:right="254"/>
        <w:rPr>
          <w:b/>
          <w:bCs/>
          <w:sz w:val="22"/>
          <w:szCs w:val="22"/>
        </w:rPr>
      </w:pPr>
      <w:r w:rsidRPr="00B5553E">
        <w:rPr>
          <w:b/>
          <w:bCs/>
          <w:sz w:val="22"/>
          <w:szCs w:val="22"/>
        </w:rPr>
        <w:t xml:space="preserve">Supplementary </w:t>
      </w:r>
      <w:r>
        <w:rPr>
          <w:b/>
          <w:bCs/>
          <w:sz w:val="22"/>
          <w:szCs w:val="22"/>
        </w:rPr>
        <w:t>Figure</w:t>
      </w:r>
      <w:r w:rsidRPr="00B5553E">
        <w:rPr>
          <w:b/>
          <w:bCs/>
          <w:sz w:val="22"/>
          <w:szCs w:val="22"/>
        </w:rPr>
        <w:t xml:space="preserve"> S1</w:t>
      </w:r>
      <w:r>
        <w:rPr>
          <w:b/>
          <w:bCs/>
          <w:sz w:val="22"/>
          <w:szCs w:val="22"/>
        </w:rPr>
        <w:t xml:space="preserve">: </w:t>
      </w:r>
      <w:r>
        <w:rPr>
          <w:sz w:val="22"/>
          <w:szCs w:val="22"/>
        </w:rPr>
        <w:t>Agarose gel electrophoresis denoting the p</w:t>
      </w:r>
      <w:r w:rsidRPr="00C96916">
        <w:rPr>
          <w:sz w:val="22"/>
          <w:szCs w:val="22"/>
        </w:rPr>
        <w:t xml:space="preserve">olymerase chain reaction (PCR) </w:t>
      </w:r>
      <w:r>
        <w:rPr>
          <w:sz w:val="22"/>
          <w:szCs w:val="22"/>
        </w:rPr>
        <w:t xml:space="preserve">amplicon of approximately 740 </w:t>
      </w:r>
      <w:r w:rsidRPr="00C96916">
        <w:rPr>
          <w:sz w:val="22"/>
          <w:szCs w:val="22"/>
        </w:rPr>
        <w:t>bp</w:t>
      </w:r>
      <w:r>
        <w:rPr>
          <w:sz w:val="22"/>
          <w:szCs w:val="22"/>
        </w:rPr>
        <w:t xml:space="preserve"> in length for </w:t>
      </w:r>
      <w:r w:rsidRPr="00C96916">
        <w:rPr>
          <w:i/>
          <w:iCs w:val="0"/>
          <w:sz w:val="22"/>
          <w:szCs w:val="22"/>
        </w:rPr>
        <w:t>Aspergillus niger</w:t>
      </w:r>
      <w:r w:rsidRPr="00C96916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C96916">
        <w:rPr>
          <w:sz w:val="22"/>
          <w:szCs w:val="22"/>
        </w:rPr>
        <w:t>CGJM4174</w:t>
      </w:r>
      <w:r>
        <w:rPr>
          <w:sz w:val="22"/>
          <w:szCs w:val="22"/>
        </w:rPr>
        <w:t>)</w:t>
      </w:r>
      <w:r w:rsidRPr="00C96916">
        <w:rPr>
          <w:sz w:val="22"/>
          <w:szCs w:val="22"/>
        </w:rPr>
        <w:t xml:space="preserve"> and </w:t>
      </w:r>
      <w:r w:rsidRPr="00C96916">
        <w:rPr>
          <w:i/>
          <w:iCs w:val="0"/>
          <w:sz w:val="22"/>
          <w:szCs w:val="22"/>
        </w:rPr>
        <w:t>Aspergillus candidus</w:t>
      </w:r>
      <w:r w:rsidRPr="00C96916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C96916">
        <w:rPr>
          <w:sz w:val="22"/>
          <w:szCs w:val="22"/>
        </w:rPr>
        <w:t>CGJM4177). Lane</w:t>
      </w:r>
      <w:r>
        <w:rPr>
          <w:sz w:val="22"/>
          <w:szCs w:val="22"/>
        </w:rPr>
        <w:t xml:space="preserve"> 1 denotes</w:t>
      </w:r>
      <w:r w:rsidRPr="00C96916">
        <w:rPr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 w:rsidRPr="00C96916">
        <w:rPr>
          <w:sz w:val="22"/>
          <w:szCs w:val="22"/>
        </w:rPr>
        <w:t>olecular marker (1</w:t>
      </w:r>
      <w:r>
        <w:rPr>
          <w:sz w:val="22"/>
          <w:szCs w:val="22"/>
        </w:rPr>
        <w:t>Kb</w:t>
      </w:r>
      <w:r w:rsidRPr="00C96916">
        <w:rPr>
          <w:sz w:val="22"/>
          <w:szCs w:val="22"/>
        </w:rPr>
        <w:t xml:space="preserve"> DNA ladder) (Thermo Fisher Scientific, Waltham, MA, USA). </w:t>
      </w:r>
    </w:p>
    <w:bookmarkEnd w:id="0"/>
    <w:bookmarkEnd w:id="1"/>
    <w:p w14:paraId="38B8376E" w14:textId="77777777" w:rsidR="00C96916" w:rsidRPr="00C96916" w:rsidRDefault="00C96916" w:rsidP="00C96916">
      <w:pPr>
        <w:pStyle w:val="Caption"/>
        <w:keepNext/>
        <w:spacing w:before="0" w:beforeAutospacing="0" w:after="0" w:afterAutospacing="0"/>
        <w:ind w:left="284" w:right="254"/>
        <w:jc w:val="center"/>
        <w:rPr>
          <w:sz w:val="22"/>
          <w:szCs w:val="22"/>
        </w:rPr>
      </w:pPr>
    </w:p>
    <w:sectPr w:rsidR="00C96916" w:rsidRPr="00C96916" w:rsidSect="0086015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53E"/>
    <w:rsid w:val="00286C58"/>
    <w:rsid w:val="0056751C"/>
    <w:rsid w:val="006A35AE"/>
    <w:rsid w:val="006D0730"/>
    <w:rsid w:val="0071103D"/>
    <w:rsid w:val="00731347"/>
    <w:rsid w:val="00860159"/>
    <w:rsid w:val="008B1579"/>
    <w:rsid w:val="00937927"/>
    <w:rsid w:val="009F1092"/>
    <w:rsid w:val="00B54592"/>
    <w:rsid w:val="00B5553E"/>
    <w:rsid w:val="00C96916"/>
    <w:rsid w:val="00CE073C"/>
    <w:rsid w:val="00D07B2B"/>
    <w:rsid w:val="00D56C78"/>
    <w:rsid w:val="00DD6B4A"/>
    <w:rsid w:val="00DF2029"/>
    <w:rsid w:val="00DF28AE"/>
    <w:rsid w:val="00E5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B65B030"/>
  <w15:chartTrackingRefBased/>
  <w15:docId w15:val="{CE822234-EFBC-EC48-99D1-8BA14BDE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53E"/>
    <w:pPr>
      <w:spacing w:before="100" w:beforeAutospacing="1" w:after="100" w:afterAutospacing="1" w:line="360" w:lineRule="auto"/>
      <w:ind w:firstLine="454"/>
      <w:jc w:val="both"/>
    </w:pPr>
    <w:rPr>
      <w:rFonts w:cstheme="minorBidi"/>
      <w:color w:val="00000A"/>
      <w:szCs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qFormat/>
    <w:rsid w:val="00B5553E"/>
    <w:pPr>
      <w:suppressLineNumbers/>
      <w:ind w:firstLine="0"/>
    </w:pPr>
    <w:rPr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7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Conrad Achilonu</dc:creator>
  <cp:keywords/>
  <dc:description/>
  <cp:lastModifiedBy>Conrad Achilonu</cp:lastModifiedBy>
  <cp:revision>4</cp:revision>
  <dcterms:created xsi:type="dcterms:W3CDTF">2023-12-27T13:57:00Z</dcterms:created>
  <dcterms:modified xsi:type="dcterms:W3CDTF">2023-12-27T14:11:00Z</dcterms:modified>
</cp:coreProperties>
</file>