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603" w:rsidRPr="00485355" w:rsidRDefault="005B4603" w:rsidP="005B4603">
      <w:pPr>
        <w:jc w:val="center"/>
        <w:rPr>
          <w:rFonts w:ascii="Times New Roman" w:hAnsi="Times New Roman" w:cs="Times New Roman"/>
          <w:b/>
          <w:sz w:val="20"/>
          <w:szCs w:val="20"/>
        </w:rPr>
      </w:pPr>
      <w:r w:rsidRPr="00485355">
        <w:rPr>
          <w:rFonts w:ascii="Times New Roman" w:hAnsi="Times New Roman" w:cs="Times New Roman"/>
          <w:b/>
          <w:sz w:val="20"/>
          <w:szCs w:val="20"/>
        </w:rPr>
        <w:t>Supplementary Materials</w:t>
      </w:r>
    </w:p>
    <w:p w:rsidR="005B4603" w:rsidRPr="00485355" w:rsidRDefault="005B4603" w:rsidP="005B4603">
      <w:pPr>
        <w:spacing w:before="240" w:line="480" w:lineRule="auto"/>
        <w:rPr>
          <w:rFonts w:ascii="Times New Roman" w:hAnsi="Times New Roman" w:cs="Times New Roman"/>
          <w:sz w:val="20"/>
          <w:szCs w:val="20"/>
        </w:rPr>
      </w:pPr>
      <w:r w:rsidRPr="00485355">
        <w:rPr>
          <w:rFonts w:ascii="Times New Roman" w:hAnsi="Times New Roman" w:cs="Times New Roman"/>
          <w:b/>
          <w:sz w:val="20"/>
          <w:szCs w:val="20"/>
          <w:lang w:eastAsia="en-GB"/>
        </w:rPr>
        <w:t>Case Descriptions</w:t>
      </w:r>
    </w:p>
    <w:p w:rsidR="005B4603" w:rsidRPr="00485355" w:rsidRDefault="005B4603" w:rsidP="005B4603">
      <w:pPr>
        <w:spacing w:before="240" w:line="480" w:lineRule="auto"/>
        <w:rPr>
          <w:rFonts w:ascii="Times New Roman" w:hAnsi="Times New Roman" w:cs="Times New Roman"/>
          <w:sz w:val="20"/>
          <w:szCs w:val="20"/>
        </w:rPr>
      </w:pPr>
      <w:r w:rsidRPr="00485355">
        <w:rPr>
          <w:rFonts w:ascii="Times New Roman" w:eastAsia="Times New Roman" w:hAnsi="Times New Roman" w:cs="Times New Roman"/>
          <w:sz w:val="20"/>
          <w:szCs w:val="20"/>
          <w:lang w:eastAsia="en-GB"/>
        </w:rPr>
        <w:tab/>
        <w:t>Below is a summary of the participating MBCT services, including the nature of MBCT provision as well as participant inclusion and exclusion characteristics. Information was collected by one of the authors, using semi-structured interviews with the lead MBCT practitioner representing each service.</w:t>
      </w:r>
    </w:p>
    <w:p w:rsidR="005B4603" w:rsidRPr="00485355" w:rsidRDefault="005B4603" w:rsidP="005B4603">
      <w:pPr>
        <w:spacing w:after="0" w:line="480" w:lineRule="auto"/>
        <w:ind w:firstLine="720"/>
        <w:rPr>
          <w:rFonts w:ascii="Times New Roman" w:hAnsi="Times New Roman" w:cs="Times New Roman"/>
          <w:b/>
          <w:sz w:val="20"/>
          <w:szCs w:val="20"/>
        </w:rPr>
      </w:pPr>
      <w:r w:rsidRPr="00485355">
        <w:rPr>
          <w:rFonts w:ascii="Times New Roman" w:hAnsi="Times New Roman" w:cs="Times New Roman"/>
          <w:b/>
          <w:sz w:val="20"/>
          <w:szCs w:val="20"/>
        </w:rPr>
        <w:t>Prim</w:t>
      </w:r>
      <w:bookmarkStart w:id="0" w:name="_GoBack"/>
      <w:bookmarkEnd w:id="0"/>
      <w:r w:rsidRPr="00485355">
        <w:rPr>
          <w:rFonts w:ascii="Times New Roman" w:hAnsi="Times New Roman" w:cs="Times New Roman"/>
          <w:b/>
          <w:sz w:val="20"/>
          <w:szCs w:val="20"/>
        </w:rPr>
        <w:t>ary care services (IAPT)</w:t>
      </w:r>
    </w:p>
    <w:p w:rsidR="005B4603" w:rsidRPr="00485355" w:rsidRDefault="005B4603" w:rsidP="005B4603">
      <w:pPr>
        <w:spacing w:after="0" w:line="480" w:lineRule="auto"/>
        <w:ind w:firstLine="720"/>
        <w:rPr>
          <w:rFonts w:ascii="Times New Roman" w:eastAsia="Times New Roman" w:hAnsi="Times New Roman" w:cs="Times New Roman"/>
          <w:sz w:val="20"/>
          <w:szCs w:val="20"/>
          <w:lang w:eastAsia="en-GB"/>
        </w:rPr>
      </w:pPr>
      <w:r w:rsidRPr="00485355">
        <w:rPr>
          <w:rStyle w:val="Heading2Char"/>
          <w:i/>
          <w:sz w:val="20"/>
          <w:szCs w:val="20"/>
        </w:rPr>
        <w:t>Swallow</w:t>
      </w:r>
      <w:r w:rsidRPr="00485355">
        <w:rPr>
          <w:i/>
          <w:sz w:val="20"/>
          <w:szCs w:val="20"/>
        </w:rPr>
        <w:t>.</w:t>
      </w:r>
      <w:r w:rsidRPr="00485355">
        <w:t xml:space="preserve"> </w:t>
      </w:r>
      <w:r w:rsidRPr="00485355">
        <w:rPr>
          <w:rFonts w:ascii="Times New Roman" w:eastAsia="Times New Roman" w:hAnsi="Times New Roman" w:cs="Times New Roman"/>
          <w:sz w:val="20"/>
          <w:szCs w:val="20"/>
          <w:lang w:eastAsia="en-GB"/>
        </w:rPr>
        <w:t xml:space="preserve">Swallow was an IAPT service established in 2009. MBCT courses began in 2012, offered roughly four times per year. Six MBCT teachers were employed over the timescale of the dataset, together corresponding to 0.4 whole time equivalent staff. </w:t>
      </w:r>
      <w:proofErr w:type="gramStart"/>
      <w:r w:rsidRPr="00485355">
        <w:rPr>
          <w:rFonts w:ascii="Times New Roman" w:eastAsia="Times New Roman" w:hAnsi="Times New Roman" w:cs="Times New Roman"/>
          <w:sz w:val="20"/>
          <w:szCs w:val="20"/>
          <w:lang w:eastAsia="en-GB"/>
        </w:rPr>
        <w:t>These staff were</w:t>
      </w:r>
      <w:proofErr w:type="gramEnd"/>
      <w:r w:rsidRPr="00485355">
        <w:rPr>
          <w:rFonts w:ascii="Times New Roman" w:eastAsia="Times New Roman" w:hAnsi="Times New Roman" w:cs="Times New Roman"/>
          <w:sz w:val="20"/>
          <w:szCs w:val="20"/>
          <w:lang w:eastAsia="en-GB"/>
        </w:rPr>
        <w:t xml:space="preserve"> either dedicated MBCT teachers or other mental health professionals who had undergone five days of intensive MBCT training. The MBCT </w:t>
      </w:r>
      <w:proofErr w:type="spellStart"/>
      <w:r w:rsidRPr="00485355">
        <w:rPr>
          <w:rFonts w:ascii="Times New Roman" w:eastAsia="Times New Roman" w:hAnsi="Times New Roman" w:cs="Times New Roman"/>
          <w:sz w:val="20"/>
          <w:szCs w:val="20"/>
          <w:lang w:eastAsia="en-GB"/>
        </w:rPr>
        <w:t>programme</w:t>
      </w:r>
      <w:proofErr w:type="spellEnd"/>
      <w:r w:rsidRPr="00485355">
        <w:rPr>
          <w:rFonts w:ascii="Times New Roman" w:eastAsia="Times New Roman" w:hAnsi="Times New Roman" w:cs="Times New Roman"/>
          <w:sz w:val="20"/>
          <w:szCs w:val="20"/>
          <w:lang w:eastAsia="en-GB"/>
        </w:rPr>
        <w:t xml:space="preserve"> consisted of an orientation followed by eight weekly sessions. The service was provided for adults with mild symptoms of depression or anxiety. Previously, MBCT had been restricted to people presenting with depression as their primary problem, but the service had recently been extended to people experiencing anxiety disorders. The inclusion criteria were: a history of depression or anxiety, age 18 years or over, living or having a GP in the borough, and willingness to engage in a group intervention. Exclusion criteria were: high risk of suicide, dependency on alcohol and/or substances, primary diagnosis of a severe mental health problem (e.g. psychotic illness, personality disorder). Patients could self-refer to the service or be referred by their General Practitioner. Up to 15 people were invited to attend in each</w:t>
      </w:r>
      <w:r w:rsidRPr="00485355">
        <w:rPr>
          <w:rFonts w:ascii="Times New Roman" w:eastAsia="Times New Roman" w:hAnsi="Times New Roman" w:cs="Times New Roman"/>
          <w:b/>
          <w:sz w:val="20"/>
          <w:szCs w:val="20"/>
          <w:lang w:eastAsia="en-GB"/>
        </w:rPr>
        <w:t xml:space="preserve"> </w:t>
      </w:r>
      <w:r w:rsidRPr="00485355">
        <w:rPr>
          <w:rFonts w:ascii="Times New Roman" w:eastAsia="Times New Roman" w:hAnsi="Times New Roman" w:cs="Times New Roman"/>
          <w:sz w:val="20"/>
          <w:szCs w:val="20"/>
          <w:lang w:eastAsia="en-GB"/>
        </w:rPr>
        <w:t xml:space="preserve">group, but on average 6-8 service users attended, with 1-2 teachers. </w:t>
      </w:r>
      <w:r w:rsidRPr="00485355">
        <w:rPr>
          <w:rFonts w:ascii="Times New Roman" w:hAnsi="Times New Roman" w:cs="Times New Roman"/>
          <w:sz w:val="20"/>
          <w:szCs w:val="20"/>
        </w:rPr>
        <w:t>Data were collected from service users over a six-year period from 2012 – 2017. The data included sociodemographic measures of age, gender, ethnicity, employment status, and number of sessions attended.</w:t>
      </w:r>
    </w:p>
    <w:p w:rsidR="005B4603" w:rsidRPr="00485355" w:rsidRDefault="005B4603" w:rsidP="005B4603">
      <w:pPr>
        <w:spacing w:before="240" w:line="480" w:lineRule="auto"/>
        <w:ind w:firstLine="720"/>
        <w:rPr>
          <w:rFonts w:ascii="Times New Roman" w:eastAsia="Times New Roman" w:hAnsi="Times New Roman" w:cs="Times New Roman"/>
          <w:sz w:val="20"/>
          <w:szCs w:val="20"/>
          <w:lang w:eastAsia="en-GB"/>
        </w:rPr>
      </w:pPr>
      <w:r w:rsidRPr="00485355">
        <w:rPr>
          <w:rFonts w:ascii="Times New Roman" w:eastAsia="Times New Roman" w:hAnsi="Times New Roman" w:cs="Times New Roman"/>
          <w:b/>
          <w:i/>
          <w:sz w:val="20"/>
          <w:szCs w:val="20"/>
          <w:lang w:eastAsia="en-GB"/>
        </w:rPr>
        <w:t>Robin.</w:t>
      </w:r>
      <w:r w:rsidRPr="00485355">
        <w:rPr>
          <w:rFonts w:ascii="Times New Roman" w:eastAsia="Times New Roman" w:hAnsi="Times New Roman" w:cs="Times New Roman"/>
          <w:i/>
          <w:sz w:val="20"/>
          <w:szCs w:val="20"/>
          <w:lang w:eastAsia="en-GB"/>
        </w:rPr>
        <w:t xml:space="preserve"> </w:t>
      </w:r>
      <w:r w:rsidRPr="00485355">
        <w:rPr>
          <w:rFonts w:ascii="Times New Roman" w:eastAsia="Times New Roman" w:hAnsi="Times New Roman" w:cs="Times New Roman"/>
          <w:sz w:val="20"/>
          <w:szCs w:val="20"/>
          <w:lang w:eastAsia="en-GB"/>
        </w:rPr>
        <w:t xml:space="preserve">Robin was an IAPT service providing psychological therapies to adults with mild-to-moderate, common mental health problems. MBCT courses began in 2010, offered at least five times per year. Ten MBCT teachers were employed at the time of interview, together forming one whole time equivalent post. The NHS trust had its own accredited ‘Mindfulness Centre’, where existing staff could follow a one-year, part-time training pathway to teach MBCT, with ongoing supervision and workshops. All MBCT teachers were qualified mental health professionals. The MBCT </w:t>
      </w:r>
      <w:proofErr w:type="spellStart"/>
      <w:r w:rsidRPr="00485355">
        <w:rPr>
          <w:rFonts w:ascii="Times New Roman" w:eastAsia="Times New Roman" w:hAnsi="Times New Roman" w:cs="Times New Roman"/>
          <w:sz w:val="20"/>
          <w:szCs w:val="20"/>
          <w:lang w:eastAsia="en-GB"/>
        </w:rPr>
        <w:t>programme</w:t>
      </w:r>
      <w:proofErr w:type="spellEnd"/>
      <w:r w:rsidRPr="00485355">
        <w:rPr>
          <w:rFonts w:ascii="Times New Roman" w:eastAsia="Times New Roman" w:hAnsi="Times New Roman" w:cs="Times New Roman"/>
          <w:sz w:val="20"/>
          <w:szCs w:val="20"/>
          <w:lang w:eastAsia="en-GB"/>
        </w:rPr>
        <w:t xml:space="preserve"> consisted of an orientation followed by eight weekly sessions. The MBCT service did not use strict inclusion or exclusion criteria, and clinical judgement was used to determine a person’s eligibility to participate. Generally, patients had recurrent depression and were either in remission or close to remission. Patients could self-refer to the service or be referred by their General </w:t>
      </w:r>
      <w:r w:rsidRPr="00485355">
        <w:rPr>
          <w:rFonts w:ascii="Times New Roman" w:eastAsia="Times New Roman" w:hAnsi="Times New Roman" w:cs="Times New Roman"/>
          <w:sz w:val="20"/>
          <w:szCs w:val="20"/>
          <w:lang w:eastAsia="en-GB"/>
        </w:rPr>
        <w:lastRenderedPageBreak/>
        <w:t xml:space="preserve">Practitioner. Up to 15 people were invited to attend each group, with two teachers. </w:t>
      </w:r>
      <w:r w:rsidRPr="00485355">
        <w:rPr>
          <w:rFonts w:ascii="Times New Roman" w:hAnsi="Times New Roman" w:cs="Times New Roman"/>
          <w:sz w:val="20"/>
          <w:szCs w:val="20"/>
        </w:rPr>
        <w:t xml:space="preserve">Data were collected from service users over a seven year period from 2010 – 2017. The data included sociodemographic measures of age, gender, ethnicity, and number of sessions attended. </w:t>
      </w:r>
    </w:p>
    <w:p w:rsidR="005B4603" w:rsidRPr="00485355" w:rsidRDefault="005B4603" w:rsidP="005B4603">
      <w:pPr>
        <w:spacing w:before="240" w:line="480" w:lineRule="auto"/>
        <w:ind w:firstLine="720"/>
        <w:rPr>
          <w:rFonts w:ascii="Times New Roman" w:eastAsia="Times New Roman" w:hAnsi="Times New Roman" w:cs="Times New Roman"/>
          <w:sz w:val="20"/>
          <w:szCs w:val="20"/>
          <w:lang w:eastAsia="en-GB"/>
        </w:rPr>
      </w:pPr>
      <w:proofErr w:type="gramStart"/>
      <w:r w:rsidRPr="00485355">
        <w:rPr>
          <w:rFonts w:ascii="Times New Roman" w:eastAsia="Times New Roman" w:hAnsi="Times New Roman" w:cs="Times New Roman"/>
          <w:b/>
          <w:i/>
          <w:sz w:val="20"/>
          <w:szCs w:val="20"/>
          <w:lang w:eastAsia="en-GB"/>
        </w:rPr>
        <w:t>Jackdaw.</w:t>
      </w:r>
      <w:proofErr w:type="gramEnd"/>
      <w:r w:rsidRPr="00485355">
        <w:rPr>
          <w:rFonts w:ascii="Times New Roman" w:eastAsia="Times New Roman" w:hAnsi="Times New Roman" w:cs="Times New Roman"/>
          <w:sz w:val="20"/>
          <w:szCs w:val="20"/>
          <w:lang w:eastAsia="en-GB"/>
        </w:rPr>
        <w:t xml:space="preserve"> Jackdaw was an IAPT service established in 2009, offering a range of mental health support for adults with common mental health problems such as low mood, stress, anxiety and depression. MBCT courses began in 2010, offered at least nine times per year. At the time of interview there were three MBCT teachers, together corresponding to 1.5 whole time equivalent staff. The NHS trust had its own accredited Mindfulness Centre and a one-year training pathway with ongoing supervision and seminars. The MBCT </w:t>
      </w:r>
      <w:proofErr w:type="spellStart"/>
      <w:r w:rsidRPr="00485355">
        <w:rPr>
          <w:rFonts w:ascii="Times New Roman" w:eastAsia="Times New Roman" w:hAnsi="Times New Roman" w:cs="Times New Roman"/>
          <w:sz w:val="20"/>
          <w:szCs w:val="20"/>
          <w:lang w:eastAsia="en-GB"/>
        </w:rPr>
        <w:t>programme</w:t>
      </w:r>
      <w:proofErr w:type="spellEnd"/>
      <w:r w:rsidRPr="00485355">
        <w:rPr>
          <w:rFonts w:ascii="Times New Roman" w:eastAsia="Times New Roman" w:hAnsi="Times New Roman" w:cs="Times New Roman"/>
          <w:sz w:val="20"/>
          <w:szCs w:val="20"/>
          <w:lang w:eastAsia="en-GB"/>
        </w:rPr>
        <w:t xml:space="preserve"> consisted of an orientation followed by eight weekly sessions. The MBCT service did not have strict inclusion or exclusion criteria. Rather, clinical judgment was used to determine a person’s eligibility to participate. MBCT was offered to adults experiencing depression and/or anxiety, most commonly as a second-line treatment after another form of therapy. Generally, patients experiencing psychosis, trauma, or recent bereavement were excluded. Patients could self-refer to the service or be referred by their General Practitioner. Up to 15 people were invited to attend each group, with two teachers. </w:t>
      </w:r>
      <w:r w:rsidRPr="00485355">
        <w:rPr>
          <w:rFonts w:ascii="Times New Roman" w:hAnsi="Times New Roman" w:cs="Times New Roman"/>
          <w:sz w:val="20"/>
          <w:szCs w:val="20"/>
        </w:rPr>
        <w:t xml:space="preserve">Data were collected from service users over a seven-year period from 2010 – 2017. The data included sociodemographic measures of age, gender, employment, ethnicity, and number of sessions attended. </w:t>
      </w:r>
    </w:p>
    <w:p w:rsidR="005B4603" w:rsidRPr="00485355" w:rsidRDefault="005B4603" w:rsidP="005B4603">
      <w:pPr>
        <w:spacing w:before="240" w:line="480" w:lineRule="auto"/>
        <w:ind w:firstLine="720"/>
        <w:rPr>
          <w:rFonts w:ascii="Times New Roman" w:hAnsi="Times New Roman" w:cs="Times New Roman"/>
          <w:b/>
          <w:sz w:val="20"/>
          <w:szCs w:val="20"/>
        </w:rPr>
      </w:pPr>
      <w:r w:rsidRPr="00485355">
        <w:rPr>
          <w:rFonts w:ascii="Times New Roman" w:hAnsi="Times New Roman" w:cs="Times New Roman"/>
          <w:b/>
          <w:sz w:val="20"/>
          <w:szCs w:val="20"/>
        </w:rPr>
        <w:t>Mixed primary/second</w:t>
      </w:r>
      <w:r>
        <w:rPr>
          <w:rFonts w:ascii="Times New Roman" w:hAnsi="Times New Roman" w:cs="Times New Roman"/>
          <w:b/>
          <w:sz w:val="20"/>
          <w:szCs w:val="20"/>
        </w:rPr>
        <w:t>ary and secondary care services</w:t>
      </w:r>
    </w:p>
    <w:p w:rsidR="005B4603" w:rsidRPr="00485355" w:rsidRDefault="005B4603" w:rsidP="005B4603">
      <w:pPr>
        <w:spacing w:line="480" w:lineRule="auto"/>
        <w:ind w:firstLine="720"/>
        <w:rPr>
          <w:rFonts w:ascii="Times New Roman" w:eastAsia="Times New Roman" w:hAnsi="Times New Roman" w:cs="Times New Roman"/>
          <w:sz w:val="20"/>
          <w:szCs w:val="20"/>
          <w:lang w:eastAsia="en-GB"/>
        </w:rPr>
      </w:pPr>
      <w:proofErr w:type="gramStart"/>
      <w:r w:rsidRPr="00485355">
        <w:rPr>
          <w:rFonts w:ascii="Times New Roman" w:eastAsia="Times New Roman" w:hAnsi="Times New Roman" w:cs="Times New Roman"/>
          <w:b/>
          <w:i/>
          <w:sz w:val="20"/>
          <w:szCs w:val="20"/>
          <w:lang w:eastAsia="en-GB"/>
        </w:rPr>
        <w:t>Woodpecker.</w:t>
      </w:r>
      <w:proofErr w:type="gramEnd"/>
      <w:r w:rsidRPr="00485355">
        <w:rPr>
          <w:rFonts w:ascii="Times New Roman" w:eastAsia="Times New Roman" w:hAnsi="Times New Roman" w:cs="Times New Roman"/>
          <w:b/>
          <w:sz w:val="20"/>
          <w:szCs w:val="20"/>
          <w:lang w:eastAsia="en-GB"/>
        </w:rPr>
        <w:t xml:space="preserve"> </w:t>
      </w:r>
      <w:r w:rsidRPr="00485355">
        <w:rPr>
          <w:rFonts w:ascii="Times New Roman" w:eastAsia="Times New Roman" w:hAnsi="Times New Roman" w:cs="Times New Roman"/>
          <w:sz w:val="20"/>
          <w:szCs w:val="20"/>
          <w:lang w:eastAsia="en-GB"/>
        </w:rPr>
        <w:t xml:space="preserve">Woodpecker was a secondary care service established in 2012 for patients needing specialist mental healthcare, offering 2-4 MBCT courses per year. Woodpecker belongs to the same NHS trust as Jackdaw, but Jackdaw and Woodpecker were distinct MBCT services offered to different patient populations. At the time of interview, the service had 12 MBCT teachers who were all mental health professionals (mostly clinical psychologists), together corresponding to 0.5 whole time equivalent staff. As with Jackdaw, the MBCT teachers had undergone a one-year supervised training pathway at the NHS trust’s Mindfulness Centre. The MBCT </w:t>
      </w:r>
      <w:proofErr w:type="spellStart"/>
      <w:r w:rsidRPr="00485355">
        <w:rPr>
          <w:rFonts w:ascii="Times New Roman" w:eastAsia="Times New Roman" w:hAnsi="Times New Roman" w:cs="Times New Roman"/>
          <w:sz w:val="20"/>
          <w:szCs w:val="20"/>
          <w:lang w:eastAsia="en-GB"/>
        </w:rPr>
        <w:t>programme</w:t>
      </w:r>
      <w:proofErr w:type="spellEnd"/>
      <w:r w:rsidRPr="00485355">
        <w:rPr>
          <w:rFonts w:ascii="Times New Roman" w:eastAsia="Times New Roman" w:hAnsi="Times New Roman" w:cs="Times New Roman"/>
          <w:sz w:val="20"/>
          <w:szCs w:val="20"/>
          <w:lang w:eastAsia="en-GB"/>
        </w:rPr>
        <w:t xml:space="preserve"> consisted of an orientation followed by eight weekly sessions. MBCT was offered on the basis of clinical judgement, to adults experiencing depression and/or anxiety, most commonly as a second-line treatment after another form of therapy. However, given that the service was for patients receiving secondary care, patients would typically be expected to have more severe and complex mental health problems those taking part in MBCT with Jackdaw. Up to 15 people were invited to attend each group, with two teachers. </w:t>
      </w:r>
      <w:r w:rsidRPr="00485355">
        <w:rPr>
          <w:rFonts w:ascii="Times New Roman" w:hAnsi="Times New Roman" w:cs="Times New Roman"/>
          <w:sz w:val="20"/>
          <w:szCs w:val="20"/>
        </w:rPr>
        <w:t xml:space="preserve">Data </w:t>
      </w:r>
      <w:r w:rsidRPr="00485355">
        <w:rPr>
          <w:rFonts w:ascii="Times New Roman" w:hAnsi="Times New Roman" w:cs="Times New Roman"/>
          <w:sz w:val="20"/>
          <w:szCs w:val="20"/>
        </w:rPr>
        <w:lastRenderedPageBreak/>
        <w:t xml:space="preserve">were collected from service users over a five-year period from 2012 – 2017. The data included sociodemographic measures of age and gender, but no information on the number of sessions attended. </w:t>
      </w:r>
    </w:p>
    <w:p w:rsidR="005B4603" w:rsidRPr="00485355" w:rsidRDefault="005B4603" w:rsidP="005B4603">
      <w:pPr>
        <w:spacing w:line="480" w:lineRule="auto"/>
        <w:ind w:firstLine="720"/>
        <w:rPr>
          <w:rFonts w:ascii="Times New Roman" w:hAnsi="Times New Roman" w:cs="Times New Roman"/>
        </w:rPr>
      </w:pPr>
      <w:proofErr w:type="gramStart"/>
      <w:r w:rsidRPr="00485355">
        <w:rPr>
          <w:rFonts w:ascii="Times New Roman" w:eastAsia="Times New Roman" w:hAnsi="Times New Roman" w:cs="Times New Roman"/>
          <w:b/>
          <w:i/>
          <w:sz w:val="20"/>
          <w:szCs w:val="20"/>
          <w:lang w:eastAsia="en-GB"/>
        </w:rPr>
        <w:t>Blackbird.</w:t>
      </w:r>
      <w:proofErr w:type="gramEnd"/>
      <w:r w:rsidRPr="00485355">
        <w:rPr>
          <w:rFonts w:ascii="Times New Roman" w:eastAsia="Times New Roman" w:hAnsi="Times New Roman" w:cs="Times New Roman"/>
          <w:b/>
          <w:sz w:val="20"/>
          <w:szCs w:val="20"/>
          <w:lang w:eastAsia="en-GB"/>
        </w:rPr>
        <w:t xml:space="preserve"> </w:t>
      </w:r>
      <w:r w:rsidRPr="00485355">
        <w:rPr>
          <w:rFonts w:ascii="Times New Roman" w:eastAsia="Times New Roman" w:hAnsi="Times New Roman" w:cs="Times New Roman"/>
          <w:sz w:val="20"/>
          <w:szCs w:val="20"/>
          <w:lang w:eastAsia="en-GB"/>
        </w:rPr>
        <w:t xml:space="preserve">Blackbird was an MBCT service established in 2015, available to a mixed group of patients across both primary and secondary care, initially offering approximately 15 courses per year. At the time of interview, </w:t>
      </w:r>
      <w:proofErr w:type="gramStart"/>
      <w:r w:rsidRPr="00485355">
        <w:rPr>
          <w:rFonts w:ascii="Times New Roman" w:eastAsia="Times New Roman" w:hAnsi="Times New Roman" w:cs="Times New Roman"/>
          <w:sz w:val="20"/>
          <w:szCs w:val="20"/>
          <w:lang w:eastAsia="en-GB"/>
        </w:rPr>
        <w:t>6</w:t>
      </w:r>
      <w:proofErr w:type="gramEnd"/>
      <w:r w:rsidRPr="00485355">
        <w:rPr>
          <w:rFonts w:ascii="Times New Roman" w:eastAsia="Times New Roman" w:hAnsi="Times New Roman" w:cs="Times New Roman"/>
          <w:sz w:val="20"/>
          <w:szCs w:val="20"/>
          <w:lang w:eastAsia="en-GB"/>
        </w:rPr>
        <w:t xml:space="preserve"> MBCT teachers were employed, together corresponding to 3.6 whole time equivalent staff. MBCT teachers had undergone a variety of </w:t>
      </w:r>
      <w:proofErr w:type="gramStart"/>
      <w:r w:rsidRPr="00485355">
        <w:rPr>
          <w:rFonts w:ascii="Times New Roman" w:eastAsia="Times New Roman" w:hAnsi="Times New Roman" w:cs="Times New Roman"/>
          <w:sz w:val="20"/>
          <w:szCs w:val="20"/>
          <w:lang w:eastAsia="en-GB"/>
        </w:rPr>
        <w:t>trainings,</w:t>
      </w:r>
      <w:proofErr w:type="gramEnd"/>
      <w:r w:rsidRPr="00485355">
        <w:rPr>
          <w:rFonts w:ascii="Times New Roman" w:eastAsia="Times New Roman" w:hAnsi="Times New Roman" w:cs="Times New Roman"/>
          <w:sz w:val="20"/>
          <w:szCs w:val="20"/>
          <w:lang w:eastAsia="en-GB"/>
        </w:rPr>
        <w:t xml:space="preserve"> including a one-year supervised training pathway at the NHS trust’s own accredited Mindfulness Centre. The MBCT </w:t>
      </w:r>
      <w:proofErr w:type="spellStart"/>
      <w:r w:rsidRPr="00485355">
        <w:rPr>
          <w:rFonts w:ascii="Times New Roman" w:eastAsia="Times New Roman" w:hAnsi="Times New Roman" w:cs="Times New Roman"/>
          <w:sz w:val="20"/>
          <w:szCs w:val="20"/>
          <w:lang w:eastAsia="en-GB"/>
        </w:rPr>
        <w:t>programme</w:t>
      </w:r>
      <w:proofErr w:type="spellEnd"/>
      <w:r w:rsidRPr="00485355">
        <w:rPr>
          <w:rFonts w:ascii="Times New Roman" w:eastAsia="Times New Roman" w:hAnsi="Times New Roman" w:cs="Times New Roman"/>
          <w:sz w:val="20"/>
          <w:szCs w:val="20"/>
          <w:lang w:eastAsia="en-GB"/>
        </w:rPr>
        <w:t xml:space="preserve"> consisted of a two-hour taster session, followed by a telephone assessment, eight weekly sessions, and a full day of mindfulness practice. MBCT courses were offered to adults who had experienced recurrent depression, for symptom reduction as well as relapse prevention. There were no strict inclusion or exclusion criteria, but generally MBCT was offered to people with three or more previous episodes of depression, who were still eligible to participate even if they were currently experiencing significant depressive symptoms. The courses were also offered to </w:t>
      </w:r>
      <w:proofErr w:type="gramStart"/>
      <w:r w:rsidRPr="00485355">
        <w:rPr>
          <w:rFonts w:ascii="Times New Roman" w:eastAsia="Times New Roman" w:hAnsi="Times New Roman" w:cs="Times New Roman"/>
          <w:sz w:val="20"/>
          <w:szCs w:val="20"/>
          <w:lang w:eastAsia="en-GB"/>
        </w:rPr>
        <w:t>stressed</w:t>
      </w:r>
      <w:proofErr w:type="gramEnd"/>
      <w:r w:rsidRPr="00485355">
        <w:rPr>
          <w:rFonts w:ascii="Times New Roman" w:eastAsia="Times New Roman" w:hAnsi="Times New Roman" w:cs="Times New Roman"/>
          <w:sz w:val="20"/>
          <w:szCs w:val="20"/>
          <w:lang w:eastAsia="en-GB"/>
        </w:rPr>
        <w:t xml:space="preserve"> </w:t>
      </w:r>
      <w:proofErr w:type="spellStart"/>
      <w:r w:rsidRPr="00485355">
        <w:rPr>
          <w:rFonts w:ascii="Times New Roman" w:eastAsia="Times New Roman" w:hAnsi="Times New Roman" w:cs="Times New Roman"/>
          <w:sz w:val="20"/>
          <w:szCs w:val="20"/>
          <w:lang w:eastAsia="en-GB"/>
        </w:rPr>
        <w:t>carers</w:t>
      </w:r>
      <w:proofErr w:type="spellEnd"/>
      <w:r w:rsidRPr="00485355">
        <w:rPr>
          <w:rFonts w:ascii="Times New Roman" w:eastAsia="Times New Roman" w:hAnsi="Times New Roman" w:cs="Times New Roman"/>
          <w:sz w:val="20"/>
          <w:szCs w:val="20"/>
          <w:lang w:eastAsia="en-GB"/>
        </w:rPr>
        <w:t xml:space="preserve"> and parents of patients, and some of the courses were also open to NHS trust staff. Because the groups were mixed, minor adaptations were made to the original course materials to make them suitable for the range of people attending (i.e. taking out some depression-specific terminology). Data analysis for the present study was limited to the patients identified as having recurrent depression. Patients accessed the service through self-referral. The service was open to patients from both primary and secondary care settings. Up to 20 people were invited to attend in each group, but on average 12-15 service users attended, with usually just one teacher</w:t>
      </w:r>
      <w:proofErr w:type="gramStart"/>
      <w:r w:rsidRPr="00485355">
        <w:rPr>
          <w:rFonts w:ascii="Times New Roman" w:eastAsia="Times New Roman" w:hAnsi="Times New Roman" w:cs="Times New Roman"/>
          <w:sz w:val="20"/>
          <w:szCs w:val="20"/>
          <w:lang w:eastAsia="en-GB"/>
        </w:rPr>
        <w:t xml:space="preserve">.  </w:t>
      </w:r>
      <w:proofErr w:type="gramEnd"/>
      <w:r w:rsidRPr="00485355">
        <w:rPr>
          <w:rFonts w:ascii="Times New Roman" w:hAnsi="Times New Roman" w:cs="Times New Roman"/>
          <w:sz w:val="20"/>
          <w:szCs w:val="20"/>
        </w:rPr>
        <w:t>Data were collected from service users over a two-year period from 2015 – 2017. The data included sociodemographic measures of age and gender, and the number of sessions attended.</w:t>
      </w:r>
    </w:p>
    <w:p w:rsidR="005B4603" w:rsidRPr="00485355" w:rsidRDefault="005B4603" w:rsidP="005B4603">
      <w:pPr>
        <w:spacing w:after="0" w:line="480" w:lineRule="auto"/>
        <w:ind w:left="567" w:hanging="567"/>
        <w:rPr>
          <w:rFonts w:ascii="Times New Roman" w:hAnsi="Times New Roman" w:cs="Times New Roman"/>
          <w:color w:val="222222"/>
          <w:sz w:val="20"/>
          <w:szCs w:val="20"/>
        </w:rPr>
      </w:pPr>
    </w:p>
    <w:p w:rsidR="005B4603" w:rsidRPr="00485355" w:rsidRDefault="005B4603" w:rsidP="005B4603">
      <w:pPr>
        <w:rPr>
          <w:rFonts w:ascii="Times New Roman" w:hAnsi="Times New Roman" w:cs="Times New Roman"/>
          <w:sz w:val="20"/>
          <w:szCs w:val="20"/>
        </w:rPr>
      </w:pPr>
    </w:p>
    <w:p w:rsidR="005B4603" w:rsidRDefault="005B4603" w:rsidP="005B4603">
      <w:pPr>
        <w:spacing w:after="0"/>
        <w:rPr>
          <w:rFonts w:ascii="Times New Roman" w:hAnsi="Times New Roman" w:cs="Times New Roman"/>
          <w:b/>
          <w:sz w:val="20"/>
          <w:szCs w:val="20"/>
        </w:rPr>
      </w:pPr>
    </w:p>
    <w:p w:rsidR="005B4603" w:rsidRDefault="005B4603" w:rsidP="005B4603">
      <w:pPr>
        <w:spacing w:after="0"/>
        <w:rPr>
          <w:rFonts w:ascii="Times New Roman" w:hAnsi="Times New Roman" w:cs="Times New Roman"/>
          <w:b/>
          <w:sz w:val="20"/>
          <w:szCs w:val="20"/>
        </w:rPr>
      </w:pPr>
    </w:p>
    <w:p w:rsidR="005B4603" w:rsidRPr="00485355" w:rsidRDefault="005B4603" w:rsidP="005B4603">
      <w:pPr>
        <w:spacing w:after="0"/>
        <w:rPr>
          <w:rFonts w:ascii="Times New Roman" w:hAnsi="Times New Roman" w:cs="Times New Roman"/>
          <w:b/>
          <w:sz w:val="24"/>
          <w:szCs w:val="24"/>
        </w:rPr>
        <w:sectPr w:rsidR="005B4603" w:rsidRPr="00485355">
          <w:pgSz w:w="11906" w:h="16838"/>
          <w:pgMar w:top="1440" w:right="1440" w:bottom="1440" w:left="1440" w:header="709" w:footer="709" w:gutter="0"/>
          <w:cols w:space="720"/>
        </w:sectPr>
      </w:pPr>
    </w:p>
    <w:tbl>
      <w:tblPr>
        <w:tblStyle w:val="TableGrid"/>
        <w:tblpPr w:leftFromText="180" w:rightFromText="180" w:vertAnchor="page" w:horzAnchor="margin" w:tblpY="2506"/>
        <w:tblW w:w="0" w:type="auto"/>
        <w:tblLook w:val="04A0" w:firstRow="1" w:lastRow="0" w:firstColumn="1" w:lastColumn="0" w:noHBand="0" w:noVBand="1"/>
      </w:tblPr>
      <w:tblGrid>
        <w:gridCol w:w="1378"/>
        <w:gridCol w:w="682"/>
        <w:gridCol w:w="933"/>
        <w:gridCol w:w="897"/>
        <w:gridCol w:w="1154"/>
        <w:gridCol w:w="249"/>
        <w:gridCol w:w="672"/>
        <w:gridCol w:w="683"/>
        <w:gridCol w:w="262"/>
        <w:gridCol w:w="883"/>
        <w:gridCol w:w="749"/>
        <w:gridCol w:w="1034"/>
      </w:tblGrid>
      <w:tr w:rsidR="005B4603" w:rsidRPr="003B2882" w:rsidTr="00D15D81">
        <w:trPr>
          <w:trHeight w:val="274"/>
        </w:trPr>
        <w:tc>
          <w:tcPr>
            <w:tcW w:w="1671" w:type="dxa"/>
            <w:tcBorders>
              <w:left w:val="single" w:sz="4" w:space="0" w:color="FFFFFF" w:themeColor="background1"/>
              <w:bottom w:val="single" w:sz="2" w:space="0" w:color="FFFFFF" w:themeColor="background1"/>
              <w:right w:val="single" w:sz="4" w:space="0" w:color="FFFFFF" w:themeColor="background1"/>
            </w:tcBorders>
          </w:tcPr>
          <w:p w:rsidR="005B4603" w:rsidRPr="003B2882" w:rsidRDefault="005B4603" w:rsidP="00D15D81">
            <w:pPr>
              <w:jc w:val="center"/>
              <w:rPr>
                <w:rFonts w:ascii="Arial" w:hAnsi="Arial" w:cs="Arial"/>
                <w:sz w:val="20"/>
                <w:szCs w:val="20"/>
              </w:rPr>
            </w:pPr>
            <w:r>
              <w:lastRenderedPageBreak/>
              <w:br w:type="page"/>
            </w:r>
            <w:r w:rsidRPr="003B2882">
              <w:rPr>
                <w:rFonts w:ascii="Arial" w:hAnsi="Arial" w:cs="Arial"/>
                <w:sz w:val="20"/>
                <w:szCs w:val="20"/>
              </w:rPr>
              <w:t>Sample</w:t>
            </w:r>
          </w:p>
        </w:tc>
        <w:tc>
          <w:tcPr>
            <w:tcW w:w="838" w:type="dxa"/>
            <w:tcBorders>
              <w:left w:val="single" w:sz="4" w:space="0" w:color="FFFFFF" w:themeColor="background1"/>
              <w:bottom w:val="single" w:sz="2" w:space="0" w:color="FFFFFF" w:themeColor="background1"/>
              <w:right w:val="single" w:sz="4" w:space="0" w:color="FFFFFF" w:themeColor="background1"/>
            </w:tcBorders>
          </w:tcPr>
          <w:p w:rsidR="005B4603" w:rsidRPr="00F571FD" w:rsidRDefault="005B4603" w:rsidP="00D15D81">
            <w:pPr>
              <w:jc w:val="center"/>
              <w:rPr>
                <w:rFonts w:ascii="Arial" w:hAnsi="Arial" w:cs="Arial"/>
                <w:sz w:val="20"/>
                <w:szCs w:val="20"/>
              </w:rPr>
            </w:pPr>
            <w:r>
              <w:rPr>
                <w:rFonts w:ascii="Arial" w:hAnsi="Arial" w:cs="Arial"/>
                <w:i/>
                <w:sz w:val="20"/>
                <w:szCs w:val="20"/>
              </w:rPr>
              <w:t>n</w:t>
            </w:r>
          </w:p>
        </w:tc>
        <w:tc>
          <w:tcPr>
            <w:tcW w:w="1314" w:type="dxa"/>
            <w:tcBorders>
              <w:left w:val="single" w:sz="4" w:space="0" w:color="FFFFFF" w:themeColor="background1"/>
              <w:bottom w:val="single" w:sz="2" w:space="0" w:color="FFFFFF" w:themeColor="background1"/>
              <w:right w:val="single" w:sz="4" w:space="0" w:color="FFFFFF" w:themeColor="background1"/>
            </w:tcBorders>
          </w:tcPr>
          <w:p w:rsidR="005B4603" w:rsidRPr="003B2882" w:rsidRDefault="005B4603" w:rsidP="00D15D81">
            <w:pPr>
              <w:jc w:val="center"/>
              <w:rPr>
                <w:rFonts w:ascii="Arial" w:hAnsi="Arial" w:cs="Arial"/>
                <w:sz w:val="20"/>
                <w:szCs w:val="20"/>
              </w:rPr>
            </w:pPr>
            <w:r>
              <w:rPr>
                <w:rFonts w:ascii="Arial" w:hAnsi="Arial" w:cs="Arial"/>
                <w:sz w:val="20"/>
                <w:szCs w:val="20"/>
              </w:rPr>
              <w:t>Female %</w:t>
            </w:r>
          </w:p>
        </w:tc>
        <w:tc>
          <w:tcPr>
            <w:tcW w:w="1842" w:type="dxa"/>
            <w:tcBorders>
              <w:left w:val="single" w:sz="4" w:space="0" w:color="FFFFFF" w:themeColor="background1"/>
              <w:bottom w:val="single" w:sz="2" w:space="0" w:color="FFFFFF" w:themeColor="background1"/>
              <w:right w:val="single" w:sz="4" w:space="0" w:color="FFFFFF" w:themeColor="background1"/>
            </w:tcBorders>
          </w:tcPr>
          <w:p w:rsidR="005B4603" w:rsidRPr="003B2882" w:rsidRDefault="005B4603" w:rsidP="00D15D81">
            <w:pPr>
              <w:jc w:val="center"/>
              <w:rPr>
                <w:rFonts w:ascii="Arial" w:hAnsi="Arial" w:cs="Arial"/>
                <w:sz w:val="20"/>
                <w:szCs w:val="20"/>
              </w:rPr>
            </w:pPr>
            <w:r>
              <w:rPr>
                <w:rFonts w:ascii="Arial" w:hAnsi="Arial" w:cs="Arial"/>
                <w:sz w:val="20"/>
                <w:szCs w:val="20"/>
              </w:rPr>
              <w:t>White British %</w:t>
            </w:r>
          </w:p>
        </w:tc>
        <w:tc>
          <w:tcPr>
            <w:tcW w:w="1521" w:type="dxa"/>
            <w:tcBorders>
              <w:left w:val="single" w:sz="4" w:space="0" w:color="FFFFFF" w:themeColor="background1"/>
              <w:bottom w:val="single" w:sz="2" w:space="0" w:color="FFFFFF" w:themeColor="background1"/>
              <w:right w:val="single" w:sz="4" w:space="0" w:color="FFFFFF" w:themeColor="background1"/>
            </w:tcBorders>
          </w:tcPr>
          <w:p w:rsidR="005B4603" w:rsidRPr="003B2882" w:rsidRDefault="005B4603" w:rsidP="00D15D81">
            <w:pPr>
              <w:jc w:val="center"/>
              <w:rPr>
                <w:rFonts w:ascii="Arial" w:hAnsi="Arial" w:cs="Arial"/>
                <w:sz w:val="20"/>
                <w:szCs w:val="20"/>
              </w:rPr>
            </w:pPr>
            <w:r>
              <w:rPr>
                <w:rFonts w:ascii="Arial" w:hAnsi="Arial" w:cs="Arial"/>
                <w:sz w:val="20"/>
                <w:szCs w:val="20"/>
              </w:rPr>
              <w:t>Employed %</w:t>
            </w:r>
          </w:p>
        </w:tc>
        <w:tc>
          <w:tcPr>
            <w:tcW w:w="452" w:type="dxa"/>
            <w:tcBorders>
              <w:left w:val="single" w:sz="4" w:space="0" w:color="FFFFFF" w:themeColor="background1"/>
              <w:bottom w:val="single" w:sz="2" w:space="0" w:color="FFFFFF" w:themeColor="background1"/>
              <w:right w:val="single" w:sz="4" w:space="0" w:color="FFFFFF" w:themeColor="background1"/>
            </w:tcBorders>
          </w:tcPr>
          <w:p w:rsidR="005B4603" w:rsidRPr="003B2882" w:rsidRDefault="005B4603" w:rsidP="00D15D81">
            <w:pPr>
              <w:jc w:val="center"/>
              <w:rPr>
                <w:rFonts w:ascii="Arial" w:hAnsi="Arial" w:cs="Arial"/>
                <w:sz w:val="20"/>
                <w:szCs w:val="20"/>
              </w:rPr>
            </w:pPr>
          </w:p>
        </w:tc>
        <w:tc>
          <w:tcPr>
            <w:tcW w:w="1608" w:type="dxa"/>
            <w:gridSpan w:val="2"/>
            <w:tcBorders>
              <w:left w:val="single" w:sz="4" w:space="0" w:color="FFFFFF" w:themeColor="background1"/>
              <w:bottom w:val="single" w:sz="2" w:space="0" w:color="auto"/>
              <w:right w:val="single" w:sz="4" w:space="0" w:color="FFFFFF" w:themeColor="background1"/>
            </w:tcBorders>
          </w:tcPr>
          <w:p w:rsidR="005B4603" w:rsidRPr="003B2882" w:rsidRDefault="005B4603" w:rsidP="00D15D81">
            <w:pPr>
              <w:jc w:val="center"/>
              <w:rPr>
                <w:rFonts w:ascii="Arial" w:hAnsi="Arial" w:cs="Arial"/>
                <w:sz w:val="20"/>
                <w:szCs w:val="20"/>
              </w:rPr>
            </w:pPr>
            <w:r w:rsidRPr="003B2882">
              <w:rPr>
                <w:rFonts w:ascii="Arial" w:hAnsi="Arial" w:cs="Arial"/>
                <w:sz w:val="20"/>
                <w:szCs w:val="20"/>
              </w:rPr>
              <w:t>Age</w:t>
            </w:r>
            <w:r>
              <w:rPr>
                <w:rFonts w:ascii="Arial" w:hAnsi="Arial" w:cs="Arial"/>
                <w:sz w:val="20"/>
                <w:szCs w:val="20"/>
              </w:rPr>
              <w:t xml:space="preserve"> </w:t>
            </w:r>
          </w:p>
        </w:tc>
        <w:tc>
          <w:tcPr>
            <w:tcW w:w="566" w:type="dxa"/>
            <w:tcBorders>
              <w:left w:val="single" w:sz="4" w:space="0" w:color="FFFFFF" w:themeColor="background1"/>
              <w:bottom w:val="single" w:sz="2" w:space="0" w:color="FFFFFF" w:themeColor="background1"/>
              <w:right w:val="single" w:sz="4" w:space="0" w:color="FFFFFF" w:themeColor="background1"/>
            </w:tcBorders>
          </w:tcPr>
          <w:p w:rsidR="005B4603" w:rsidRDefault="005B4603" w:rsidP="00D15D81">
            <w:pPr>
              <w:jc w:val="center"/>
              <w:rPr>
                <w:rFonts w:ascii="Arial" w:hAnsi="Arial" w:cs="Arial"/>
                <w:sz w:val="20"/>
                <w:szCs w:val="20"/>
              </w:rPr>
            </w:pPr>
          </w:p>
        </w:tc>
        <w:tc>
          <w:tcPr>
            <w:tcW w:w="2298" w:type="dxa"/>
            <w:gridSpan w:val="2"/>
            <w:tcBorders>
              <w:left w:val="single" w:sz="4" w:space="0" w:color="FFFFFF" w:themeColor="background1"/>
              <w:bottom w:val="single" w:sz="2" w:space="0" w:color="FFFFFF" w:themeColor="background1"/>
              <w:right w:val="single" w:sz="2" w:space="0" w:color="FFFFFF" w:themeColor="background1"/>
            </w:tcBorders>
          </w:tcPr>
          <w:p w:rsidR="005B4603" w:rsidRPr="003B2882" w:rsidRDefault="005B4603" w:rsidP="00D15D81">
            <w:pPr>
              <w:jc w:val="center"/>
              <w:rPr>
                <w:rFonts w:ascii="Arial" w:hAnsi="Arial" w:cs="Arial"/>
                <w:sz w:val="20"/>
                <w:szCs w:val="20"/>
              </w:rPr>
            </w:pPr>
            <w:r>
              <w:rPr>
                <w:rFonts w:ascii="Arial" w:hAnsi="Arial" w:cs="Arial"/>
                <w:sz w:val="20"/>
                <w:szCs w:val="20"/>
              </w:rPr>
              <w:t>Attendance</w:t>
            </w:r>
          </w:p>
        </w:tc>
        <w:tc>
          <w:tcPr>
            <w:tcW w:w="1838" w:type="dxa"/>
            <w:tcBorders>
              <w:left w:val="single" w:sz="2" w:space="0" w:color="FFFFFF" w:themeColor="background1"/>
              <w:bottom w:val="single" w:sz="2" w:space="0" w:color="FFFFFF" w:themeColor="background1"/>
              <w:right w:val="single" w:sz="4" w:space="0" w:color="FFFFFF" w:themeColor="background1"/>
            </w:tcBorders>
          </w:tcPr>
          <w:p w:rsidR="005B4603" w:rsidRPr="003B2882" w:rsidRDefault="005B4603" w:rsidP="00D15D81">
            <w:pPr>
              <w:jc w:val="center"/>
              <w:rPr>
                <w:rFonts w:ascii="Arial" w:hAnsi="Arial" w:cs="Arial"/>
                <w:sz w:val="20"/>
                <w:szCs w:val="20"/>
              </w:rPr>
            </w:pPr>
            <w:r>
              <w:rPr>
                <w:rFonts w:ascii="Arial" w:hAnsi="Arial" w:cs="Arial"/>
                <w:sz w:val="20"/>
                <w:szCs w:val="20"/>
              </w:rPr>
              <w:t>Dropout %</w:t>
            </w:r>
          </w:p>
        </w:tc>
      </w:tr>
      <w:tr w:rsidR="005B4603" w:rsidRPr="003B2882" w:rsidTr="00D15D81">
        <w:tc>
          <w:tcPr>
            <w:tcW w:w="1671" w:type="dxa"/>
            <w:tcBorders>
              <w:top w:val="single" w:sz="2" w:space="0" w:color="FFFFFF" w:themeColor="background1"/>
              <w:left w:val="single" w:sz="4" w:space="0" w:color="FFFFFF" w:themeColor="background1"/>
              <w:right w:val="single" w:sz="4" w:space="0" w:color="FFFFFF" w:themeColor="background1"/>
            </w:tcBorders>
          </w:tcPr>
          <w:p w:rsidR="005B4603" w:rsidRPr="003B2882" w:rsidRDefault="005B4603" w:rsidP="00D15D81">
            <w:pPr>
              <w:jc w:val="center"/>
              <w:rPr>
                <w:rFonts w:ascii="Arial" w:hAnsi="Arial" w:cs="Arial"/>
                <w:sz w:val="20"/>
                <w:szCs w:val="20"/>
              </w:rPr>
            </w:pPr>
          </w:p>
        </w:tc>
        <w:tc>
          <w:tcPr>
            <w:tcW w:w="838" w:type="dxa"/>
            <w:tcBorders>
              <w:top w:val="single" w:sz="2" w:space="0" w:color="FFFFFF" w:themeColor="background1"/>
              <w:left w:val="single" w:sz="4" w:space="0" w:color="FFFFFF" w:themeColor="background1"/>
              <w:right w:val="single" w:sz="4" w:space="0" w:color="FFFFFF" w:themeColor="background1"/>
            </w:tcBorders>
          </w:tcPr>
          <w:p w:rsidR="005B4603" w:rsidRPr="003B2882" w:rsidRDefault="005B4603" w:rsidP="00D15D81">
            <w:pPr>
              <w:jc w:val="center"/>
              <w:rPr>
                <w:rFonts w:ascii="Arial" w:hAnsi="Arial" w:cs="Arial"/>
                <w:sz w:val="20"/>
                <w:szCs w:val="20"/>
              </w:rPr>
            </w:pPr>
          </w:p>
        </w:tc>
        <w:tc>
          <w:tcPr>
            <w:tcW w:w="1314" w:type="dxa"/>
            <w:tcBorders>
              <w:top w:val="single" w:sz="2" w:space="0" w:color="FFFFFF" w:themeColor="background1"/>
              <w:left w:val="single" w:sz="4" w:space="0" w:color="FFFFFF" w:themeColor="background1"/>
              <w:right w:val="single" w:sz="4" w:space="0" w:color="FFFFFF" w:themeColor="background1"/>
            </w:tcBorders>
          </w:tcPr>
          <w:p w:rsidR="005B4603" w:rsidRPr="003B2882" w:rsidRDefault="005B4603" w:rsidP="00D15D81">
            <w:pPr>
              <w:jc w:val="center"/>
              <w:rPr>
                <w:rFonts w:ascii="Arial" w:hAnsi="Arial" w:cs="Arial"/>
                <w:sz w:val="20"/>
                <w:szCs w:val="20"/>
              </w:rPr>
            </w:pPr>
          </w:p>
        </w:tc>
        <w:tc>
          <w:tcPr>
            <w:tcW w:w="1842" w:type="dxa"/>
            <w:tcBorders>
              <w:top w:val="single" w:sz="2" w:space="0" w:color="FFFFFF" w:themeColor="background1"/>
              <w:left w:val="single" w:sz="4" w:space="0" w:color="FFFFFF" w:themeColor="background1"/>
              <w:right w:val="single" w:sz="4" w:space="0" w:color="FFFFFF" w:themeColor="background1"/>
            </w:tcBorders>
          </w:tcPr>
          <w:p w:rsidR="005B4603" w:rsidRPr="003B2882" w:rsidRDefault="005B4603" w:rsidP="00D15D81">
            <w:pPr>
              <w:jc w:val="center"/>
              <w:rPr>
                <w:rFonts w:ascii="Arial" w:hAnsi="Arial" w:cs="Arial"/>
                <w:sz w:val="20"/>
                <w:szCs w:val="20"/>
              </w:rPr>
            </w:pPr>
          </w:p>
        </w:tc>
        <w:tc>
          <w:tcPr>
            <w:tcW w:w="1521" w:type="dxa"/>
            <w:tcBorders>
              <w:top w:val="single" w:sz="2" w:space="0" w:color="FFFFFF" w:themeColor="background1"/>
              <w:left w:val="single" w:sz="4" w:space="0" w:color="FFFFFF" w:themeColor="background1"/>
              <w:right w:val="single" w:sz="4" w:space="0" w:color="FFFFFF" w:themeColor="background1"/>
            </w:tcBorders>
          </w:tcPr>
          <w:p w:rsidR="005B4603" w:rsidRPr="003B2882" w:rsidRDefault="005B4603" w:rsidP="00D15D81">
            <w:pPr>
              <w:jc w:val="center"/>
              <w:rPr>
                <w:rFonts w:ascii="Arial" w:hAnsi="Arial" w:cs="Arial"/>
                <w:sz w:val="20"/>
                <w:szCs w:val="20"/>
              </w:rPr>
            </w:pPr>
          </w:p>
        </w:tc>
        <w:tc>
          <w:tcPr>
            <w:tcW w:w="452" w:type="dxa"/>
            <w:tcBorders>
              <w:top w:val="single" w:sz="2" w:space="0" w:color="FFFFFF" w:themeColor="background1"/>
              <w:left w:val="single" w:sz="4" w:space="0" w:color="FFFFFF" w:themeColor="background1"/>
              <w:bottom w:val="single" w:sz="2" w:space="0" w:color="000000" w:themeColor="text1"/>
              <w:right w:val="single" w:sz="4" w:space="0" w:color="FFFFFF" w:themeColor="background1"/>
            </w:tcBorders>
          </w:tcPr>
          <w:p w:rsidR="005B4603" w:rsidRPr="005B491D" w:rsidRDefault="005B4603" w:rsidP="00D15D81">
            <w:pPr>
              <w:jc w:val="center"/>
              <w:rPr>
                <w:rFonts w:ascii="Arial" w:hAnsi="Arial" w:cs="Arial"/>
                <w:i/>
                <w:sz w:val="20"/>
                <w:szCs w:val="20"/>
              </w:rPr>
            </w:pPr>
          </w:p>
        </w:tc>
        <w:tc>
          <w:tcPr>
            <w:tcW w:w="758" w:type="dxa"/>
            <w:tcBorders>
              <w:top w:val="single" w:sz="2" w:space="0" w:color="auto"/>
              <w:left w:val="single" w:sz="4" w:space="0" w:color="FFFFFF" w:themeColor="background1"/>
              <w:right w:val="single" w:sz="2" w:space="0" w:color="FFFFFF" w:themeColor="background1"/>
            </w:tcBorders>
          </w:tcPr>
          <w:p w:rsidR="005B4603" w:rsidRPr="005B491D" w:rsidRDefault="005B4603" w:rsidP="00D15D81">
            <w:pPr>
              <w:jc w:val="center"/>
              <w:rPr>
                <w:rFonts w:ascii="Arial" w:hAnsi="Arial" w:cs="Arial"/>
                <w:i/>
                <w:sz w:val="20"/>
                <w:szCs w:val="20"/>
              </w:rPr>
            </w:pPr>
            <w:r w:rsidRPr="005B491D">
              <w:rPr>
                <w:rFonts w:ascii="Arial" w:hAnsi="Arial" w:cs="Arial"/>
                <w:i/>
                <w:sz w:val="20"/>
                <w:szCs w:val="20"/>
              </w:rPr>
              <w:t>M</w:t>
            </w:r>
          </w:p>
        </w:tc>
        <w:tc>
          <w:tcPr>
            <w:tcW w:w="850" w:type="dxa"/>
            <w:tcBorders>
              <w:top w:val="single" w:sz="2" w:space="0" w:color="auto"/>
              <w:left w:val="single" w:sz="2" w:space="0" w:color="FFFFFF" w:themeColor="background1"/>
              <w:right w:val="single" w:sz="2" w:space="0" w:color="FFFFFF" w:themeColor="background1"/>
            </w:tcBorders>
          </w:tcPr>
          <w:p w:rsidR="005B4603" w:rsidRPr="005B491D" w:rsidRDefault="005B4603" w:rsidP="00D15D81">
            <w:pPr>
              <w:jc w:val="center"/>
              <w:rPr>
                <w:rFonts w:ascii="Arial" w:hAnsi="Arial" w:cs="Arial"/>
                <w:i/>
                <w:sz w:val="20"/>
                <w:szCs w:val="20"/>
              </w:rPr>
            </w:pPr>
            <w:r w:rsidRPr="005B491D">
              <w:rPr>
                <w:rFonts w:ascii="Arial" w:hAnsi="Arial" w:cs="Arial"/>
                <w:i/>
                <w:sz w:val="20"/>
                <w:szCs w:val="20"/>
              </w:rPr>
              <w:t>SD</w:t>
            </w:r>
          </w:p>
        </w:tc>
        <w:tc>
          <w:tcPr>
            <w:tcW w:w="566" w:type="dxa"/>
            <w:tcBorders>
              <w:top w:val="single" w:sz="2" w:space="0" w:color="FFFFFF" w:themeColor="background1"/>
              <w:left w:val="single" w:sz="2" w:space="0" w:color="FFFFFF" w:themeColor="background1"/>
              <w:bottom w:val="single" w:sz="2" w:space="0" w:color="auto"/>
              <w:right w:val="single" w:sz="4" w:space="0" w:color="FFFFFF" w:themeColor="background1"/>
            </w:tcBorders>
          </w:tcPr>
          <w:p w:rsidR="005B4603" w:rsidRDefault="005B4603" w:rsidP="00D15D81">
            <w:pPr>
              <w:jc w:val="center"/>
              <w:rPr>
                <w:rFonts w:ascii="Arial" w:hAnsi="Arial" w:cs="Arial"/>
                <w:sz w:val="20"/>
                <w:szCs w:val="20"/>
              </w:rPr>
            </w:pPr>
          </w:p>
        </w:tc>
        <w:tc>
          <w:tcPr>
            <w:tcW w:w="883" w:type="dxa"/>
            <w:tcBorders>
              <w:top w:val="single" w:sz="2" w:space="0" w:color="auto"/>
              <w:left w:val="single" w:sz="4" w:space="0" w:color="FFFFFF" w:themeColor="background1"/>
              <w:right w:val="single" w:sz="2" w:space="0" w:color="FFFFFF" w:themeColor="background1"/>
            </w:tcBorders>
          </w:tcPr>
          <w:p w:rsidR="005B4603" w:rsidRPr="005B491D" w:rsidRDefault="005B4603" w:rsidP="00D15D81">
            <w:pPr>
              <w:jc w:val="center"/>
              <w:rPr>
                <w:rFonts w:ascii="Arial" w:hAnsi="Arial" w:cs="Arial"/>
                <w:i/>
                <w:sz w:val="20"/>
                <w:szCs w:val="20"/>
              </w:rPr>
            </w:pPr>
            <w:r w:rsidRPr="005B491D">
              <w:rPr>
                <w:rFonts w:ascii="Arial" w:hAnsi="Arial" w:cs="Arial"/>
                <w:i/>
                <w:sz w:val="20"/>
                <w:szCs w:val="20"/>
              </w:rPr>
              <w:t>M/Total</w:t>
            </w:r>
          </w:p>
        </w:tc>
        <w:tc>
          <w:tcPr>
            <w:tcW w:w="1415" w:type="dxa"/>
            <w:tcBorders>
              <w:top w:val="single" w:sz="2" w:space="0" w:color="auto"/>
              <w:left w:val="single" w:sz="2" w:space="0" w:color="FFFFFF" w:themeColor="background1"/>
              <w:right w:val="single" w:sz="2" w:space="0" w:color="FFFFFF" w:themeColor="background1"/>
            </w:tcBorders>
          </w:tcPr>
          <w:p w:rsidR="005B4603" w:rsidRPr="005B491D" w:rsidRDefault="005B4603" w:rsidP="00D15D81">
            <w:pPr>
              <w:jc w:val="center"/>
              <w:rPr>
                <w:rFonts w:ascii="Arial" w:hAnsi="Arial" w:cs="Arial"/>
                <w:i/>
                <w:sz w:val="20"/>
                <w:szCs w:val="20"/>
              </w:rPr>
            </w:pPr>
            <w:r w:rsidRPr="005B491D">
              <w:rPr>
                <w:rFonts w:ascii="Arial" w:hAnsi="Arial" w:cs="Arial"/>
                <w:i/>
                <w:sz w:val="20"/>
                <w:szCs w:val="20"/>
              </w:rPr>
              <w:t>SD</w:t>
            </w:r>
          </w:p>
        </w:tc>
        <w:tc>
          <w:tcPr>
            <w:tcW w:w="1838" w:type="dxa"/>
            <w:tcBorders>
              <w:top w:val="single" w:sz="2" w:space="0" w:color="FFFFFF" w:themeColor="background1"/>
              <w:left w:val="single" w:sz="2" w:space="0" w:color="FFFFFF" w:themeColor="background1"/>
              <w:right w:val="single" w:sz="4" w:space="0" w:color="FFFFFF" w:themeColor="background1"/>
            </w:tcBorders>
          </w:tcPr>
          <w:p w:rsidR="005B4603" w:rsidRPr="003B2882" w:rsidRDefault="005B4603" w:rsidP="00D15D81">
            <w:pPr>
              <w:jc w:val="center"/>
              <w:rPr>
                <w:rFonts w:ascii="Arial" w:hAnsi="Arial" w:cs="Arial"/>
                <w:sz w:val="20"/>
                <w:szCs w:val="20"/>
              </w:rPr>
            </w:pPr>
          </w:p>
        </w:tc>
      </w:tr>
      <w:tr w:rsidR="005B4603" w:rsidRPr="003B2882" w:rsidTr="00D15D81">
        <w:trPr>
          <w:trHeight w:val="142"/>
        </w:trPr>
        <w:tc>
          <w:tcPr>
            <w:tcW w:w="1671" w:type="dxa"/>
            <w:tcBorders>
              <w:left w:val="single" w:sz="4" w:space="0" w:color="FFFFFF" w:themeColor="background1"/>
              <w:bottom w:val="single" w:sz="4" w:space="0" w:color="FFFFFF" w:themeColor="background1"/>
              <w:right w:val="single" w:sz="4" w:space="0" w:color="FFFFFF" w:themeColor="background1"/>
            </w:tcBorders>
          </w:tcPr>
          <w:p w:rsidR="005B4603" w:rsidRPr="003B2882" w:rsidRDefault="005B4603" w:rsidP="00D15D81">
            <w:pPr>
              <w:rPr>
                <w:rFonts w:ascii="Arial" w:hAnsi="Arial" w:cs="Arial"/>
                <w:sz w:val="20"/>
                <w:szCs w:val="20"/>
              </w:rPr>
            </w:pPr>
            <w:r>
              <w:rPr>
                <w:rFonts w:ascii="Arial" w:hAnsi="Arial" w:cs="Arial"/>
                <w:sz w:val="20"/>
                <w:szCs w:val="20"/>
              </w:rPr>
              <w:t>Pooled</w:t>
            </w:r>
          </w:p>
        </w:tc>
        <w:tc>
          <w:tcPr>
            <w:tcW w:w="838" w:type="dxa"/>
            <w:tcBorders>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1554</w:t>
            </w:r>
          </w:p>
        </w:tc>
        <w:tc>
          <w:tcPr>
            <w:tcW w:w="1314" w:type="dxa"/>
            <w:tcBorders>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1517</w:t>
            </w:r>
          </w:p>
        </w:tc>
        <w:tc>
          <w:tcPr>
            <w:tcW w:w="1842" w:type="dxa"/>
            <w:tcBorders>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906</w:t>
            </w:r>
          </w:p>
        </w:tc>
        <w:tc>
          <w:tcPr>
            <w:tcW w:w="1521" w:type="dxa"/>
            <w:tcBorders>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617</w:t>
            </w:r>
          </w:p>
        </w:tc>
        <w:tc>
          <w:tcPr>
            <w:tcW w:w="452" w:type="dxa"/>
            <w:tcBorders>
              <w:top w:val="single" w:sz="2" w:space="0" w:color="000000" w:themeColor="text1"/>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758" w:type="dxa"/>
            <w:tcBorders>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1536</w:t>
            </w:r>
          </w:p>
        </w:tc>
        <w:tc>
          <w:tcPr>
            <w:tcW w:w="850" w:type="dxa"/>
            <w:tcBorders>
              <w:left w:val="single" w:sz="2"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1536</w:t>
            </w:r>
          </w:p>
        </w:tc>
        <w:tc>
          <w:tcPr>
            <w:tcW w:w="566" w:type="dxa"/>
            <w:tcBorders>
              <w:top w:val="single" w:sz="2" w:space="0" w:color="auto"/>
              <w:left w:val="single" w:sz="2"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1353</w:t>
            </w:r>
          </w:p>
        </w:tc>
        <w:tc>
          <w:tcPr>
            <w:tcW w:w="1415" w:type="dxa"/>
            <w:tcBorders>
              <w:left w:val="single" w:sz="2"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1353</w:t>
            </w:r>
          </w:p>
        </w:tc>
        <w:tc>
          <w:tcPr>
            <w:tcW w:w="1838" w:type="dxa"/>
            <w:tcBorders>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1353</w:t>
            </w:r>
          </w:p>
        </w:tc>
      </w:tr>
      <w:tr w:rsidR="005B4603" w:rsidRPr="003B2882" w:rsidTr="00D15D81">
        <w:tc>
          <w:tcPr>
            <w:tcW w:w="1671" w:type="dxa"/>
            <w:tcBorders>
              <w:top w:val="single" w:sz="4" w:space="0" w:color="FFFFFF" w:themeColor="background1"/>
              <w:left w:val="single" w:sz="4" w:space="0" w:color="FFFFFF" w:themeColor="background1"/>
              <w:bottom w:val="single" w:sz="4" w:space="0" w:color="FFFFFF"/>
              <w:right w:val="single" w:sz="2" w:space="0" w:color="FFFFFF" w:themeColor="background1"/>
            </w:tcBorders>
          </w:tcPr>
          <w:p w:rsidR="005B4603" w:rsidRPr="003B2882" w:rsidRDefault="005B4603" w:rsidP="00D15D81">
            <w:pPr>
              <w:ind w:left="164"/>
              <w:rPr>
                <w:rFonts w:ascii="Arial" w:hAnsi="Arial" w:cs="Arial"/>
                <w:sz w:val="20"/>
                <w:szCs w:val="20"/>
              </w:rPr>
            </w:pPr>
            <w:r w:rsidRPr="003B2882">
              <w:rPr>
                <w:rFonts w:ascii="Arial" w:hAnsi="Arial" w:cs="Arial"/>
                <w:sz w:val="20"/>
                <w:szCs w:val="20"/>
              </w:rPr>
              <w:t>No Dep</w:t>
            </w:r>
          </w:p>
        </w:tc>
        <w:tc>
          <w:tcPr>
            <w:tcW w:w="838" w:type="dxa"/>
            <w:tcBorders>
              <w:top w:val="single" w:sz="4" w:space="0" w:color="FFFFFF" w:themeColor="background1"/>
              <w:left w:val="single" w:sz="2" w:space="0" w:color="FFFFFF" w:themeColor="background1"/>
              <w:bottom w:val="single" w:sz="4" w:space="0" w:color="FFFFFF"/>
              <w:right w:val="single" w:sz="4" w:space="0" w:color="FFFFFF" w:themeColor="background1"/>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726</w:t>
            </w:r>
          </w:p>
        </w:tc>
        <w:tc>
          <w:tcPr>
            <w:tcW w:w="131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695</w:t>
            </w:r>
          </w:p>
        </w:tc>
        <w:tc>
          <w:tcPr>
            <w:tcW w:w="1842"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471</w:t>
            </w:r>
          </w:p>
        </w:tc>
        <w:tc>
          <w:tcPr>
            <w:tcW w:w="152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353</w:t>
            </w:r>
          </w:p>
        </w:tc>
        <w:tc>
          <w:tcPr>
            <w:tcW w:w="452"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758" w:type="dxa"/>
            <w:tcBorders>
              <w:top w:val="single" w:sz="4" w:space="0" w:color="FFFFFF" w:themeColor="background1"/>
              <w:left w:val="single" w:sz="4" w:space="0" w:color="FFFFFF" w:themeColor="background1"/>
              <w:bottom w:val="single" w:sz="4" w:space="0" w:color="FFFFFF"/>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713</w:t>
            </w:r>
          </w:p>
        </w:tc>
        <w:tc>
          <w:tcPr>
            <w:tcW w:w="850" w:type="dxa"/>
            <w:tcBorders>
              <w:top w:val="single" w:sz="4" w:space="0" w:color="FFFFFF" w:themeColor="background1"/>
              <w:left w:val="single" w:sz="2" w:space="0" w:color="FFFFFF" w:themeColor="background1"/>
              <w:bottom w:val="single" w:sz="4" w:space="0" w:color="FFFFFF"/>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713</w:t>
            </w:r>
          </w:p>
        </w:tc>
        <w:tc>
          <w:tcPr>
            <w:tcW w:w="5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652</w:t>
            </w:r>
          </w:p>
        </w:tc>
        <w:tc>
          <w:tcPr>
            <w:tcW w:w="1415"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652</w:t>
            </w:r>
          </w:p>
        </w:tc>
        <w:tc>
          <w:tcPr>
            <w:tcW w:w="1838"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652</w:t>
            </w:r>
          </w:p>
        </w:tc>
      </w:tr>
      <w:tr w:rsidR="005B4603" w:rsidRPr="003B2882" w:rsidTr="00D15D81">
        <w:trPr>
          <w:trHeight w:val="405"/>
        </w:trPr>
        <w:tc>
          <w:tcPr>
            <w:tcW w:w="1671"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Pr="003B2882" w:rsidRDefault="005B4603" w:rsidP="00D15D81">
            <w:pPr>
              <w:ind w:left="164"/>
              <w:rPr>
                <w:rFonts w:ascii="Arial" w:hAnsi="Arial" w:cs="Arial"/>
                <w:sz w:val="20"/>
                <w:szCs w:val="20"/>
              </w:rPr>
            </w:pPr>
            <w:r w:rsidRPr="003B2882">
              <w:rPr>
                <w:rFonts w:ascii="Arial" w:hAnsi="Arial" w:cs="Arial"/>
                <w:sz w:val="20"/>
                <w:szCs w:val="20"/>
              </w:rPr>
              <w:t>Current Dep</w:t>
            </w:r>
          </w:p>
        </w:tc>
        <w:tc>
          <w:tcPr>
            <w:tcW w:w="838" w:type="dxa"/>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828</w:t>
            </w:r>
          </w:p>
        </w:tc>
        <w:tc>
          <w:tcPr>
            <w:tcW w:w="1314"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822</w:t>
            </w:r>
          </w:p>
        </w:tc>
        <w:tc>
          <w:tcPr>
            <w:tcW w:w="1842"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435</w:t>
            </w:r>
          </w:p>
        </w:tc>
        <w:tc>
          <w:tcPr>
            <w:tcW w:w="1521" w:type="dxa"/>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264</w:t>
            </w:r>
          </w:p>
        </w:tc>
        <w:tc>
          <w:tcPr>
            <w:tcW w:w="452" w:type="dxa"/>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758" w:type="dxa"/>
            <w:tcBorders>
              <w:top w:val="single" w:sz="4" w:space="0" w:color="FFFFFF" w:themeColor="background1"/>
              <w:left w:val="single" w:sz="4" w:space="0" w:color="FFFFFF" w:themeColor="background1"/>
              <w:bottom w:val="single" w:sz="2"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823</w:t>
            </w:r>
          </w:p>
        </w:tc>
        <w:tc>
          <w:tcPr>
            <w:tcW w:w="850" w:type="dxa"/>
            <w:tcBorders>
              <w:top w:val="single" w:sz="4" w:space="0" w:color="FFFFFF" w:themeColor="background1"/>
              <w:left w:val="single" w:sz="2" w:space="0" w:color="FFFFFF" w:themeColor="background1"/>
              <w:bottom w:val="single" w:sz="2"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823</w:t>
            </w:r>
          </w:p>
        </w:tc>
        <w:tc>
          <w:tcPr>
            <w:tcW w:w="566"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top w:val="single" w:sz="4" w:space="0" w:color="FFFFFF" w:themeColor="background1"/>
              <w:left w:val="single" w:sz="4" w:space="0" w:color="FFFFFF" w:themeColor="background1"/>
              <w:bottom w:val="single" w:sz="4" w:space="0" w:color="F2F2F2" w:themeColor="background1" w:themeShade="F2"/>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701</w:t>
            </w:r>
          </w:p>
        </w:tc>
        <w:tc>
          <w:tcPr>
            <w:tcW w:w="1415" w:type="dxa"/>
            <w:tcBorders>
              <w:top w:val="single" w:sz="4" w:space="0" w:color="FFFFFF" w:themeColor="background1"/>
              <w:left w:val="single" w:sz="2"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701</w:t>
            </w:r>
          </w:p>
        </w:tc>
        <w:tc>
          <w:tcPr>
            <w:tcW w:w="1838"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701</w:t>
            </w:r>
          </w:p>
        </w:tc>
      </w:tr>
      <w:tr w:rsidR="005B4603" w:rsidRPr="003B2882" w:rsidTr="00D15D81">
        <w:trPr>
          <w:trHeight w:val="213"/>
        </w:trPr>
        <w:tc>
          <w:tcPr>
            <w:tcW w:w="1671"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Pr="003B2882" w:rsidRDefault="005B4603" w:rsidP="00D15D81">
            <w:pPr>
              <w:rPr>
                <w:rFonts w:ascii="Arial" w:hAnsi="Arial" w:cs="Arial"/>
                <w:sz w:val="20"/>
                <w:szCs w:val="20"/>
              </w:rPr>
            </w:pPr>
            <w:r w:rsidRPr="003B2882">
              <w:rPr>
                <w:rFonts w:ascii="Arial" w:hAnsi="Arial" w:cs="Arial"/>
                <w:sz w:val="20"/>
                <w:szCs w:val="20"/>
              </w:rPr>
              <w:t>Swallow</w:t>
            </w:r>
          </w:p>
        </w:tc>
        <w:tc>
          <w:tcPr>
            <w:tcW w:w="838" w:type="dxa"/>
            <w:tcBorders>
              <w:top w:val="single" w:sz="2" w:space="0" w:color="FFFFFF" w:themeColor="background1"/>
              <w:left w:val="single" w:sz="4" w:space="0" w:color="FFFFFF" w:themeColor="background1"/>
              <w:bottom w:val="single" w:sz="4" w:space="0" w:color="FFFFFF" w:themeColor="background1"/>
              <w:right w:val="single" w:sz="4" w:space="0" w:color="F2F2F2" w:themeColor="background1" w:themeShade="F2"/>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150</w:t>
            </w:r>
          </w:p>
        </w:tc>
        <w:tc>
          <w:tcPr>
            <w:tcW w:w="1314" w:type="dxa"/>
            <w:tcBorders>
              <w:top w:val="single" w:sz="4" w:space="0" w:color="F2F2F2" w:themeColor="background1" w:themeShade="F2"/>
              <w:left w:val="single" w:sz="4" w:space="0" w:color="F2F2F2" w:themeColor="background1" w:themeShade="F2"/>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42"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521" w:type="dxa"/>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149</w:t>
            </w:r>
          </w:p>
        </w:tc>
        <w:tc>
          <w:tcPr>
            <w:tcW w:w="452" w:type="dxa"/>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758" w:type="dxa"/>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850" w:type="dxa"/>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566"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top w:val="single" w:sz="4" w:space="0" w:color="F2F2F2" w:themeColor="background1" w:themeShade="F2"/>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415" w:type="dxa"/>
            <w:tcBorders>
              <w:top w:val="single" w:sz="4" w:space="0" w:color="F2F2F2" w:themeColor="background1" w:themeShade="F2"/>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38"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r>
      <w:tr w:rsidR="005B4603" w:rsidRPr="003B2882" w:rsidTr="00D15D81">
        <w:tc>
          <w:tcPr>
            <w:tcW w:w="16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3B2882" w:rsidRDefault="005B4603" w:rsidP="00D15D81">
            <w:pPr>
              <w:ind w:left="164"/>
              <w:rPr>
                <w:rFonts w:ascii="Arial" w:hAnsi="Arial" w:cs="Arial"/>
                <w:sz w:val="20"/>
                <w:szCs w:val="20"/>
              </w:rPr>
            </w:pPr>
            <w:r w:rsidRPr="003B2882">
              <w:rPr>
                <w:rFonts w:ascii="Arial" w:hAnsi="Arial" w:cs="Arial"/>
                <w:sz w:val="20"/>
                <w:szCs w:val="20"/>
              </w:rPr>
              <w:t>No Dep</w:t>
            </w:r>
          </w:p>
        </w:tc>
        <w:tc>
          <w:tcPr>
            <w:tcW w:w="838" w:type="dxa"/>
            <w:tcBorders>
              <w:top w:val="single" w:sz="4" w:space="0" w:color="FFFFFF" w:themeColor="background1"/>
              <w:left w:val="single" w:sz="4" w:space="0" w:color="FFFFFF" w:themeColor="background1"/>
              <w:bottom w:val="single" w:sz="4" w:space="0" w:color="FFFFFF" w:themeColor="background1"/>
              <w:right w:val="single" w:sz="4" w:space="0" w:color="F2F2F2" w:themeColor="background1" w:themeShade="F2"/>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78</w:t>
            </w:r>
          </w:p>
        </w:tc>
        <w:tc>
          <w:tcPr>
            <w:tcW w:w="1314" w:type="dxa"/>
            <w:tcBorders>
              <w:top w:val="single" w:sz="4" w:space="0" w:color="FFFFFF" w:themeColor="background1"/>
              <w:left w:val="single" w:sz="4" w:space="0" w:color="F2F2F2" w:themeColor="background1" w:themeShade="F2"/>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521" w:type="dxa"/>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77</w:t>
            </w:r>
          </w:p>
        </w:tc>
        <w:tc>
          <w:tcPr>
            <w:tcW w:w="4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758" w:type="dxa"/>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850"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5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415"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r>
      <w:tr w:rsidR="005B4603" w:rsidRPr="003B2882" w:rsidTr="00D15D81">
        <w:trPr>
          <w:trHeight w:val="335"/>
        </w:trPr>
        <w:tc>
          <w:tcPr>
            <w:tcW w:w="1671"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Pr="003B2882" w:rsidRDefault="005B4603" w:rsidP="00D15D81">
            <w:pPr>
              <w:ind w:left="164"/>
              <w:rPr>
                <w:rFonts w:ascii="Arial" w:hAnsi="Arial" w:cs="Arial"/>
                <w:sz w:val="20"/>
                <w:szCs w:val="20"/>
              </w:rPr>
            </w:pPr>
            <w:r w:rsidRPr="003B2882">
              <w:rPr>
                <w:rFonts w:ascii="Arial" w:hAnsi="Arial" w:cs="Arial"/>
                <w:sz w:val="20"/>
                <w:szCs w:val="20"/>
              </w:rPr>
              <w:t>Current Dep</w:t>
            </w:r>
          </w:p>
        </w:tc>
        <w:tc>
          <w:tcPr>
            <w:tcW w:w="838"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72</w:t>
            </w:r>
          </w:p>
        </w:tc>
        <w:tc>
          <w:tcPr>
            <w:tcW w:w="1314"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42"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521" w:type="dxa"/>
            <w:tcBorders>
              <w:top w:val="single" w:sz="2" w:space="0" w:color="FFFFFF" w:themeColor="background1"/>
              <w:left w:val="single" w:sz="4" w:space="0" w:color="FFFFFF" w:themeColor="background1"/>
              <w:bottom w:val="single" w:sz="2"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452" w:type="dxa"/>
            <w:tcBorders>
              <w:top w:val="single" w:sz="4" w:space="0" w:color="FFFFFF" w:themeColor="background1"/>
              <w:left w:val="single" w:sz="2" w:space="0" w:color="FFFFFF" w:themeColor="background1"/>
              <w:bottom w:val="single" w:sz="4" w:space="0" w:color="F2F2F2" w:themeColor="background1" w:themeShade="F2"/>
              <w:right w:val="single" w:sz="2" w:space="0" w:color="FFFFFF" w:themeColor="background1"/>
            </w:tcBorders>
          </w:tcPr>
          <w:p w:rsidR="005B4603" w:rsidRDefault="005B4603" w:rsidP="00D15D81">
            <w:pPr>
              <w:jc w:val="center"/>
              <w:rPr>
                <w:rFonts w:ascii="Arial" w:hAnsi="Arial" w:cs="Arial"/>
                <w:color w:val="000000"/>
                <w:sz w:val="20"/>
                <w:szCs w:val="20"/>
              </w:rPr>
            </w:pPr>
          </w:p>
        </w:tc>
        <w:tc>
          <w:tcPr>
            <w:tcW w:w="758" w:type="dxa"/>
            <w:tcBorders>
              <w:top w:val="single" w:sz="4" w:space="0" w:color="FFFFFF" w:themeColor="background1"/>
              <w:left w:val="single" w:sz="2" w:space="0" w:color="FFFFFF" w:themeColor="background1"/>
              <w:bottom w:val="single" w:sz="4" w:space="0" w:color="F2F2F2" w:themeColor="background1" w:themeShade="F2"/>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850" w:type="dxa"/>
            <w:tcBorders>
              <w:top w:val="single" w:sz="4" w:space="0" w:color="FFFFFF" w:themeColor="background1"/>
              <w:left w:val="single" w:sz="2"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566"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top w:val="single" w:sz="4" w:space="0" w:color="FFFFFF" w:themeColor="background1"/>
              <w:left w:val="single" w:sz="4" w:space="0" w:color="FFFFFF" w:themeColor="background1"/>
              <w:bottom w:val="single" w:sz="4" w:space="0" w:color="F2F2F2" w:themeColor="background1" w:themeShade="F2"/>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415" w:type="dxa"/>
            <w:tcBorders>
              <w:top w:val="single" w:sz="4" w:space="0" w:color="FFFFFF" w:themeColor="background1"/>
              <w:left w:val="single" w:sz="2"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38"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r>
      <w:tr w:rsidR="005B4603" w:rsidRPr="003B2882" w:rsidTr="00D15D81">
        <w:trPr>
          <w:trHeight w:val="167"/>
        </w:trPr>
        <w:tc>
          <w:tcPr>
            <w:tcW w:w="1671"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Pr="003B2882" w:rsidRDefault="005B4603" w:rsidP="00D15D81">
            <w:pPr>
              <w:rPr>
                <w:rFonts w:ascii="Arial" w:hAnsi="Arial" w:cs="Arial"/>
                <w:sz w:val="20"/>
                <w:szCs w:val="20"/>
              </w:rPr>
            </w:pPr>
            <w:r w:rsidRPr="003B2882">
              <w:rPr>
                <w:rFonts w:ascii="Arial" w:hAnsi="Arial" w:cs="Arial"/>
                <w:sz w:val="20"/>
                <w:szCs w:val="20"/>
              </w:rPr>
              <w:t>Robin</w:t>
            </w:r>
          </w:p>
        </w:tc>
        <w:tc>
          <w:tcPr>
            <w:tcW w:w="838"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508</w:t>
            </w:r>
          </w:p>
        </w:tc>
        <w:tc>
          <w:tcPr>
            <w:tcW w:w="1314"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491</w:t>
            </w:r>
          </w:p>
        </w:tc>
        <w:tc>
          <w:tcPr>
            <w:tcW w:w="1842"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401</w:t>
            </w:r>
          </w:p>
        </w:tc>
        <w:tc>
          <w:tcPr>
            <w:tcW w:w="1521" w:type="dxa"/>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452" w:type="dxa"/>
            <w:tcBorders>
              <w:top w:val="single" w:sz="4" w:space="0" w:color="F2F2F2" w:themeColor="background1" w:themeShade="F2"/>
              <w:left w:val="single" w:sz="2" w:space="0" w:color="FFFFFF" w:themeColor="background1"/>
              <w:bottom w:val="single" w:sz="4" w:space="0" w:color="FFFFFF" w:themeColor="background1"/>
              <w:right w:val="single" w:sz="2" w:space="0" w:color="FFFFFF" w:themeColor="background1"/>
            </w:tcBorders>
          </w:tcPr>
          <w:p w:rsidR="005B4603" w:rsidRDefault="005B4603" w:rsidP="00D15D81">
            <w:pPr>
              <w:jc w:val="center"/>
              <w:rPr>
                <w:rFonts w:ascii="Arial" w:hAnsi="Arial" w:cs="Arial"/>
                <w:color w:val="000000"/>
                <w:sz w:val="20"/>
                <w:szCs w:val="20"/>
              </w:rPr>
            </w:pPr>
          </w:p>
        </w:tc>
        <w:tc>
          <w:tcPr>
            <w:tcW w:w="758" w:type="dxa"/>
            <w:tcBorders>
              <w:top w:val="single" w:sz="4" w:space="0" w:color="F2F2F2" w:themeColor="background1" w:themeShade="F2"/>
              <w:left w:val="single" w:sz="2"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491</w:t>
            </w:r>
          </w:p>
        </w:tc>
        <w:tc>
          <w:tcPr>
            <w:tcW w:w="850" w:type="dxa"/>
            <w:tcBorders>
              <w:top w:val="single" w:sz="4" w:space="0" w:color="F2F2F2" w:themeColor="background1" w:themeShade="F2"/>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491</w:t>
            </w:r>
          </w:p>
        </w:tc>
        <w:tc>
          <w:tcPr>
            <w:tcW w:w="566"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top w:val="single" w:sz="4" w:space="0" w:color="F2F2F2" w:themeColor="background1" w:themeShade="F2"/>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488</w:t>
            </w:r>
          </w:p>
        </w:tc>
        <w:tc>
          <w:tcPr>
            <w:tcW w:w="1415" w:type="dxa"/>
            <w:tcBorders>
              <w:top w:val="single" w:sz="4" w:space="0" w:color="F2F2F2" w:themeColor="background1" w:themeShade="F2"/>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488</w:t>
            </w:r>
          </w:p>
        </w:tc>
        <w:tc>
          <w:tcPr>
            <w:tcW w:w="1838"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488</w:t>
            </w:r>
          </w:p>
        </w:tc>
      </w:tr>
      <w:tr w:rsidR="005B4603" w:rsidRPr="003B2882" w:rsidTr="00D15D81">
        <w:tc>
          <w:tcPr>
            <w:tcW w:w="16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3B2882" w:rsidRDefault="005B4603" w:rsidP="00D15D81">
            <w:pPr>
              <w:ind w:left="164"/>
              <w:rPr>
                <w:rFonts w:ascii="Arial" w:hAnsi="Arial" w:cs="Arial"/>
                <w:sz w:val="20"/>
                <w:szCs w:val="20"/>
              </w:rPr>
            </w:pPr>
            <w:r w:rsidRPr="003B2882">
              <w:rPr>
                <w:rFonts w:ascii="Arial" w:hAnsi="Arial" w:cs="Arial"/>
                <w:sz w:val="20"/>
                <w:szCs w:val="20"/>
              </w:rPr>
              <w:t>No Dep</w:t>
            </w:r>
          </w:p>
        </w:tc>
        <w:tc>
          <w:tcPr>
            <w:tcW w:w="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245</w:t>
            </w:r>
          </w:p>
        </w:tc>
        <w:tc>
          <w:tcPr>
            <w:tcW w:w="13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232</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192</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4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758" w:type="dxa"/>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232</w:t>
            </w:r>
          </w:p>
        </w:tc>
        <w:tc>
          <w:tcPr>
            <w:tcW w:w="850"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232</w:t>
            </w:r>
          </w:p>
        </w:tc>
        <w:tc>
          <w:tcPr>
            <w:tcW w:w="5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230</w:t>
            </w:r>
          </w:p>
        </w:tc>
        <w:tc>
          <w:tcPr>
            <w:tcW w:w="1415"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230</w:t>
            </w:r>
          </w:p>
        </w:tc>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230</w:t>
            </w:r>
          </w:p>
        </w:tc>
      </w:tr>
      <w:tr w:rsidR="005B4603" w:rsidRPr="003B2882" w:rsidTr="00D15D81">
        <w:trPr>
          <w:trHeight w:val="387"/>
        </w:trPr>
        <w:tc>
          <w:tcPr>
            <w:tcW w:w="1671"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Pr="003B2882" w:rsidRDefault="005B4603" w:rsidP="00D15D81">
            <w:pPr>
              <w:ind w:left="164"/>
              <w:rPr>
                <w:rFonts w:ascii="Arial" w:hAnsi="Arial" w:cs="Arial"/>
                <w:sz w:val="20"/>
                <w:szCs w:val="20"/>
              </w:rPr>
            </w:pPr>
            <w:r w:rsidRPr="003B2882">
              <w:rPr>
                <w:rFonts w:ascii="Arial" w:hAnsi="Arial" w:cs="Arial"/>
                <w:sz w:val="20"/>
                <w:szCs w:val="20"/>
              </w:rPr>
              <w:t>Current Dep</w:t>
            </w:r>
          </w:p>
        </w:tc>
        <w:tc>
          <w:tcPr>
            <w:tcW w:w="838"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263</w:t>
            </w:r>
          </w:p>
        </w:tc>
        <w:tc>
          <w:tcPr>
            <w:tcW w:w="1314"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259</w:t>
            </w:r>
          </w:p>
        </w:tc>
        <w:tc>
          <w:tcPr>
            <w:tcW w:w="1842"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209</w:t>
            </w:r>
          </w:p>
        </w:tc>
        <w:tc>
          <w:tcPr>
            <w:tcW w:w="1521" w:type="dxa"/>
            <w:tcBorders>
              <w:top w:val="single" w:sz="4" w:space="0" w:color="FFFFFF" w:themeColor="background1"/>
              <w:left w:val="single" w:sz="4" w:space="0" w:color="FFFFFF" w:themeColor="background1"/>
              <w:bottom w:val="single" w:sz="4" w:space="0" w:color="F2F2F2" w:themeColor="background1" w:themeShade="F2"/>
              <w:right w:val="single" w:sz="4" w:space="0" w:color="F2F2F2" w:themeColor="background1" w:themeShade="F2"/>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452" w:type="dxa"/>
            <w:tcBorders>
              <w:top w:val="single" w:sz="4" w:space="0" w:color="FFFFFF" w:themeColor="background1"/>
              <w:left w:val="single" w:sz="4" w:space="0" w:color="F2F2F2" w:themeColor="background1" w:themeShade="F2"/>
              <w:bottom w:val="single" w:sz="4" w:space="0" w:color="F2F2F2" w:themeColor="background1" w:themeShade="F2"/>
              <w:right w:val="single" w:sz="4" w:space="0" w:color="F2F2F2" w:themeColor="background1" w:themeShade="F2"/>
            </w:tcBorders>
          </w:tcPr>
          <w:p w:rsidR="005B4603" w:rsidRDefault="005B4603" w:rsidP="00D15D81">
            <w:pPr>
              <w:jc w:val="center"/>
              <w:rPr>
                <w:rFonts w:ascii="Arial" w:hAnsi="Arial" w:cs="Arial"/>
                <w:color w:val="000000"/>
                <w:sz w:val="20"/>
                <w:szCs w:val="20"/>
              </w:rPr>
            </w:pPr>
          </w:p>
        </w:tc>
        <w:tc>
          <w:tcPr>
            <w:tcW w:w="758" w:type="dxa"/>
            <w:tcBorders>
              <w:top w:val="single" w:sz="4" w:space="0" w:color="FFFFFF" w:themeColor="background1"/>
              <w:left w:val="single" w:sz="4" w:space="0" w:color="F2F2F2" w:themeColor="background1" w:themeShade="F2"/>
              <w:bottom w:val="single" w:sz="4" w:space="0" w:color="F2F2F2" w:themeColor="background1" w:themeShade="F2"/>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259</w:t>
            </w:r>
          </w:p>
        </w:tc>
        <w:tc>
          <w:tcPr>
            <w:tcW w:w="850" w:type="dxa"/>
            <w:tcBorders>
              <w:top w:val="single" w:sz="4" w:space="0" w:color="FFFFFF" w:themeColor="background1"/>
              <w:left w:val="single" w:sz="2"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259</w:t>
            </w:r>
          </w:p>
        </w:tc>
        <w:tc>
          <w:tcPr>
            <w:tcW w:w="566"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top w:val="single" w:sz="4" w:space="0" w:color="FFFFFF" w:themeColor="background1"/>
              <w:left w:val="single" w:sz="4" w:space="0" w:color="FFFFFF" w:themeColor="background1"/>
              <w:bottom w:val="single" w:sz="4" w:space="0" w:color="F2F2F2" w:themeColor="background1" w:themeShade="F2"/>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258</w:t>
            </w:r>
          </w:p>
        </w:tc>
        <w:tc>
          <w:tcPr>
            <w:tcW w:w="1415" w:type="dxa"/>
            <w:tcBorders>
              <w:top w:val="single" w:sz="4" w:space="0" w:color="FFFFFF" w:themeColor="background1"/>
              <w:left w:val="single" w:sz="2"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258</w:t>
            </w:r>
          </w:p>
        </w:tc>
        <w:tc>
          <w:tcPr>
            <w:tcW w:w="1838"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258</w:t>
            </w:r>
          </w:p>
        </w:tc>
      </w:tr>
      <w:tr w:rsidR="005B4603" w:rsidRPr="003B2882" w:rsidTr="00D15D81">
        <w:tc>
          <w:tcPr>
            <w:tcW w:w="1671"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Pr="003B2882" w:rsidRDefault="005B4603" w:rsidP="00D15D81">
            <w:pPr>
              <w:rPr>
                <w:rFonts w:ascii="Arial" w:hAnsi="Arial" w:cs="Arial"/>
                <w:sz w:val="20"/>
                <w:szCs w:val="20"/>
              </w:rPr>
            </w:pPr>
            <w:r w:rsidRPr="003B2882">
              <w:rPr>
                <w:rFonts w:ascii="Arial" w:hAnsi="Arial" w:cs="Arial"/>
                <w:sz w:val="20"/>
                <w:szCs w:val="20"/>
              </w:rPr>
              <w:t>Jackdaw</w:t>
            </w:r>
          </w:p>
        </w:tc>
        <w:tc>
          <w:tcPr>
            <w:tcW w:w="838"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475</w:t>
            </w:r>
          </w:p>
        </w:tc>
        <w:tc>
          <w:tcPr>
            <w:tcW w:w="1314"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455</w:t>
            </w:r>
          </w:p>
        </w:tc>
        <w:tc>
          <w:tcPr>
            <w:tcW w:w="1842" w:type="dxa"/>
            <w:tcBorders>
              <w:top w:val="single" w:sz="4" w:space="0" w:color="F2F2F2" w:themeColor="background1" w:themeShade="F2"/>
              <w:left w:val="single" w:sz="4" w:space="0" w:color="FFFFFF" w:themeColor="background1"/>
              <w:bottom w:val="single" w:sz="2"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355</w:t>
            </w:r>
          </w:p>
        </w:tc>
        <w:tc>
          <w:tcPr>
            <w:tcW w:w="1521"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468</w:t>
            </w:r>
          </w:p>
        </w:tc>
        <w:tc>
          <w:tcPr>
            <w:tcW w:w="452"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758" w:type="dxa"/>
            <w:tcBorders>
              <w:top w:val="single" w:sz="4" w:space="0" w:color="F2F2F2" w:themeColor="background1" w:themeShade="F2"/>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850" w:type="dxa"/>
            <w:tcBorders>
              <w:top w:val="single" w:sz="4" w:space="0" w:color="F2F2F2" w:themeColor="background1" w:themeShade="F2"/>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566"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top w:val="single" w:sz="4" w:space="0" w:color="F2F2F2" w:themeColor="background1" w:themeShade="F2"/>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415" w:type="dxa"/>
            <w:tcBorders>
              <w:top w:val="single" w:sz="4" w:space="0" w:color="F2F2F2" w:themeColor="background1" w:themeShade="F2"/>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38"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r>
      <w:tr w:rsidR="005B4603" w:rsidRPr="003B2882" w:rsidTr="00D15D81">
        <w:tc>
          <w:tcPr>
            <w:tcW w:w="16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3B2882" w:rsidRDefault="005B4603" w:rsidP="00D15D81">
            <w:pPr>
              <w:ind w:left="164"/>
              <w:rPr>
                <w:rFonts w:ascii="Arial" w:hAnsi="Arial" w:cs="Arial"/>
                <w:sz w:val="20"/>
                <w:szCs w:val="20"/>
              </w:rPr>
            </w:pPr>
            <w:r w:rsidRPr="003B2882">
              <w:rPr>
                <w:rFonts w:ascii="Arial" w:hAnsi="Arial" w:cs="Arial"/>
                <w:sz w:val="20"/>
                <w:szCs w:val="20"/>
              </w:rPr>
              <w:t>No Dep</w:t>
            </w:r>
          </w:p>
        </w:tc>
        <w:tc>
          <w:tcPr>
            <w:tcW w:w="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280</w:t>
            </w:r>
          </w:p>
        </w:tc>
        <w:tc>
          <w:tcPr>
            <w:tcW w:w="13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262</w:t>
            </w:r>
          </w:p>
        </w:tc>
        <w:tc>
          <w:tcPr>
            <w:tcW w:w="1842" w:type="dxa"/>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201</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276</w:t>
            </w:r>
          </w:p>
        </w:tc>
        <w:tc>
          <w:tcPr>
            <w:tcW w:w="4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758" w:type="dxa"/>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850"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5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415"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r>
      <w:tr w:rsidR="005B4603" w:rsidRPr="003B2882" w:rsidTr="00D15D81">
        <w:trPr>
          <w:trHeight w:val="371"/>
        </w:trPr>
        <w:tc>
          <w:tcPr>
            <w:tcW w:w="1671" w:type="dxa"/>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5B4603" w:rsidRPr="003B2882" w:rsidRDefault="005B4603" w:rsidP="00D15D81">
            <w:pPr>
              <w:ind w:left="164"/>
              <w:rPr>
                <w:rFonts w:ascii="Arial" w:hAnsi="Arial" w:cs="Arial"/>
                <w:sz w:val="20"/>
                <w:szCs w:val="20"/>
              </w:rPr>
            </w:pPr>
            <w:r w:rsidRPr="003B2882">
              <w:rPr>
                <w:rFonts w:ascii="Arial" w:hAnsi="Arial" w:cs="Arial"/>
                <w:sz w:val="20"/>
                <w:szCs w:val="20"/>
              </w:rPr>
              <w:t>Current Dep</w:t>
            </w:r>
          </w:p>
        </w:tc>
        <w:tc>
          <w:tcPr>
            <w:tcW w:w="838" w:type="dxa"/>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195</w:t>
            </w:r>
          </w:p>
        </w:tc>
        <w:tc>
          <w:tcPr>
            <w:tcW w:w="1314" w:type="dxa"/>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193</w:t>
            </w:r>
          </w:p>
        </w:tc>
        <w:tc>
          <w:tcPr>
            <w:tcW w:w="1842"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154</w:t>
            </w:r>
          </w:p>
        </w:tc>
        <w:tc>
          <w:tcPr>
            <w:tcW w:w="1521" w:type="dxa"/>
            <w:tcBorders>
              <w:top w:val="single" w:sz="4" w:space="0" w:color="FFFFFF" w:themeColor="background1"/>
              <w:left w:val="single" w:sz="4" w:space="0" w:color="FFFFFF" w:themeColor="background1"/>
              <w:bottom w:val="single" w:sz="4" w:space="0" w:color="F2F2F2" w:themeColor="background1" w:themeShade="F2"/>
              <w:right w:val="single" w:sz="4" w:space="0" w:color="F2F2F2" w:themeColor="background1" w:themeShade="F2"/>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192</w:t>
            </w:r>
          </w:p>
        </w:tc>
        <w:tc>
          <w:tcPr>
            <w:tcW w:w="452" w:type="dxa"/>
            <w:tcBorders>
              <w:top w:val="single" w:sz="4" w:space="0" w:color="FFFFFF" w:themeColor="background1"/>
              <w:left w:val="single" w:sz="4" w:space="0" w:color="F2F2F2" w:themeColor="background1" w:themeShade="F2"/>
              <w:bottom w:val="single" w:sz="4" w:space="0" w:color="F2F2F2" w:themeColor="background1" w:themeShade="F2"/>
              <w:right w:val="single" w:sz="4" w:space="0" w:color="F2F2F2" w:themeColor="background1" w:themeShade="F2"/>
            </w:tcBorders>
          </w:tcPr>
          <w:p w:rsidR="005B4603" w:rsidRDefault="005B4603" w:rsidP="00D15D81">
            <w:pPr>
              <w:jc w:val="center"/>
              <w:rPr>
                <w:rFonts w:ascii="Arial" w:hAnsi="Arial" w:cs="Arial"/>
                <w:color w:val="000000"/>
                <w:sz w:val="20"/>
                <w:szCs w:val="20"/>
              </w:rPr>
            </w:pPr>
          </w:p>
        </w:tc>
        <w:tc>
          <w:tcPr>
            <w:tcW w:w="758" w:type="dxa"/>
            <w:tcBorders>
              <w:top w:val="single" w:sz="4" w:space="0" w:color="FFFFFF" w:themeColor="background1"/>
              <w:left w:val="single" w:sz="4" w:space="0" w:color="F2F2F2" w:themeColor="background1" w:themeShade="F2"/>
              <w:bottom w:val="single" w:sz="4" w:space="0" w:color="F2F2F2" w:themeColor="background1" w:themeShade="F2"/>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850" w:type="dxa"/>
            <w:tcBorders>
              <w:top w:val="single" w:sz="4" w:space="0" w:color="FFFFFF" w:themeColor="background1"/>
              <w:left w:val="single" w:sz="2"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566"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top w:val="single" w:sz="4" w:space="0" w:color="FFFFFF" w:themeColor="background1"/>
              <w:left w:val="single" w:sz="4" w:space="0" w:color="FFFFFF" w:themeColor="background1"/>
              <w:bottom w:val="single" w:sz="4" w:space="0" w:color="F2F2F2" w:themeColor="background1" w:themeShade="F2"/>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415" w:type="dxa"/>
            <w:tcBorders>
              <w:top w:val="single" w:sz="4" w:space="0" w:color="FFFFFF" w:themeColor="background1"/>
              <w:left w:val="single" w:sz="2"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38" w:type="dxa"/>
            <w:tcBorders>
              <w:top w:val="single" w:sz="4" w:space="0" w:color="FFFFFF" w:themeColor="background1"/>
              <w:left w:val="single" w:sz="4"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r>
      <w:tr w:rsidR="005B4603" w:rsidRPr="003B2882" w:rsidTr="00D15D81">
        <w:tc>
          <w:tcPr>
            <w:tcW w:w="1671" w:type="dxa"/>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3B2882" w:rsidRDefault="005B4603" w:rsidP="00D15D81">
            <w:pPr>
              <w:rPr>
                <w:rFonts w:ascii="Arial" w:hAnsi="Arial" w:cs="Arial"/>
                <w:sz w:val="20"/>
                <w:szCs w:val="20"/>
              </w:rPr>
            </w:pPr>
            <w:r w:rsidRPr="003B2882">
              <w:rPr>
                <w:rFonts w:ascii="Arial" w:hAnsi="Arial" w:cs="Arial"/>
                <w:sz w:val="20"/>
                <w:szCs w:val="20"/>
              </w:rPr>
              <w:t>Woodpecker</w:t>
            </w:r>
          </w:p>
        </w:tc>
        <w:tc>
          <w:tcPr>
            <w:tcW w:w="838" w:type="dxa"/>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181</w:t>
            </w:r>
          </w:p>
        </w:tc>
        <w:tc>
          <w:tcPr>
            <w:tcW w:w="1314" w:type="dxa"/>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42"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1521"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452"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758" w:type="dxa"/>
            <w:tcBorders>
              <w:top w:val="single" w:sz="4" w:space="0" w:color="F2F2F2" w:themeColor="background1" w:themeShade="F2"/>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180</w:t>
            </w:r>
          </w:p>
        </w:tc>
        <w:tc>
          <w:tcPr>
            <w:tcW w:w="850" w:type="dxa"/>
            <w:tcBorders>
              <w:top w:val="single" w:sz="4" w:space="0" w:color="F2F2F2" w:themeColor="background1" w:themeShade="F2"/>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180</w:t>
            </w:r>
          </w:p>
        </w:tc>
        <w:tc>
          <w:tcPr>
            <w:tcW w:w="566"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top w:val="single" w:sz="4" w:space="0" w:color="F2F2F2" w:themeColor="background1" w:themeShade="F2"/>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1415" w:type="dxa"/>
            <w:tcBorders>
              <w:top w:val="single" w:sz="4" w:space="0" w:color="F2F2F2" w:themeColor="background1" w:themeShade="F2"/>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1838"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r>
      <w:tr w:rsidR="005B4603" w:rsidRPr="003B2882" w:rsidTr="00D15D81">
        <w:tc>
          <w:tcPr>
            <w:tcW w:w="16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3B2882" w:rsidRDefault="005B4603" w:rsidP="00D15D81">
            <w:pPr>
              <w:ind w:left="164"/>
              <w:rPr>
                <w:rFonts w:ascii="Arial" w:hAnsi="Arial" w:cs="Arial"/>
                <w:sz w:val="20"/>
                <w:szCs w:val="20"/>
              </w:rPr>
            </w:pPr>
            <w:r w:rsidRPr="003B2882">
              <w:rPr>
                <w:rFonts w:ascii="Arial" w:hAnsi="Arial" w:cs="Arial"/>
                <w:sz w:val="20"/>
                <w:szCs w:val="20"/>
              </w:rPr>
              <w:t>No Dep</w:t>
            </w:r>
          </w:p>
        </w:tc>
        <w:tc>
          <w:tcPr>
            <w:tcW w:w="838" w:type="dxa"/>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59</w:t>
            </w:r>
          </w:p>
        </w:tc>
        <w:tc>
          <w:tcPr>
            <w:tcW w:w="1314"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4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758" w:type="dxa"/>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850"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5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1415"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1838" w:type="dxa"/>
            <w:tcBorders>
              <w:top w:val="single" w:sz="4" w:space="0" w:color="F2F2F2" w:themeColor="background1" w:themeShade="F2"/>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r>
      <w:tr w:rsidR="005B4603" w:rsidRPr="003B2882" w:rsidTr="00D15D81">
        <w:trPr>
          <w:trHeight w:val="354"/>
        </w:trPr>
        <w:tc>
          <w:tcPr>
            <w:tcW w:w="1671" w:type="dxa"/>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5B4603" w:rsidRPr="003B2882" w:rsidRDefault="005B4603" w:rsidP="00D15D81">
            <w:pPr>
              <w:ind w:left="164"/>
              <w:rPr>
                <w:rFonts w:ascii="Arial" w:hAnsi="Arial" w:cs="Arial"/>
                <w:sz w:val="20"/>
                <w:szCs w:val="20"/>
              </w:rPr>
            </w:pPr>
            <w:r w:rsidRPr="003B2882">
              <w:rPr>
                <w:rFonts w:ascii="Arial" w:hAnsi="Arial" w:cs="Arial"/>
                <w:sz w:val="20"/>
                <w:szCs w:val="20"/>
              </w:rPr>
              <w:t>Current Dep</w:t>
            </w:r>
          </w:p>
        </w:tc>
        <w:tc>
          <w:tcPr>
            <w:tcW w:w="838" w:type="dxa"/>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122</w:t>
            </w:r>
          </w:p>
        </w:tc>
        <w:tc>
          <w:tcPr>
            <w:tcW w:w="1314" w:type="dxa"/>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42" w:type="dxa"/>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1521" w:type="dxa"/>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452" w:type="dxa"/>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758" w:type="dxa"/>
            <w:tcBorders>
              <w:top w:val="single" w:sz="4" w:space="0" w:color="FFFFFF" w:themeColor="background1"/>
              <w:left w:val="single" w:sz="4" w:space="0" w:color="FFFFFF" w:themeColor="background1"/>
              <w:bottom w:val="single" w:sz="2"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121</w:t>
            </w:r>
          </w:p>
        </w:tc>
        <w:tc>
          <w:tcPr>
            <w:tcW w:w="850" w:type="dxa"/>
            <w:tcBorders>
              <w:top w:val="single" w:sz="4" w:space="0" w:color="FFFFFF" w:themeColor="background1"/>
              <w:left w:val="single" w:sz="2" w:space="0" w:color="FFFFFF" w:themeColor="background1"/>
              <w:bottom w:val="single" w:sz="2"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121</w:t>
            </w:r>
          </w:p>
        </w:tc>
        <w:tc>
          <w:tcPr>
            <w:tcW w:w="566" w:type="dxa"/>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top w:val="single" w:sz="4" w:space="0" w:color="FFFFFF" w:themeColor="background1"/>
              <w:left w:val="single" w:sz="4" w:space="0" w:color="FFFFFF" w:themeColor="background1"/>
              <w:bottom w:val="single" w:sz="2"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1415" w:type="dxa"/>
            <w:tcBorders>
              <w:top w:val="single" w:sz="4" w:space="0" w:color="FFFFFF" w:themeColor="background1"/>
              <w:left w:val="single" w:sz="2" w:space="0" w:color="FFFFFF" w:themeColor="background1"/>
              <w:bottom w:val="single" w:sz="2"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1838" w:type="dxa"/>
            <w:tcBorders>
              <w:top w:val="single" w:sz="4" w:space="0" w:color="FFFFFF" w:themeColor="background1"/>
              <w:left w:val="single" w:sz="4" w:space="0" w:color="FFFFFF" w:themeColor="background1"/>
              <w:bottom w:val="single" w:sz="2"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r>
      <w:tr w:rsidR="005B4603" w:rsidRPr="003B2882" w:rsidTr="00D15D81">
        <w:tc>
          <w:tcPr>
            <w:tcW w:w="1671" w:type="dxa"/>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3B2882" w:rsidRDefault="005B4603" w:rsidP="00D15D81">
            <w:pPr>
              <w:rPr>
                <w:rFonts w:ascii="Arial" w:hAnsi="Arial" w:cs="Arial"/>
                <w:sz w:val="20"/>
                <w:szCs w:val="20"/>
              </w:rPr>
            </w:pPr>
            <w:r w:rsidRPr="003B2882">
              <w:rPr>
                <w:rFonts w:ascii="Arial" w:hAnsi="Arial" w:cs="Arial"/>
                <w:sz w:val="20"/>
                <w:szCs w:val="20"/>
              </w:rPr>
              <w:t>Blackbird</w:t>
            </w:r>
          </w:p>
        </w:tc>
        <w:tc>
          <w:tcPr>
            <w:tcW w:w="838" w:type="dxa"/>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240</w:t>
            </w:r>
          </w:p>
        </w:tc>
        <w:tc>
          <w:tcPr>
            <w:tcW w:w="1314" w:type="dxa"/>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42" w:type="dxa"/>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1521" w:type="dxa"/>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452" w:type="dxa"/>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758" w:type="dxa"/>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850"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566"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415" w:type="dxa"/>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38" w:type="dxa"/>
            <w:tcBorders>
              <w:top w:val="single" w:sz="2"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r>
      <w:tr w:rsidR="005B4603" w:rsidRPr="003B2882" w:rsidTr="00D15D81">
        <w:tc>
          <w:tcPr>
            <w:tcW w:w="16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3B2882" w:rsidRDefault="005B4603" w:rsidP="00D15D81">
            <w:pPr>
              <w:ind w:left="164"/>
              <w:rPr>
                <w:rFonts w:ascii="Arial" w:hAnsi="Arial" w:cs="Arial"/>
                <w:sz w:val="20"/>
                <w:szCs w:val="20"/>
              </w:rPr>
            </w:pPr>
            <w:r w:rsidRPr="003B2882">
              <w:rPr>
                <w:rFonts w:ascii="Arial" w:hAnsi="Arial" w:cs="Arial"/>
                <w:sz w:val="20"/>
                <w:szCs w:val="20"/>
              </w:rPr>
              <w:t>No Dep</w:t>
            </w:r>
          </w:p>
        </w:tc>
        <w:tc>
          <w:tcPr>
            <w:tcW w:w="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64</w:t>
            </w:r>
          </w:p>
        </w:tc>
        <w:tc>
          <w:tcPr>
            <w:tcW w:w="13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4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758" w:type="dxa"/>
            <w:tcBorders>
              <w:top w:val="single" w:sz="4" w:space="0" w:color="FFFFFF" w:themeColor="background1"/>
              <w:left w:val="single" w:sz="4"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850" w:type="dxa"/>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566" w:type="dxa"/>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415" w:type="dxa"/>
            <w:tcBorders>
              <w:top w:val="single" w:sz="4" w:space="0" w:color="FFFFFF" w:themeColor="background1"/>
              <w:left w:val="single" w:sz="2"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r>
      <w:tr w:rsidR="005B4603" w:rsidRPr="003B2882" w:rsidTr="00D15D81">
        <w:trPr>
          <w:trHeight w:val="367"/>
        </w:trPr>
        <w:tc>
          <w:tcPr>
            <w:tcW w:w="1671" w:type="dxa"/>
            <w:tcBorders>
              <w:top w:val="single" w:sz="4" w:space="0" w:color="FFFFFF" w:themeColor="background1"/>
              <w:left w:val="single" w:sz="4" w:space="0" w:color="FFFFFF" w:themeColor="background1"/>
              <w:right w:val="single" w:sz="4" w:space="0" w:color="FFFFFF" w:themeColor="background1"/>
            </w:tcBorders>
          </w:tcPr>
          <w:p w:rsidR="005B4603" w:rsidRPr="003B2882" w:rsidRDefault="005B4603" w:rsidP="00D15D81">
            <w:pPr>
              <w:ind w:left="164"/>
              <w:rPr>
                <w:rFonts w:ascii="Arial" w:hAnsi="Arial" w:cs="Arial"/>
                <w:sz w:val="20"/>
                <w:szCs w:val="20"/>
              </w:rPr>
            </w:pPr>
            <w:r w:rsidRPr="003B2882">
              <w:rPr>
                <w:rFonts w:ascii="Arial" w:hAnsi="Arial" w:cs="Arial"/>
                <w:sz w:val="20"/>
                <w:szCs w:val="20"/>
              </w:rPr>
              <w:t>Current Dep</w:t>
            </w:r>
          </w:p>
        </w:tc>
        <w:tc>
          <w:tcPr>
            <w:tcW w:w="838" w:type="dxa"/>
            <w:tcBorders>
              <w:top w:val="single" w:sz="4" w:space="0" w:color="FFFFFF" w:themeColor="background1"/>
              <w:left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176</w:t>
            </w:r>
          </w:p>
        </w:tc>
        <w:tc>
          <w:tcPr>
            <w:tcW w:w="1314"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42" w:type="dxa"/>
            <w:tcBorders>
              <w:top w:val="single" w:sz="4" w:space="0" w:color="FFFFFF" w:themeColor="background1"/>
              <w:left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1521" w:type="dxa"/>
            <w:tcBorders>
              <w:top w:val="single" w:sz="4" w:space="0" w:color="FFFFFF" w:themeColor="background1"/>
              <w:left w:val="single" w:sz="4"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ND</w:t>
            </w:r>
          </w:p>
        </w:tc>
        <w:tc>
          <w:tcPr>
            <w:tcW w:w="452" w:type="dxa"/>
            <w:tcBorders>
              <w:top w:val="single" w:sz="4" w:space="0" w:color="FFFFFF" w:themeColor="background1"/>
              <w:left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758" w:type="dxa"/>
            <w:tcBorders>
              <w:top w:val="single" w:sz="4" w:space="0" w:color="FFFFFF" w:themeColor="background1"/>
              <w:left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850" w:type="dxa"/>
            <w:tcBorders>
              <w:top w:val="single" w:sz="4" w:space="0" w:color="FFFFFF" w:themeColor="background1"/>
              <w:left w:val="single" w:sz="2"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566" w:type="dxa"/>
            <w:tcBorders>
              <w:top w:val="single" w:sz="4" w:space="0" w:color="FFFFFF" w:themeColor="background1"/>
              <w:left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p>
        </w:tc>
        <w:tc>
          <w:tcPr>
            <w:tcW w:w="883" w:type="dxa"/>
            <w:tcBorders>
              <w:top w:val="single" w:sz="4" w:space="0" w:color="FFFFFF" w:themeColor="background1"/>
              <w:left w:val="single" w:sz="4" w:space="0" w:color="FFFFFF" w:themeColor="background1"/>
              <w:right w:val="single" w:sz="2"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415" w:type="dxa"/>
            <w:tcBorders>
              <w:top w:val="single" w:sz="4" w:space="0" w:color="FFFFFF" w:themeColor="background1"/>
              <w:left w:val="single" w:sz="2" w:space="0" w:color="FFFFFF" w:themeColor="background1"/>
              <w:right w:val="single" w:sz="4" w:space="0" w:color="FFFFFF" w:themeColor="background1"/>
            </w:tcBorders>
          </w:tcPr>
          <w:p w:rsidR="005B4603" w:rsidRPr="00EC3F45" w:rsidRDefault="005B4603" w:rsidP="00D15D81">
            <w:pPr>
              <w:jc w:val="center"/>
              <w:rPr>
                <w:rFonts w:ascii="Arial" w:hAnsi="Arial" w:cs="Arial"/>
                <w:color w:val="000000"/>
                <w:sz w:val="20"/>
                <w:szCs w:val="20"/>
              </w:rPr>
            </w:pPr>
            <w:r w:rsidRPr="00EC3F45">
              <w:rPr>
                <w:rFonts w:ascii="Arial" w:hAnsi="Arial" w:cs="Arial"/>
                <w:color w:val="000000"/>
                <w:sz w:val="20"/>
                <w:szCs w:val="20"/>
              </w:rPr>
              <w:t>FS</w:t>
            </w:r>
          </w:p>
        </w:tc>
        <w:tc>
          <w:tcPr>
            <w:tcW w:w="1838" w:type="dxa"/>
            <w:tcBorders>
              <w:top w:val="single" w:sz="4" w:space="0" w:color="FFFFFF" w:themeColor="background1"/>
              <w:left w:val="single" w:sz="4" w:space="0" w:color="FFFFFF" w:themeColor="background1"/>
              <w:right w:val="single" w:sz="4" w:space="0" w:color="FFFFFF" w:themeColor="background1"/>
            </w:tcBorders>
          </w:tcPr>
          <w:p w:rsidR="005B4603" w:rsidRDefault="005B4603" w:rsidP="00D15D81">
            <w:pPr>
              <w:jc w:val="center"/>
              <w:rPr>
                <w:rFonts w:ascii="Arial" w:hAnsi="Arial" w:cs="Arial"/>
                <w:color w:val="000000"/>
                <w:sz w:val="20"/>
                <w:szCs w:val="20"/>
              </w:rPr>
            </w:pPr>
            <w:r>
              <w:rPr>
                <w:rFonts w:ascii="Arial" w:hAnsi="Arial" w:cs="Arial"/>
                <w:color w:val="000000"/>
                <w:sz w:val="20"/>
                <w:szCs w:val="20"/>
              </w:rPr>
              <w:t>FS</w:t>
            </w:r>
          </w:p>
        </w:tc>
      </w:tr>
    </w:tbl>
    <w:p w:rsidR="005B4603" w:rsidRPr="00485355" w:rsidRDefault="005B4603" w:rsidP="005B4603">
      <w:pPr>
        <w:rPr>
          <w:rFonts w:ascii="Arial" w:hAnsi="Arial" w:cs="Arial"/>
          <w:sz w:val="20"/>
          <w:szCs w:val="20"/>
        </w:rPr>
      </w:pPr>
      <w:r w:rsidRPr="00485355">
        <w:rPr>
          <w:rFonts w:ascii="Arial" w:hAnsi="Arial" w:cs="Arial"/>
          <w:sz w:val="20"/>
          <w:szCs w:val="20"/>
        </w:rPr>
        <w:t>Table S1</w:t>
      </w:r>
    </w:p>
    <w:p w:rsidR="005B4603" w:rsidRPr="00485355" w:rsidRDefault="005B4603" w:rsidP="005B4603">
      <w:pPr>
        <w:rPr>
          <w:rFonts w:ascii="Arial" w:hAnsi="Arial" w:cs="Arial"/>
          <w:i/>
          <w:sz w:val="20"/>
          <w:szCs w:val="18"/>
        </w:rPr>
      </w:pPr>
      <w:r>
        <w:rPr>
          <w:rFonts w:ascii="Arial" w:hAnsi="Arial" w:cs="Arial"/>
          <w:i/>
          <w:sz w:val="20"/>
          <w:szCs w:val="20"/>
        </w:rPr>
        <w:t>S</w:t>
      </w:r>
      <w:r w:rsidRPr="00485355">
        <w:rPr>
          <w:rFonts w:ascii="Arial" w:hAnsi="Arial" w:cs="Arial"/>
          <w:i/>
          <w:sz w:val="20"/>
          <w:szCs w:val="20"/>
        </w:rPr>
        <w:t>ample size</w:t>
      </w:r>
      <w:r>
        <w:rPr>
          <w:rFonts w:ascii="Arial" w:hAnsi="Arial" w:cs="Arial"/>
          <w:i/>
          <w:sz w:val="20"/>
          <w:szCs w:val="20"/>
        </w:rPr>
        <w:t>s</w:t>
      </w:r>
      <w:r w:rsidRPr="00485355">
        <w:rPr>
          <w:rFonts w:ascii="Arial" w:hAnsi="Arial" w:cs="Arial"/>
          <w:i/>
          <w:sz w:val="20"/>
          <w:szCs w:val="20"/>
        </w:rPr>
        <w:t xml:space="preserve"> used to compute the</w:t>
      </w:r>
      <w:r>
        <w:rPr>
          <w:rFonts w:ascii="Arial" w:hAnsi="Arial" w:cs="Arial"/>
          <w:i/>
          <w:sz w:val="20"/>
          <w:szCs w:val="20"/>
        </w:rPr>
        <w:t xml:space="preserve"> value in each cell of Table 1: </w:t>
      </w:r>
      <w:r w:rsidRPr="00485355">
        <w:rPr>
          <w:rFonts w:ascii="Arial" w:hAnsi="Arial" w:cs="Arial"/>
          <w:i/>
          <w:sz w:val="20"/>
          <w:szCs w:val="18"/>
        </w:rPr>
        <w:t>Baseline characteristics and attendance information for the pooled s</w:t>
      </w:r>
      <w:r>
        <w:rPr>
          <w:rFonts w:ascii="Arial" w:hAnsi="Arial" w:cs="Arial"/>
          <w:i/>
          <w:sz w:val="20"/>
          <w:szCs w:val="18"/>
        </w:rPr>
        <w:t>ample and each service, sub-divided into</w:t>
      </w:r>
      <w:r w:rsidRPr="00485355">
        <w:rPr>
          <w:rFonts w:ascii="Arial" w:hAnsi="Arial" w:cs="Arial"/>
          <w:i/>
          <w:sz w:val="20"/>
          <w:szCs w:val="18"/>
        </w:rPr>
        <w:t xml:space="preserve"> non-depressed </w:t>
      </w:r>
      <w:r>
        <w:rPr>
          <w:rFonts w:ascii="Arial" w:hAnsi="Arial" w:cs="Arial"/>
          <w:i/>
          <w:sz w:val="20"/>
          <w:szCs w:val="18"/>
        </w:rPr>
        <w:t xml:space="preserve">(‘No dep’) and </w:t>
      </w:r>
      <w:r w:rsidRPr="00485355">
        <w:rPr>
          <w:rFonts w:ascii="Arial" w:hAnsi="Arial" w:cs="Arial"/>
          <w:i/>
          <w:sz w:val="20"/>
          <w:szCs w:val="18"/>
        </w:rPr>
        <w:t xml:space="preserve">depressed </w:t>
      </w:r>
      <w:r>
        <w:rPr>
          <w:rFonts w:ascii="Arial" w:hAnsi="Arial" w:cs="Arial"/>
          <w:i/>
          <w:sz w:val="20"/>
          <w:szCs w:val="18"/>
        </w:rPr>
        <w:t>(‘Current dep’) at entry to treatment.</w:t>
      </w:r>
    </w:p>
    <w:p w:rsidR="005B4603" w:rsidRDefault="005B4603" w:rsidP="005B4603">
      <w:pPr>
        <w:rPr>
          <w:rFonts w:ascii="Arial" w:hAnsi="Arial" w:cs="Arial"/>
          <w:i/>
          <w:sz w:val="20"/>
          <w:szCs w:val="20"/>
        </w:rPr>
      </w:pPr>
    </w:p>
    <w:p w:rsidR="005B4603" w:rsidRPr="00032A64" w:rsidRDefault="005B4603" w:rsidP="005B4603">
      <w:pPr>
        <w:rPr>
          <w:rFonts w:ascii="Arial" w:hAnsi="Arial" w:cs="Arial"/>
          <w:sz w:val="20"/>
          <w:szCs w:val="24"/>
        </w:rPr>
      </w:pPr>
      <w:r w:rsidRPr="00485355">
        <w:rPr>
          <w:rFonts w:ascii="Arial" w:hAnsi="Arial" w:cs="Arial"/>
          <w:i/>
          <w:sz w:val="20"/>
          <w:szCs w:val="20"/>
        </w:rPr>
        <w:t>Note</w:t>
      </w:r>
      <w:r w:rsidRPr="00485355">
        <w:rPr>
          <w:rFonts w:ascii="Arial" w:hAnsi="Arial" w:cs="Arial"/>
          <w:sz w:val="20"/>
          <w:szCs w:val="20"/>
        </w:rPr>
        <w:t>. FS = full sample; ND = no data.</w:t>
      </w:r>
    </w:p>
    <w:p w:rsidR="005B4603" w:rsidRPr="00F01BBC" w:rsidRDefault="005B4603" w:rsidP="005B4603">
      <w:pPr>
        <w:rPr>
          <w:rFonts w:ascii="Arial" w:hAnsi="Arial" w:cs="Arial"/>
          <w:i/>
          <w:sz w:val="20"/>
          <w:szCs w:val="20"/>
        </w:rPr>
      </w:pPr>
    </w:p>
    <w:p w:rsidR="00DB7897" w:rsidRDefault="00DB7897"/>
    <w:sectPr w:rsidR="00DB78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603"/>
    <w:rsid w:val="005B4603"/>
    <w:rsid w:val="00922455"/>
    <w:rsid w:val="00DB7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5B4603"/>
    <w:pPr>
      <w:keepNext/>
      <w:keepLines/>
      <w:spacing w:before="40" w:after="0" w:line="480" w:lineRule="auto"/>
      <w:outlineLvl w:val="1"/>
    </w:pPr>
    <w:rPr>
      <w:rFonts w:ascii="Times New Roman" w:eastAsiaTheme="majorEastAsia" w:hAnsi="Times New Roman" w:cstheme="majorBidi"/>
      <w:b/>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B4603"/>
    <w:rPr>
      <w:rFonts w:ascii="Times New Roman" w:eastAsiaTheme="majorEastAsia" w:hAnsi="Times New Roman" w:cstheme="majorBidi"/>
      <w:b/>
      <w:szCs w:val="26"/>
      <w:lang w:val="en-GB"/>
    </w:rPr>
  </w:style>
  <w:style w:type="table" w:styleId="TableGrid">
    <w:name w:val="Table Grid"/>
    <w:basedOn w:val="TableNormal"/>
    <w:uiPriority w:val="39"/>
    <w:rsid w:val="005B460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5B4603"/>
    <w:pPr>
      <w:keepNext/>
      <w:keepLines/>
      <w:spacing w:before="40" w:after="0" w:line="480" w:lineRule="auto"/>
      <w:outlineLvl w:val="1"/>
    </w:pPr>
    <w:rPr>
      <w:rFonts w:ascii="Times New Roman" w:eastAsiaTheme="majorEastAsia" w:hAnsi="Times New Roman" w:cstheme="majorBidi"/>
      <w:b/>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B4603"/>
    <w:rPr>
      <w:rFonts w:ascii="Times New Roman" w:eastAsiaTheme="majorEastAsia" w:hAnsi="Times New Roman" w:cstheme="majorBidi"/>
      <w:b/>
      <w:szCs w:val="26"/>
      <w:lang w:val="en-GB"/>
    </w:rPr>
  </w:style>
  <w:style w:type="table" w:styleId="TableGrid">
    <w:name w:val="Table Grid"/>
    <w:basedOn w:val="TableNormal"/>
    <w:uiPriority w:val="39"/>
    <w:rsid w:val="005B460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1324</Words>
  <Characters>7619</Characters>
  <Application>Microsoft Office Word</Application>
  <DocSecurity>0</DocSecurity>
  <Lines>158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RICTUBO</dc:creator>
  <cp:lastModifiedBy>RICTUBO</cp:lastModifiedBy>
  <cp:revision>1</cp:revision>
  <dcterms:created xsi:type="dcterms:W3CDTF">2018-12-27T13:35:00Z</dcterms:created>
  <dcterms:modified xsi:type="dcterms:W3CDTF">2018-12-27T13:36:00Z</dcterms:modified>
</cp:coreProperties>
</file>