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18E31" w14:textId="77777777" w:rsidR="002624A6" w:rsidRDefault="00000000">
      <w:pPr>
        <w:jc w:val="center"/>
        <w:rPr>
          <w:b/>
        </w:rPr>
      </w:pPr>
      <w:r>
        <w:rPr>
          <w:b/>
        </w:rPr>
        <w:t>SUPPLEMENTARY METHODS, ANALYSIS, AND FIGURES</w:t>
      </w:r>
    </w:p>
    <w:p w14:paraId="3748C518" w14:textId="77777777" w:rsidR="002624A6" w:rsidRDefault="002624A6">
      <w:pPr>
        <w:spacing w:line="276" w:lineRule="auto"/>
        <w:rPr>
          <w:rFonts w:ascii="Merriweather" w:eastAsia="Merriweather" w:hAnsi="Merriweather" w:cs="Merriweather"/>
          <w:b/>
          <w:color w:val="222222"/>
          <w:sz w:val="27"/>
          <w:szCs w:val="27"/>
        </w:rPr>
      </w:pPr>
    </w:p>
    <w:p w14:paraId="7B5F505B" w14:textId="77777777" w:rsidR="002624A6" w:rsidRDefault="002624A6">
      <w:pPr>
        <w:spacing w:line="276" w:lineRule="auto"/>
      </w:pPr>
    </w:p>
    <w:p w14:paraId="129A9AFD" w14:textId="77777777" w:rsidR="002624A6" w:rsidRDefault="00000000">
      <w:pPr>
        <w:spacing w:line="276" w:lineRule="auto"/>
        <w:rPr>
          <w:b/>
          <w:sz w:val="28"/>
          <w:szCs w:val="28"/>
        </w:rPr>
      </w:pPr>
      <w:r>
        <w:rPr>
          <w:b/>
          <w:sz w:val="28"/>
          <w:szCs w:val="28"/>
        </w:rPr>
        <w:t xml:space="preserve">Sleep-Based Brain Age is Reduced in Advanced Meditators </w:t>
      </w:r>
    </w:p>
    <w:p w14:paraId="50388CFD" w14:textId="77777777" w:rsidR="002624A6" w:rsidRDefault="00000000">
      <w:pPr>
        <w:spacing w:line="276" w:lineRule="auto"/>
      </w:pPr>
      <w:r>
        <w:t xml:space="preserve">Jayme C. Banks, BA, Sepideh Hariri, PhD, Kestutis </w:t>
      </w:r>
      <w:proofErr w:type="spellStart"/>
      <w:r>
        <w:t>Kveraga</w:t>
      </w:r>
      <w:proofErr w:type="spellEnd"/>
      <w:r>
        <w:t xml:space="preserve">, PhD, An Ouyang, Kaileigh Gallagher, BS, Syed A. Quadri, MD, </w:t>
      </w:r>
      <w:r>
        <w:rPr>
          <w:highlight w:val="white"/>
        </w:rPr>
        <w:t xml:space="preserve">Noor Adra, BA, </w:t>
      </w:r>
      <w:r>
        <w:t xml:space="preserve">Ryan A. Tesh, BSc, Preeti Upadhyay Reed, MPH, Pierrick J. Arnal, PhD, Robert J. Thomas, MD, M. Brandon Westover, MD, PhD, </w:t>
      </w:r>
      <w:proofErr w:type="spellStart"/>
      <w:r>
        <w:t>Haoqi</w:t>
      </w:r>
      <w:proofErr w:type="spellEnd"/>
      <w:r>
        <w:t xml:space="preserve"> Sun, PhD, </w:t>
      </w:r>
      <w:proofErr w:type="spellStart"/>
      <w:r>
        <w:t>Balachundhar</w:t>
      </w:r>
      <w:proofErr w:type="spellEnd"/>
      <w:r>
        <w:t xml:space="preserve"> Subramaniam, MD, MPH</w:t>
      </w:r>
    </w:p>
    <w:p w14:paraId="24859EC7" w14:textId="77777777" w:rsidR="002624A6" w:rsidRDefault="002624A6">
      <w:pPr>
        <w:spacing w:line="276" w:lineRule="auto"/>
        <w:rPr>
          <w:sz w:val="22"/>
          <w:szCs w:val="22"/>
        </w:rPr>
      </w:pPr>
    </w:p>
    <w:p w14:paraId="3528FC1B" w14:textId="77777777" w:rsidR="002624A6" w:rsidRDefault="00000000">
      <w:pPr>
        <w:spacing w:line="276" w:lineRule="auto"/>
        <w:rPr>
          <w:sz w:val="22"/>
          <w:szCs w:val="22"/>
        </w:rPr>
      </w:pPr>
      <w:r>
        <w:rPr>
          <w:b/>
        </w:rPr>
        <w:t xml:space="preserve">Corresponding Author: </w:t>
      </w:r>
      <w:r>
        <w:t>M. Brandon Westover, MD, PhD</w:t>
      </w:r>
      <w:r>
        <w:rPr>
          <w:b/>
        </w:rPr>
        <w:t xml:space="preserve">, </w:t>
      </w:r>
      <w:r>
        <w:t>Department of Neurology</w:t>
      </w:r>
      <w:r>
        <w:rPr>
          <w:b/>
        </w:rPr>
        <w:t xml:space="preserve">, </w:t>
      </w:r>
      <w:r>
        <w:t>Beth Israel Deaconess Medical Center</w:t>
      </w:r>
      <w:r>
        <w:rPr>
          <w:b/>
        </w:rPr>
        <w:t xml:space="preserve">, </w:t>
      </w:r>
      <w:r>
        <w:t xml:space="preserve">330 Brookline Avenue, Boston, MA 02215 </w:t>
      </w:r>
      <w:r>
        <w:rPr>
          <w:b/>
        </w:rPr>
        <w:t>(</w:t>
      </w:r>
      <w:r>
        <w:t>mwestove@bidmc.harvard.edu</w:t>
      </w:r>
      <w:r>
        <w:rPr>
          <w:b/>
        </w:rPr>
        <w:t xml:space="preserve">; </w:t>
      </w:r>
      <w:r>
        <w:t>617-724-3703)</w:t>
      </w:r>
    </w:p>
    <w:p w14:paraId="005C5A0D" w14:textId="77777777" w:rsidR="002624A6" w:rsidRDefault="002624A6">
      <w:pPr>
        <w:jc w:val="center"/>
        <w:rPr>
          <w:b/>
          <w:sz w:val="32"/>
          <w:szCs w:val="32"/>
        </w:rPr>
      </w:pPr>
    </w:p>
    <w:p w14:paraId="71F747B6" w14:textId="77777777" w:rsidR="002624A6" w:rsidRPr="009A55F4" w:rsidRDefault="00000000">
      <w:pPr>
        <w:keepNext/>
        <w:keepLines/>
        <w:pBdr>
          <w:top w:val="nil"/>
          <w:left w:val="nil"/>
          <w:bottom w:val="nil"/>
          <w:right w:val="nil"/>
          <w:between w:val="nil"/>
        </w:pBdr>
        <w:spacing w:before="480" w:line="276" w:lineRule="auto"/>
        <w:rPr>
          <w:b/>
          <w:color w:val="000000"/>
        </w:rPr>
      </w:pPr>
      <w:r w:rsidRPr="009A55F4">
        <w:rPr>
          <w:b/>
          <w:color w:val="000000"/>
        </w:rPr>
        <w:t>Table of Contents</w:t>
      </w:r>
    </w:p>
    <w:sdt>
      <w:sdtPr>
        <w:rPr>
          <w:rFonts w:ascii="Times New Roman" w:eastAsia="Times New Roman" w:hAnsi="Times New Roman" w:cs="Times New Roman"/>
          <w:b w:val="0"/>
          <w:i w:val="0"/>
          <w:iCs w:val="0"/>
          <w:lang w:val="en-US"/>
        </w:rPr>
        <w:id w:val="1597206826"/>
        <w:docPartObj>
          <w:docPartGallery w:val="Table of Contents"/>
          <w:docPartUnique/>
        </w:docPartObj>
      </w:sdtPr>
      <w:sdtEndPr>
        <w:rPr>
          <w:b/>
          <w:bCs w:val="0"/>
          <w:i/>
          <w:iCs/>
        </w:rPr>
      </w:sdtEndPr>
      <w:sdtContent>
        <w:p w14:paraId="1C7600EC" w14:textId="161BA28F" w:rsidR="00977914" w:rsidRPr="00977914" w:rsidRDefault="00000000">
          <w:pPr>
            <w:pStyle w:val="TOC1"/>
            <w:tabs>
              <w:tab w:val="right" w:leader="dot" w:pos="12950"/>
            </w:tabs>
            <w:rPr>
              <w:rFonts w:ascii="Times New Roman" w:eastAsiaTheme="minorEastAsia" w:hAnsi="Times New Roman" w:cs="Times New Roman"/>
              <w:b w:val="0"/>
              <w:i w:val="0"/>
              <w:iCs w:val="0"/>
              <w:noProof/>
              <w:kern w:val="2"/>
              <w:lang w:val="en-US" w:eastAsia="en-US"/>
              <w14:ligatures w14:val="standardContextual"/>
            </w:rPr>
          </w:pPr>
          <w:r w:rsidRPr="00977914">
            <w:rPr>
              <w:rFonts w:ascii="Times New Roman" w:hAnsi="Times New Roman" w:cs="Times New Roman"/>
              <w:b w:val="0"/>
              <w:i w:val="0"/>
              <w:iCs w:val="0"/>
            </w:rPr>
            <w:fldChar w:fldCharType="begin"/>
          </w:r>
          <w:r w:rsidRPr="00977914">
            <w:rPr>
              <w:rFonts w:ascii="Times New Roman" w:hAnsi="Times New Roman" w:cs="Times New Roman"/>
              <w:b w:val="0"/>
              <w:i w:val="0"/>
              <w:iCs w:val="0"/>
            </w:rPr>
            <w:instrText xml:space="preserve"> TOC \h \u \z \t "Heading 1,1,Heading 2,2,Heading 3,3,"</w:instrText>
          </w:r>
          <w:r w:rsidRPr="00977914">
            <w:rPr>
              <w:rFonts w:ascii="Times New Roman" w:hAnsi="Times New Roman" w:cs="Times New Roman"/>
              <w:b w:val="0"/>
              <w:i w:val="0"/>
              <w:iCs w:val="0"/>
            </w:rPr>
            <w:fldChar w:fldCharType="separate"/>
          </w:r>
          <w:hyperlink w:anchor="_Toc194762190" w:history="1">
            <w:r w:rsidR="00977914" w:rsidRPr="00977914">
              <w:rPr>
                <w:rStyle w:val="Hyperlink"/>
                <w:rFonts w:ascii="Times New Roman" w:hAnsi="Times New Roman" w:cs="Times New Roman"/>
                <w:b w:val="0"/>
                <w:i w:val="0"/>
                <w:iCs w:val="0"/>
                <w:noProof/>
              </w:rPr>
              <w:t>Figure S1</w:t>
            </w:r>
            <w:r w:rsidR="00977914" w:rsidRPr="00977914">
              <w:rPr>
                <w:rFonts w:ascii="Times New Roman" w:hAnsi="Times New Roman" w:cs="Times New Roman"/>
                <w:b w:val="0"/>
                <w:i w:val="0"/>
                <w:iCs w:val="0"/>
                <w:noProof/>
                <w:webHidden/>
              </w:rPr>
              <w:tab/>
            </w:r>
            <w:r w:rsidR="00977914" w:rsidRPr="00977914">
              <w:rPr>
                <w:rFonts w:ascii="Times New Roman" w:hAnsi="Times New Roman" w:cs="Times New Roman"/>
                <w:b w:val="0"/>
                <w:i w:val="0"/>
                <w:iCs w:val="0"/>
                <w:noProof/>
                <w:webHidden/>
              </w:rPr>
              <w:fldChar w:fldCharType="begin"/>
            </w:r>
            <w:r w:rsidR="00977914" w:rsidRPr="00977914">
              <w:rPr>
                <w:rFonts w:ascii="Times New Roman" w:hAnsi="Times New Roman" w:cs="Times New Roman"/>
                <w:b w:val="0"/>
                <w:i w:val="0"/>
                <w:iCs w:val="0"/>
                <w:noProof/>
                <w:webHidden/>
              </w:rPr>
              <w:instrText xml:space="preserve"> PAGEREF _Toc194762190 \h </w:instrText>
            </w:r>
            <w:r w:rsidR="00977914" w:rsidRPr="00977914">
              <w:rPr>
                <w:rFonts w:ascii="Times New Roman" w:hAnsi="Times New Roman" w:cs="Times New Roman"/>
                <w:b w:val="0"/>
                <w:i w:val="0"/>
                <w:iCs w:val="0"/>
                <w:noProof/>
                <w:webHidden/>
              </w:rPr>
            </w:r>
            <w:r w:rsidR="00977914" w:rsidRPr="00977914">
              <w:rPr>
                <w:rFonts w:ascii="Times New Roman" w:hAnsi="Times New Roman" w:cs="Times New Roman"/>
                <w:b w:val="0"/>
                <w:i w:val="0"/>
                <w:iCs w:val="0"/>
                <w:noProof/>
                <w:webHidden/>
              </w:rPr>
              <w:fldChar w:fldCharType="separate"/>
            </w:r>
            <w:r w:rsidR="00977914" w:rsidRPr="00977914">
              <w:rPr>
                <w:rFonts w:ascii="Times New Roman" w:hAnsi="Times New Roman" w:cs="Times New Roman"/>
                <w:b w:val="0"/>
                <w:i w:val="0"/>
                <w:iCs w:val="0"/>
                <w:noProof/>
                <w:webHidden/>
              </w:rPr>
              <w:t>2</w:t>
            </w:r>
            <w:r w:rsidR="00977914" w:rsidRPr="00977914">
              <w:rPr>
                <w:rFonts w:ascii="Times New Roman" w:hAnsi="Times New Roman" w:cs="Times New Roman"/>
                <w:b w:val="0"/>
                <w:i w:val="0"/>
                <w:iCs w:val="0"/>
                <w:noProof/>
                <w:webHidden/>
              </w:rPr>
              <w:fldChar w:fldCharType="end"/>
            </w:r>
          </w:hyperlink>
        </w:p>
        <w:p w14:paraId="760E0BE3" w14:textId="6ECE8938" w:rsidR="00977914" w:rsidRPr="00977914" w:rsidRDefault="00977914">
          <w:pPr>
            <w:pStyle w:val="TOC1"/>
            <w:tabs>
              <w:tab w:val="right" w:leader="dot" w:pos="12950"/>
            </w:tabs>
            <w:rPr>
              <w:rFonts w:ascii="Times New Roman" w:eastAsiaTheme="minorEastAsia" w:hAnsi="Times New Roman" w:cs="Times New Roman"/>
              <w:b w:val="0"/>
              <w:i w:val="0"/>
              <w:iCs w:val="0"/>
              <w:noProof/>
              <w:kern w:val="2"/>
              <w:lang w:val="en-US" w:eastAsia="en-US"/>
              <w14:ligatures w14:val="standardContextual"/>
            </w:rPr>
          </w:pPr>
          <w:hyperlink w:anchor="_Toc194762191" w:history="1">
            <w:r w:rsidRPr="00977914">
              <w:rPr>
                <w:rStyle w:val="Hyperlink"/>
                <w:rFonts w:ascii="Times New Roman" w:hAnsi="Times New Roman" w:cs="Times New Roman"/>
                <w:b w:val="0"/>
                <w:i w:val="0"/>
                <w:iCs w:val="0"/>
                <w:noProof/>
              </w:rPr>
              <w:t>Figure S2a-f</w:t>
            </w:r>
            <w:r w:rsidRPr="00977914">
              <w:rPr>
                <w:rFonts w:ascii="Times New Roman" w:hAnsi="Times New Roman" w:cs="Times New Roman"/>
                <w:b w:val="0"/>
                <w:i w:val="0"/>
                <w:iCs w:val="0"/>
                <w:noProof/>
                <w:webHidden/>
              </w:rPr>
              <w:tab/>
            </w:r>
            <w:r w:rsidRPr="00977914">
              <w:rPr>
                <w:rFonts w:ascii="Times New Roman" w:hAnsi="Times New Roman" w:cs="Times New Roman"/>
                <w:b w:val="0"/>
                <w:i w:val="0"/>
                <w:iCs w:val="0"/>
                <w:noProof/>
                <w:webHidden/>
              </w:rPr>
              <w:fldChar w:fldCharType="begin"/>
            </w:r>
            <w:r w:rsidRPr="00977914">
              <w:rPr>
                <w:rFonts w:ascii="Times New Roman" w:hAnsi="Times New Roman" w:cs="Times New Roman"/>
                <w:b w:val="0"/>
                <w:i w:val="0"/>
                <w:iCs w:val="0"/>
                <w:noProof/>
                <w:webHidden/>
              </w:rPr>
              <w:instrText xml:space="preserve"> PAGEREF _Toc194762191 \h </w:instrText>
            </w:r>
            <w:r w:rsidRPr="00977914">
              <w:rPr>
                <w:rFonts w:ascii="Times New Roman" w:hAnsi="Times New Roman" w:cs="Times New Roman"/>
                <w:b w:val="0"/>
                <w:i w:val="0"/>
                <w:iCs w:val="0"/>
                <w:noProof/>
                <w:webHidden/>
              </w:rPr>
            </w:r>
            <w:r w:rsidRPr="00977914">
              <w:rPr>
                <w:rFonts w:ascii="Times New Roman" w:hAnsi="Times New Roman" w:cs="Times New Roman"/>
                <w:b w:val="0"/>
                <w:i w:val="0"/>
                <w:iCs w:val="0"/>
                <w:noProof/>
                <w:webHidden/>
              </w:rPr>
              <w:fldChar w:fldCharType="separate"/>
            </w:r>
            <w:r w:rsidRPr="00977914">
              <w:rPr>
                <w:rFonts w:ascii="Times New Roman" w:hAnsi="Times New Roman" w:cs="Times New Roman"/>
                <w:b w:val="0"/>
                <w:i w:val="0"/>
                <w:iCs w:val="0"/>
                <w:noProof/>
                <w:webHidden/>
              </w:rPr>
              <w:t>3</w:t>
            </w:r>
            <w:r w:rsidRPr="00977914">
              <w:rPr>
                <w:rFonts w:ascii="Times New Roman" w:hAnsi="Times New Roman" w:cs="Times New Roman"/>
                <w:b w:val="0"/>
                <w:i w:val="0"/>
                <w:iCs w:val="0"/>
                <w:noProof/>
                <w:webHidden/>
              </w:rPr>
              <w:fldChar w:fldCharType="end"/>
            </w:r>
          </w:hyperlink>
        </w:p>
        <w:p w14:paraId="13EAFF79" w14:textId="3D20D071" w:rsidR="00977914" w:rsidRPr="00977914" w:rsidRDefault="00977914">
          <w:pPr>
            <w:pStyle w:val="TOC1"/>
            <w:tabs>
              <w:tab w:val="right" w:leader="dot" w:pos="12950"/>
            </w:tabs>
            <w:rPr>
              <w:rFonts w:ascii="Times New Roman" w:eastAsiaTheme="minorEastAsia" w:hAnsi="Times New Roman" w:cs="Times New Roman"/>
              <w:b w:val="0"/>
              <w:i w:val="0"/>
              <w:iCs w:val="0"/>
              <w:noProof/>
              <w:kern w:val="2"/>
              <w:lang w:val="en-US" w:eastAsia="en-US"/>
              <w14:ligatures w14:val="standardContextual"/>
            </w:rPr>
          </w:pPr>
          <w:hyperlink w:anchor="_Toc194762192" w:history="1">
            <w:r w:rsidRPr="00977914">
              <w:rPr>
                <w:rStyle w:val="Hyperlink"/>
                <w:rFonts w:ascii="Times New Roman" w:hAnsi="Times New Roman" w:cs="Times New Roman"/>
                <w:b w:val="0"/>
                <w:i w:val="0"/>
                <w:iCs w:val="0"/>
                <w:noProof/>
              </w:rPr>
              <w:t>Figure S3</w:t>
            </w:r>
            <w:r w:rsidRPr="00977914">
              <w:rPr>
                <w:rFonts w:ascii="Times New Roman" w:hAnsi="Times New Roman" w:cs="Times New Roman"/>
                <w:b w:val="0"/>
                <w:i w:val="0"/>
                <w:iCs w:val="0"/>
                <w:noProof/>
                <w:webHidden/>
              </w:rPr>
              <w:tab/>
            </w:r>
            <w:r w:rsidRPr="00977914">
              <w:rPr>
                <w:rFonts w:ascii="Times New Roman" w:hAnsi="Times New Roman" w:cs="Times New Roman"/>
                <w:b w:val="0"/>
                <w:i w:val="0"/>
                <w:iCs w:val="0"/>
                <w:noProof/>
                <w:webHidden/>
              </w:rPr>
              <w:fldChar w:fldCharType="begin"/>
            </w:r>
            <w:r w:rsidRPr="00977914">
              <w:rPr>
                <w:rFonts w:ascii="Times New Roman" w:hAnsi="Times New Roman" w:cs="Times New Roman"/>
                <w:b w:val="0"/>
                <w:i w:val="0"/>
                <w:iCs w:val="0"/>
                <w:noProof/>
                <w:webHidden/>
              </w:rPr>
              <w:instrText xml:space="preserve"> PAGEREF _Toc194762192 \h </w:instrText>
            </w:r>
            <w:r w:rsidRPr="00977914">
              <w:rPr>
                <w:rFonts w:ascii="Times New Roman" w:hAnsi="Times New Roman" w:cs="Times New Roman"/>
                <w:b w:val="0"/>
                <w:i w:val="0"/>
                <w:iCs w:val="0"/>
                <w:noProof/>
                <w:webHidden/>
              </w:rPr>
            </w:r>
            <w:r w:rsidRPr="00977914">
              <w:rPr>
                <w:rFonts w:ascii="Times New Roman" w:hAnsi="Times New Roman" w:cs="Times New Roman"/>
                <w:b w:val="0"/>
                <w:i w:val="0"/>
                <w:iCs w:val="0"/>
                <w:noProof/>
                <w:webHidden/>
              </w:rPr>
              <w:fldChar w:fldCharType="separate"/>
            </w:r>
            <w:r w:rsidRPr="00977914">
              <w:rPr>
                <w:rFonts w:ascii="Times New Roman" w:hAnsi="Times New Roman" w:cs="Times New Roman"/>
                <w:b w:val="0"/>
                <w:i w:val="0"/>
                <w:iCs w:val="0"/>
                <w:noProof/>
                <w:webHidden/>
              </w:rPr>
              <w:t>9</w:t>
            </w:r>
            <w:r w:rsidRPr="00977914">
              <w:rPr>
                <w:rFonts w:ascii="Times New Roman" w:hAnsi="Times New Roman" w:cs="Times New Roman"/>
                <w:b w:val="0"/>
                <w:i w:val="0"/>
                <w:iCs w:val="0"/>
                <w:noProof/>
                <w:webHidden/>
              </w:rPr>
              <w:fldChar w:fldCharType="end"/>
            </w:r>
          </w:hyperlink>
        </w:p>
        <w:p w14:paraId="3957901C" w14:textId="225F6AC3" w:rsidR="00977914" w:rsidRPr="00977914" w:rsidRDefault="00977914">
          <w:pPr>
            <w:pStyle w:val="TOC1"/>
            <w:tabs>
              <w:tab w:val="right" w:leader="dot" w:pos="12950"/>
            </w:tabs>
            <w:rPr>
              <w:rFonts w:ascii="Times New Roman" w:eastAsiaTheme="minorEastAsia" w:hAnsi="Times New Roman" w:cs="Times New Roman"/>
              <w:b w:val="0"/>
              <w:i w:val="0"/>
              <w:iCs w:val="0"/>
              <w:noProof/>
              <w:kern w:val="2"/>
              <w:lang w:val="en-US" w:eastAsia="en-US"/>
              <w14:ligatures w14:val="standardContextual"/>
            </w:rPr>
          </w:pPr>
          <w:hyperlink w:anchor="_Toc194762193" w:history="1">
            <w:r w:rsidRPr="00977914">
              <w:rPr>
                <w:rStyle w:val="Hyperlink"/>
                <w:rFonts w:ascii="Times New Roman" w:hAnsi="Times New Roman" w:cs="Times New Roman"/>
                <w:b w:val="0"/>
                <w:i w:val="0"/>
                <w:iCs w:val="0"/>
                <w:noProof/>
              </w:rPr>
              <w:t>Table S1. Unadjusted brain age index (BAI) by group</w:t>
            </w:r>
            <w:r w:rsidRPr="00977914">
              <w:rPr>
                <w:rFonts w:ascii="Times New Roman" w:hAnsi="Times New Roman" w:cs="Times New Roman"/>
                <w:b w:val="0"/>
                <w:i w:val="0"/>
                <w:iCs w:val="0"/>
                <w:noProof/>
                <w:webHidden/>
              </w:rPr>
              <w:tab/>
            </w:r>
            <w:r w:rsidRPr="00977914">
              <w:rPr>
                <w:rFonts w:ascii="Times New Roman" w:hAnsi="Times New Roman" w:cs="Times New Roman"/>
                <w:b w:val="0"/>
                <w:i w:val="0"/>
                <w:iCs w:val="0"/>
                <w:noProof/>
                <w:webHidden/>
              </w:rPr>
              <w:fldChar w:fldCharType="begin"/>
            </w:r>
            <w:r w:rsidRPr="00977914">
              <w:rPr>
                <w:rFonts w:ascii="Times New Roman" w:hAnsi="Times New Roman" w:cs="Times New Roman"/>
                <w:b w:val="0"/>
                <w:i w:val="0"/>
                <w:iCs w:val="0"/>
                <w:noProof/>
                <w:webHidden/>
              </w:rPr>
              <w:instrText xml:space="preserve"> PAGEREF _Toc194762193 \h </w:instrText>
            </w:r>
            <w:r w:rsidRPr="00977914">
              <w:rPr>
                <w:rFonts w:ascii="Times New Roman" w:hAnsi="Times New Roman" w:cs="Times New Roman"/>
                <w:b w:val="0"/>
                <w:i w:val="0"/>
                <w:iCs w:val="0"/>
                <w:noProof/>
                <w:webHidden/>
              </w:rPr>
            </w:r>
            <w:r w:rsidRPr="00977914">
              <w:rPr>
                <w:rFonts w:ascii="Times New Roman" w:hAnsi="Times New Roman" w:cs="Times New Roman"/>
                <w:b w:val="0"/>
                <w:i w:val="0"/>
                <w:iCs w:val="0"/>
                <w:noProof/>
                <w:webHidden/>
              </w:rPr>
              <w:fldChar w:fldCharType="separate"/>
            </w:r>
            <w:r w:rsidRPr="00977914">
              <w:rPr>
                <w:rFonts w:ascii="Times New Roman" w:hAnsi="Times New Roman" w:cs="Times New Roman"/>
                <w:b w:val="0"/>
                <w:i w:val="0"/>
                <w:iCs w:val="0"/>
                <w:noProof/>
                <w:webHidden/>
              </w:rPr>
              <w:t>10</w:t>
            </w:r>
            <w:r w:rsidRPr="00977914">
              <w:rPr>
                <w:rFonts w:ascii="Times New Roman" w:hAnsi="Times New Roman" w:cs="Times New Roman"/>
                <w:b w:val="0"/>
                <w:i w:val="0"/>
                <w:iCs w:val="0"/>
                <w:noProof/>
                <w:webHidden/>
              </w:rPr>
              <w:fldChar w:fldCharType="end"/>
            </w:r>
          </w:hyperlink>
        </w:p>
        <w:p w14:paraId="6F406320" w14:textId="014F24D0" w:rsidR="00977914" w:rsidRPr="00977914" w:rsidRDefault="00977914">
          <w:pPr>
            <w:pStyle w:val="TOC1"/>
            <w:tabs>
              <w:tab w:val="right" w:leader="dot" w:pos="12950"/>
            </w:tabs>
            <w:rPr>
              <w:rFonts w:ascii="Times New Roman" w:eastAsiaTheme="minorEastAsia" w:hAnsi="Times New Roman" w:cs="Times New Roman"/>
              <w:b w:val="0"/>
              <w:i w:val="0"/>
              <w:iCs w:val="0"/>
              <w:noProof/>
              <w:kern w:val="2"/>
              <w:lang w:val="en-US" w:eastAsia="en-US"/>
              <w14:ligatures w14:val="standardContextual"/>
            </w:rPr>
          </w:pPr>
          <w:hyperlink w:anchor="_Toc194762194" w:history="1">
            <w:r w:rsidRPr="00977914">
              <w:rPr>
                <w:rStyle w:val="Hyperlink"/>
                <w:rFonts w:ascii="Times New Roman" w:hAnsi="Times New Roman" w:cs="Times New Roman"/>
                <w:b w:val="0"/>
                <w:i w:val="0"/>
                <w:iCs w:val="0"/>
                <w:noProof/>
              </w:rPr>
              <w:t>Table S2. Time comparison of NIH toolbox scores for the meditation cohort</w:t>
            </w:r>
            <w:r w:rsidRPr="00977914">
              <w:rPr>
                <w:rFonts w:ascii="Times New Roman" w:hAnsi="Times New Roman" w:cs="Times New Roman"/>
                <w:b w:val="0"/>
                <w:i w:val="0"/>
                <w:iCs w:val="0"/>
                <w:noProof/>
                <w:webHidden/>
              </w:rPr>
              <w:tab/>
            </w:r>
            <w:r w:rsidRPr="00977914">
              <w:rPr>
                <w:rFonts w:ascii="Times New Roman" w:hAnsi="Times New Roman" w:cs="Times New Roman"/>
                <w:b w:val="0"/>
                <w:i w:val="0"/>
                <w:iCs w:val="0"/>
                <w:noProof/>
                <w:webHidden/>
              </w:rPr>
              <w:fldChar w:fldCharType="begin"/>
            </w:r>
            <w:r w:rsidRPr="00977914">
              <w:rPr>
                <w:rFonts w:ascii="Times New Roman" w:hAnsi="Times New Roman" w:cs="Times New Roman"/>
                <w:b w:val="0"/>
                <w:i w:val="0"/>
                <w:iCs w:val="0"/>
                <w:noProof/>
                <w:webHidden/>
              </w:rPr>
              <w:instrText xml:space="preserve"> PAGEREF _Toc194762194 \h </w:instrText>
            </w:r>
            <w:r w:rsidRPr="00977914">
              <w:rPr>
                <w:rFonts w:ascii="Times New Roman" w:hAnsi="Times New Roman" w:cs="Times New Roman"/>
                <w:b w:val="0"/>
                <w:i w:val="0"/>
                <w:iCs w:val="0"/>
                <w:noProof/>
                <w:webHidden/>
              </w:rPr>
            </w:r>
            <w:r w:rsidRPr="00977914">
              <w:rPr>
                <w:rFonts w:ascii="Times New Roman" w:hAnsi="Times New Roman" w:cs="Times New Roman"/>
                <w:b w:val="0"/>
                <w:i w:val="0"/>
                <w:iCs w:val="0"/>
                <w:noProof/>
                <w:webHidden/>
              </w:rPr>
              <w:fldChar w:fldCharType="separate"/>
            </w:r>
            <w:r w:rsidRPr="00977914">
              <w:rPr>
                <w:rFonts w:ascii="Times New Roman" w:hAnsi="Times New Roman" w:cs="Times New Roman"/>
                <w:b w:val="0"/>
                <w:i w:val="0"/>
                <w:iCs w:val="0"/>
                <w:noProof/>
                <w:webHidden/>
              </w:rPr>
              <w:t>11</w:t>
            </w:r>
            <w:r w:rsidRPr="00977914">
              <w:rPr>
                <w:rFonts w:ascii="Times New Roman" w:hAnsi="Times New Roman" w:cs="Times New Roman"/>
                <w:b w:val="0"/>
                <w:i w:val="0"/>
                <w:iCs w:val="0"/>
                <w:noProof/>
                <w:webHidden/>
              </w:rPr>
              <w:fldChar w:fldCharType="end"/>
            </w:r>
          </w:hyperlink>
        </w:p>
        <w:p w14:paraId="1427C47B" w14:textId="63B602C6" w:rsidR="00977914" w:rsidRPr="00977914" w:rsidRDefault="00977914">
          <w:pPr>
            <w:pStyle w:val="TOC1"/>
            <w:tabs>
              <w:tab w:val="right" w:leader="dot" w:pos="12950"/>
            </w:tabs>
            <w:rPr>
              <w:rFonts w:ascii="Times New Roman" w:eastAsiaTheme="minorEastAsia" w:hAnsi="Times New Roman" w:cs="Times New Roman"/>
              <w:b w:val="0"/>
              <w:i w:val="0"/>
              <w:iCs w:val="0"/>
              <w:noProof/>
              <w:kern w:val="2"/>
              <w:lang w:val="en-US" w:eastAsia="en-US"/>
              <w14:ligatures w14:val="standardContextual"/>
            </w:rPr>
          </w:pPr>
          <w:hyperlink w:anchor="_Toc194762195" w:history="1">
            <w:r w:rsidRPr="00977914">
              <w:rPr>
                <w:rStyle w:val="Hyperlink"/>
                <w:rFonts w:ascii="Times New Roman" w:hAnsi="Times New Roman" w:cs="Times New Roman"/>
                <w:b w:val="0"/>
                <w:i w:val="0"/>
                <w:iCs w:val="0"/>
                <w:noProof/>
              </w:rPr>
              <w:t>Supplemental Analysis 1. Analysis of NIH toolbox (time comparison) using JASP software</w:t>
            </w:r>
            <w:r w:rsidRPr="00977914">
              <w:rPr>
                <w:rFonts w:ascii="Times New Roman" w:hAnsi="Times New Roman" w:cs="Times New Roman"/>
                <w:b w:val="0"/>
                <w:i w:val="0"/>
                <w:iCs w:val="0"/>
                <w:noProof/>
                <w:webHidden/>
              </w:rPr>
              <w:tab/>
            </w:r>
            <w:r w:rsidRPr="00977914">
              <w:rPr>
                <w:rFonts w:ascii="Times New Roman" w:hAnsi="Times New Roman" w:cs="Times New Roman"/>
                <w:b w:val="0"/>
                <w:i w:val="0"/>
                <w:iCs w:val="0"/>
                <w:noProof/>
                <w:webHidden/>
              </w:rPr>
              <w:fldChar w:fldCharType="begin"/>
            </w:r>
            <w:r w:rsidRPr="00977914">
              <w:rPr>
                <w:rFonts w:ascii="Times New Roman" w:hAnsi="Times New Roman" w:cs="Times New Roman"/>
                <w:b w:val="0"/>
                <w:i w:val="0"/>
                <w:iCs w:val="0"/>
                <w:noProof/>
                <w:webHidden/>
              </w:rPr>
              <w:instrText xml:space="preserve"> PAGEREF _Toc194762195 \h </w:instrText>
            </w:r>
            <w:r w:rsidRPr="00977914">
              <w:rPr>
                <w:rFonts w:ascii="Times New Roman" w:hAnsi="Times New Roman" w:cs="Times New Roman"/>
                <w:b w:val="0"/>
                <w:i w:val="0"/>
                <w:iCs w:val="0"/>
                <w:noProof/>
                <w:webHidden/>
              </w:rPr>
            </w:r>
            <w:r w:rsidRPr="00977914">
              <w:rPr>
                <w:rFonts w:ascii="Times New Roman" w:hAnsi="Times New Roman" w:cs="Times New Roman"/>
                <w:b w:val="0"/>
                <w:i w:val="0"/>
                <w:iCs w:val="0"/>
                <w:noProof/>
                <w:webHidden/>
              </w:rPr>
              <w:fldChar w:fldCharType="separate"/>
            </w:r>
            <w:r w:rsidRPr="00977914">
              <w:rPr>
                <w:rFonts w:ascii="Times New Roman" w:hAnsi="Times New Roman" w:cs="Times New Roman"/>
                <w:b w:val="0"/>
                <w:i w:val="0"/>
                <w:iCs w:val="0"/>
                <w:noProof/>
                <w:webHidden/>
              </w:rPr>
              <w:t>12</w:t>
            </w:r>
            <w:r w:rsidRPr="00977914">
              <w:rPr>
                <w:rFonts w:ascii="Times New Roman" w:hAnsi="Times New Roman" w:cs="Times New Roman"/>
                <w:b w:val="0"/>
                <w:i w:val="0"/>
                <w:iCs w:val="0"/>
                <w:noProof/>
                <w:webHidden/>
              </w:rPr>
              <w:fldChar w:fldCharType="end"/>
            </w:r>
          </w:hyperlink>
        </w:p>
        <w:p w14:paraId="54A94DEB" w14:textId="4CAE142E" w:rsidR="00977914" w:rsidRPr="00977914" w:rsidRDefault="00977914">
          <w:pPr>
            <w:pStyle w:val="TOC1"/>
            <w:tabs>
              <w:tab w:val="right" w:leader="dot" w:pos="12950"/>
            </w:tabs>
            <w:rPr>
              <w:rFonts w:ascii="Times New Roman" w:eastAsiaTheme="minorEastAsia" w:hAnsi="Times New Roman" w:cs="Times New Roman"/>
              <w:b w:val="0"/>
              <w:i w:val="0"/>
              <w:iCs w:val="0"/>
              <w:noProof/>
              <w:kern w:val="2"/>
              <w:lang w:val="en-US" w:eastAsia="en-US"/>
              <w14:ligatures w14:val="standardContextual"/>
            </w:rPr>
          </w:pPr>
          <w:hyperlink w:anchor="_Toc194762196" w:history="1">
            <w:r w:rsidRPr="00977914">
              <w:rPr>
                <w:rStyle w:val="Hyperlink"/>
                <w:rFonts w:ascii="Times New Roman" w:hAnsi="Times New Roman" w:cs="Times New Roman"/>
                <w:b w:val="0"/>
                <w:i w:val="0"/>
                <w:iCs w:val="0"/>
                <w:noProof/>
              </w:rPr>
              <w:t>Supplemental Method. Using linear discriminant analysis (LDA) to remove artifacts</w:t>
            </w:r>
            <w:r w:rsidRPr="00977914">
              <w:rPr>
                <w:rFonts w:ascii="Times New Roman" w:hAnsi="Times New Roman" w:cs="Times New Roman"/>
                <w:b w:val="0"/>
                <w:i w:val="0"/>
                <w:iCs w:val="0"/>
                <w:noProof/>
                <w:webHidden/>
              </w:rPr>
              <w:tab/>
            </w:r>
            <w:r w:rsidRPr="00977914">
              <w:rPr>
                <w:rFonts w:ascii="Times New Roman" w:hAnsi="Times New Roman" w:cs="Times New Roman"/>
                <w:b w:val="0"/>
                <w:i w:val="0"/>
                <w:iCs w:val="0"/>
                <w:noProof/>
                <w:webHidden/>
              </w:rPr>
              <w:fldChar w:fldCharType="begin"/>
            </w:r>
            <w:r w:rsidRPr="00977914">
              <w:rPr>
                <w:rFonts w:ascii="Times New Roman" w:hAnsi="Times New Roman" w:cs="Times New Roman"/>
                <w:b w:val="0"/>
                <w:i w:val="0"/>
                <w:iCs w:val="0"/>
                <w:noProof/>
                <w:webHidden/>
              </w:rPr>
              <w:instrText xml:space="preserve"> PAGEREF _Toc194762196 \h </w:instrText>
            </w:r>
            <w:r w:rsidRPr="00977914">
              <w:rPr>
                <w:rFonts w:ascii="Times New Roman" w:hAnsi="Times New Roman" w:cs="Times New Roman"/>
                <w:b w:val="0"/>
                <w:i w:val="0"/>
                <w:iCs w:val="0"/>
                <w:noProof/>
                <w:webHidden/>
              </w:rPr>
            </w:r>
            <w:r w:rsidRPr="00977914">
              <w:rPr>
                <w:rFonts w:ascii="Times New Roman" w:hAnsi="Times New Roman" w:cs="Times New Roman"/>
                <w:b w:val="0"/>
                <w:i w:val="0"/>
                <w:iCs w:val="0"/>
                <w:noProof/>
                <w:webHidden/>
              </w:rPr>
              <w:fldChar w:fldCharType="separate"/>
            </w:r>
            <w:r w:rsidRPr="00977914">
              <w:rPr>
                <w:rFonts w:ascii="Times New Roman" w:hAnsi="Times New Roman" w:cs="Times New Roman"/>
                <w:b w:val="0"/>
                <w:i w:val="0"/>
                <w:iCs w:val="0"/>
                <w:noProof/>
                <w:webHidden/>
              </w:rPr>
              <w:t>12</w:t>
            </w:r>
            <w:r w:rsidRPr="00977914">
              <w:rPr>
                <w:rFonts w:ascii="Times New Roman" w:hAnsi="Times New Roman" w:cs="Times New Roman"/>
                <w:b w:val="0"/>
                <w:i w:val="0"/>
                <w:iCs w:val="0"/>
                <w:noProof/>
                <w:webHidden/>
              </w:rPr>
              <w:fldChar w:fldCharType="end"/>
            </w:r>
          </w:hyperlink>
        </w:p>
        <w:p w14:paraId="7E1F02CA" w14:textId="2F14428C" w:rsidR="00977914" w:rsidRPr="00977914" w:rsidRDefault="00977914">
          <w:pPr>
            <w:pStyle w:val="TOC1"/>
            <w:tabs>
              <w:tab w:val="right" w:leader="dot" w:pos="12950"/>
            </w:tabs>
            <w:rPr>
              <w:rFonts w:ascii="Times New Roman" w:eastAsiaTheme="minorEastAsia" w:hAnsi="Times New Roman" w:cs="Times New Roman"/>
              <w:b w:val="0"/>
              <w:i w:val="0"/>
              <w:iCs w:val="0"/>
              <w:noProof/>
              <w:kern w:val="2"/>
              <w:lang w:val="en-US" w:eastAsia="en-US"/>
              <w14:ligatures w14:val="standardContextual"/>
            </w:rPr>
          </w:pPr>
          <w:hyperlink w:anchor="_Toc194762197" w:history="1">
            <w:r w:rsidRPr="00977914">
              <w:rPr>
                <w:rStyle w:val="Hyperlink"/>
                <w:rFonts w:ascii="Times New Roman" w:hAnsi="Times New Roman" w:cs="Times New Roman"/>
                <w:b w:val="0"/>
                <w:i w:val="0"/>
                <w:iCs w:val="0"/>
                <w:noProof/>
              </w:rPr>
              <w:t>Supplemental Method. Definitions of dementia, MCI, symptomatic, no dementia, and healthy groups from the sleep lab</w:t>
            </w:r>
            <w:r w:rsidRPr="00977914">
              <w:rPr>
                <w:rFonts w:ascii="Times New Roman" w:hAnsi="Times New Roman" w:cs="Times New Roman"/>
                <w:b w:val="0"/>
                <w:i w:val="0"/>
                <w:iCs w:val="0"/>
                <w:noProof/>
                <w:webHidden/>
              </w:rPr>
              <w:tab/>
            </w:r>
            <w:r w:rsidRPr="00977914">
              <w:rPr>
                <w:rFonts w:ascii="Times New Roman" w:hAnsi="Times New Roman" w:cs="Times New Roman"/>
                <w:b w:val="0"/>
                <w:i w:val="0"/>
                <w:iCs w:val="0"/>
                <w:noProof/>
                <w:webHidden/>
              </w:rPr>
              <w:fldChar w:fldCharType="begin"/>
            </w:r>
            <w:r w:rsidRPr="00977914">
              <w:rPr>
                <w:rFonts w:ascii="Times New Roman" w:hAnsi="Times New Roman" w:cs="Times New Roman"/>
                <w:b w:val="0"/>
                <w:i w:val="0"/>
                <w:iCs w:val="0"/>
                <w:noProof/>
                <w:webHidden/>
              </w:rPr>
              <w:instrText xml:space="preserve"> PAGEREF _Toc194762197 \h </w:instrText>
            </w:r>
            <w:r w:rsidRPr="00977914">
              <w:rPr>
                <w:rFonts w:ascii="Times New Roman" w:hAnsi="Times New Roman" w:cs="Times New Roman"/>
                <w:b w:val="0"/>
                <w:i w:val="0"/>
                <w:iCs w:val="0"/>
                <w:noProof/>
                <w:webHidden/>
              </w:rPr>
            </w:r>
            <w:r w:rsidRPr="00977914">
              <w:rPr>
                <w:rFonts w:ascii="Times New Roman" w:hAnsi="Times New Roman" w:cs="Times New Roman"/>
                <w:b w:val="0"/>
                <w:i w:val="0"/>
                <w:iCs w:val="0"/>
                <w:noProof/>
                <w:webHidden/>
              </w:rPr>
              <w:fldChar w:fldCharType="separate"/>
            </w:r>
            <w:r w:rsidRPr="00977914">
              <w:rPr>
                <w:rFonts w:ascii="Times New Roman" w:hAnsi="Times New Roman" w:cs="Times New Roman"/>
                <w:b w:val="0"/>
                <w:i w:val="0"/>
                <w:iCs w:val="0"/>
                <w:noProof/>
                <w:webHidden/>
              </w:rPr>
              <w:t>13</w:t>
            </w:r>
            <w:r w:rsidRPr="00977914">
              <w:rPr>
                <w:rFonts w:ascii="Times New Roman" w:hAnsi="Times New Roman" w:cs="Times New Roman"/>
                <w:b w:val="0"/>
                <w:i w:val="0"/>
                <w:iCs w:val="0"/>
                <w:noProof/>
                <w:webHidden/>
              </w:rPr>
              <w:fldChar w:fldCharType="end"/>
            </w:r>
          </w:hyperlink>
        </w:p>
        <w:p w14:paraId="2B22B7BC" w14:textId="06BAF819" w:rsidR="002624A6" w:rsidRPr="009A55F4" w:rsidRDefault="00000000">
          <w:pPr>
            <w:widowControl w:val="0"/>
            <w:tabs>
              <w:tab w:val="right" w:leader="dot" w:pos="12000"/>
            </w:tabs>
            <w:spacing w:before="60"/>
            <w:rPr>
              <w:rFonts w:eastAsia="Arial"/>
              <w:b/>
              <w:i/>
              <w:iCs/>
              <w:color w:val="000000"/>
              <w:sz w:val="22"/>
              <w:szCs w:val="22"/>
            </w:rPr>
          </w:pPr>
          <w:r w:rsidRPr="00977914">
            <w:rPr>
              <w:bCs/>
            </w:rPr>
            <w:fldChar w:fldCharType="end"/>
          </w:r>
        </w:p>
      </w:sdtContent>
    </w:sdt>
    <w:p w14:paraId="6DEF7A17" w14:textId="77777777" w:rsidR="002624A6" w:rsidRDefault="002624A6">
      <w:pPr>
        <w:pStyle w:val="Heading1"/>
        <w:spacing w:before="0"/>
      </w:pPr>
    </w:p>
    <w:p w14:paraId="172BB98C" w14:textId="77777777" w:rsidR="002624A6" w:rsidRDefault="002624A6">
      <w:pPr>
        <w:rPr>
          <w:b/>
        </w:rPr>
      </w:pPr>
    </w:p>
    <w:p w14:paraId="0379E6A3" w14:textId="77777777" w:rsidR="002624A6" w:rsidRDefault="002624A6">
      <w:pPr>
        <w:rPr>
          <w:b/>
        </w:rPr>
      </w:pPr>
    </w:p>
    <w:p w14:paraId="7691A638" w14:textId="77777777" w:rsidR="002624A6" w:rsidRDefault="002624A6">
      <w:pPr>
        <w:rPr>
          <w:b/>
        </w:rPr>
      </w:pPr>
    </w:p>
    <w:p w14:paraId="153B3297" w14:textId="519AB614" w:rsidR="00430D8F" w:rsidRDefault="00430D8F" w:rsidP="00430D8F">
      <w:pPr>
        <w:pStyle w:val="Heading1"/>
      </w:pPr>
      <w:bookmarkStart w:id="0" w:name="_Toc194762190"/>
      <w:r>
        <w:lastRenderedPageBreak/>
        <w:t>Figure S</w:t>
      </w:r>
      <w:r w:rsidR="00BC1FDE">
        <w:t>1</w:t>
      </w:r>
      <w:bookmarkEnd w:id="0"/>
    </w:p>
    <w:p w14:paraId="1B107A83" w14:textId="77777777" w:rsidR="00430D8F" w:rsidRDefault="00430D8F" w:rsidP="00430D8F">
      <w:pPr>
        <w:rPr>
          <w:rFonts w:ascii="Arial" w:eastAsia="Arial" w:hAnsi="Arial" w:cs="Arial"/>
          <w:color w:val="000000"/>
          <w:sz w:val="22"/>
          <w:szCs w:val="22"/>
        </w:rPr>
      </w:pPr>
      <w:r>
        <w:rPr>
          <w:rFonts w:ascii="Arial" w:eastAsia="Arial" w:hAnsi="Arial" w:cs="Arial"/>
          <w:noProof/>
          <w:color w:val="000000"/>
          <w:sz w:val="22"/>
          <w:szCs w:val="22"/>
        </w:rPr>
        <w:drawing>
          <wp:inline distT="0" distB="0" distL="0" distR="0" wp14:anchorId="340D20EC" wp14:editId="76B4BD45">
            <wp:extent cx="2866318" cy="3319849"/>
            <wp:effectExtent l="0" t="0" r="4445" b="0"/>
            <wp:docPr id="1486953719"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953719" name="Graphic 1486953719"/>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73170" cy="3327786"/>
                    </a:xfrm>
                    <a:prstGeom prst="rect">
                      <a:avLst/>
                    </a:prstGeom>
                  </pic:spPr>
                </pic:pic>
              </a:graphicData>
            </a:graphic>
          </wp:inline>
        </w:drawing>
      </w:r>
    </w:p>
    <w:p w14:paraId="6238BB25" w14:textId="584F08E0" w:rsidR="00430D8F" w:rsidRPr="00A07BD8" w:rsidRDefault="00430D8F" w:rsidP="00430D8F">
      <w:pPr>
        <w:rPr>
          <w:rFonts w:eastAsia="Arial"/>
          <w:color w:val="000000"/>
          <w:sz w:val="21"/>
          <w:szCs w:val="21"/>
        </w:rPr>
      </w:pPr>
      <w:r w:rsidRPr="00A07BD8">
        <w:rPr>
          <w:rFonts w:eastAsia="Arial"/>
          <w:color w:val="000000"/>
          <w:sz w:val="21"/>
          <w:szCs w:val="21"/>
        </w:rPr>
        <w:t>An example Dreem headband, and the electrode locations. The picture is from the Dreem website (now acquired by Beacon): https://beacon.bio/dreem-headband/.</w:t>
      </w:r>
    </w:p>
    <w:p w14:paraId="555767F0" w14:textId="77777777" w:rsidR="00430D8F" w:rsidRDefault="00430D8F">
      <w:pPr>
        <w:rPr>
          <w:b/>
        </w:rPr>
      </w:pPr>
    </w:p>
    <w:p w14:paraId="60C70F85" w14:textId="078119DF" w:rsidR="002624A6" w:rsidRDefault="00000000">
      <w:pPr>
        <w:pStyle w:val="Heading1"/>
      </w:pPr>
      <w:bookmarkStart w:id="1" w:name="_Toc194762191"/>
      <w:r>
        <w:lastRenderedPageBreak/>
        <w:t>Figure S</w:t>
      </w:r>
      <w:r w:rsidR="00430D8F">
        <w:t>2</w:t>
      </w:r>
      <w:r>
        <w:t>a-f</w:t>
      </w:r>
      <w:bookmarkEnd w:id="1"/>
    </w:p>
    <w:p w14:paraId="4FAB4ABD" w14:textId="77777777" w:rsidR="002624A6" w:rsidRDefault="00000000">
      <w:pPr>
        <w:spacing w:after="160" w:line="259" w:lineRule="auto"/>
      </w:pPr>
      <w:r>
        <w:rPr>
          <w:noProof/>
        </w:rPr>
        <w:drawing>
          <wp:inline distT="0" distB="0" distL="0" distR="0" wp14:anchorId="3D31263B" wp14:editId="21946978">
            <wp:extent cx="8087932" cy="3271234"/>
            <wp:effectExtent l="0" t="0" r="0" b="0"/>
            <wp:docPr id="20" name="image7.png" descr="Char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7.png" descr="Chart&#10;&#10;Description automatically generated with medium confidence"/>
                    <pic:cNvPicPr preferRelativeResize="0"/>
                  </pic:nvPicPr>
                  <pic:blipFill>
                    <a:blip r:embed="rId10"/>
                    <a:srcRect r="12500"/>
                    <a:stretch>
                      <a:fillRect/>
                    </a:stretch>
                  </pic:blipFill>
                  <pic:spPr>
                    <a:xfrm>
                      <a:off x="0" y="0"/>
                      <a:ext cx="8087932" cy="3271234"/>
                    </a:xfrm>
                    <a:prstGeom prst="rect">
                      <a:avLst/>
                    </a:prstGeom>
                    <a:ln/>
                  </pic:spPr>
                </pic:pic>
              </a:graphicData>
            </a:graphic>
          </wp:inline>
        </w:drawing>
      </w:r>
    </w:p>
    <w:p w14:paraId="795F244D" w14:textId="2FF7BF22" w:rsidR="002624A6" w:rsidRDefault="00000000">
      <w:pPr>
        <w:spacing w:after="160" w:line="259" w:lineRule="auto"/>
        <w:rPr>
          <w:sz w:val="20"/>
          <w:szCs w:val="20"/>
        </w:rPr>
      </w:pPr>
      <w:r>
        <w:rPr>
          <w:b/>
          <w:sz w:val="20"/>
          <w:szCs w:val="20"/>
        </w:rPr>
        <w:t>Figure S</w:t>
      </w:r>
      <w:r w:rsidR="00430D8F">
        <w:rPr>
          <w:b/>
          <w:sz w:val="20"/>
          <w:szCs w:val="20"/>
        </w:rPr>
        <w:t>2</w:t>
      </w:r>
      <w:r>
        <w:rPr>
          <w:b/>
          <w:sz w:val="20"/>
          <w:szCs w:val="20"/>
        </w:rPr>
        <w:t>a.</w:t>
      </w:r>
      <w:r>
        <w:rPr>
          <w:sz w:val="20"/>
          <w:szCs w:val="20"/>
        </w:rPr>
        <w:t xml:space="preserve"> An example spectrogram and hypnogram from a member of the meditation cohort. This is from a </w:t>
      </w:r>
      <w:proofErr w:type="gramStart"/>
      <w:r>
        <w:rPr>
          <w:sz w:val="20"/>
          <w:szCs w:val="20"/>
        </w:rPr>
        <w:t>39 year old</w:t>
      </w:r>
      <w:proofErr w:type="gramEnd"/>
      <w:r>
        <w:rPr>
          <w:sz w:val="20"/>
          <w:szCs w:val="20"/>
        </w:rPr>
        <w:t xml:space="preserve"> male with brain age 31.4 years and brain age index -7.6 years. Sleep onset is fast. There are four sleep stage cycles, which are intact, clear, and happened within five hours. The bar on top of the spectrogram indicates detected artifact epochs which are not included in the brain age calculation. Visible features in the spectrogram that correlate with negative BAI include strong delta (1-4 Hz) power during N3 and clear spindles around 12.5 Hz. </w:t>
      </w:r>
    </w:p>
    <w:p w14:paraId="5200908A" w14:textId="77777777" w:rsidR="002624A6" w:rsidRDefault="002624A6">
      <w:pPr>
        <w:spacing w:after="160" w:line="259" w:lineRule="auto"/>
      </w:pPr>
    </w:p>
    <w:p w14:paraId="7AB5CDA1" w14:textId="77777777" w:rsidR="002624A6" w:rsidRDefault="002624A6">
      <w:pPr>
        <w:spacing w:after="160" w:line="259" w:lineRule="auto"/>
      </w:pPr>
    </w:p>
    <w:p w14:paraId="2B9E8EFA" w14:textId="77777777" w:rsidR="002624A6" w:rsidRDefault="002624A6">
      <w:pPr>
        <w:spacing w:after="160" w:line="259" w:lineRule="auto"/>
      </w:pPr>
    </w:p>
    <w:p w14:paraId="7CDFDF76" w14:textId="77777777" w:rsidR="002624A6" w:rsidRDefault="002624A6">
      <w:pPr>
        <w:spacing w:after="160" w:line="259" w:lineRule="auto"/>
        <w:rPr>
          <w:rFonts w:ascii="Calibri" w:eastAsia="Calibri" w:hAnsi="Calibri" w:cs="Calibri"/>
        </w:rPr>
      </w:pPr>
    </w:p>
    <w:p w14:paraId="338CBF7C" w14:textId="77777777" w:rsidR="002624A6" w:rsidRDefault="00000000">
      <w:pPr>
        <w:spacing w:after="160" w:line="259" w:lineRule="auto"/>
        <w:rPr>
          <w:rFonts w:ascii="Calibri" w:eastAsia="Calibri" w:hAnsi="Calibri" w:cs="Calibri"/>
        </w:rPr>
      </w:pPr>
      <w:r>
        <w:rPr>
          <w:rFonts w:ascii="Calibri" w:eastAsia="Calibri" w:hAnsi="Calibri" w:cs="Calibri"/>
          <w:noProof/>
        </w:rPr>
        <w:lastRenderedPageBreak/>
        <w:drawing>
          <wp:inline distT="0" distB="0" distL="0" distR="0" wp14:anchorId="559EF7BC" wp14:editId="4E92CAA7">
            <wp:extent cx="8140547" cy="3514649"/>
            <wp:effectExtent l="0" t="0" r="0" b="0"/>
            <wp:docPr id="22" name="image9.png"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Chart&#10;&#10;Description automatically generated"/>
                    <pic:cNvPicPr preferRelativeResize="0"/>
                  </pic:nvPicPr>
                  <pic:blipFill>
                    <a:blip r:embed="rId11"/>
                    <a:srcRect r="12714"/>
                    <a:stretch>
                      <a:fillRect/>
                    </a:stretch>
                  </pic:blipFill>
                  <pic:spPr>
                    <a:xfrm>
                      <a:off x="0" y="0"/>
                      <a:ext cx="8140547" cy="3514649"/>
                    </a:xfrm>
                    <a:prstGeom prst="rect">
                      <a:avLst/>
                    </a:prstGeom>
                    <a:ln/>
                  </pic:spPr>
                </pic:pic>
              </a:graphicData>
            </a:graphic>
          </wp:inline>
        </w:drawing>
      </w:r>
    </w:p>
    <w:p w14:paraId="399AB736" w14:textId="2AABA5E4" w:rsidR="002624A6" w:rsidRDefault="00000000">
      <w:pPr>
        <w:spacing w:after="160" w:line="259" w:lineRule="auto"/>
        <w:rPr>
          <w:sz w:val="20"/>
          <w:szCs w:val="20"/>
        </w:rPr>
      </w:pPr>
      <w:r>
        <w:rPr>
          <w:b/>
          <w:sz w:val="20"/>
          <w:szCs w:val="20"/>
        </w:rPr>
        <w:t>Figure S</w:t>
      </w:r>
      <w:r w:rsidR="00430D8F">
        <w:rPr>
          <w:b/>
          <w:sz w:val="20"/>
          <w:szCs w:val="20"/>
        </w:rPr>
        <w:t>2</w:t>
      </w:r>
      <w:r>
        <w:rPr>
          <w:b/>
          <w:sz w:val="20"/>
          <w:szCs w:val="20"/>
        </w:rPr>
        <w:t>b.</w:t>
      </w:r>
      <w:r>
        <w:rPr>
          <w:sz w:val="20"/>
          <w:szCs w:val="20"/>
        </w:rPr>
        <w:t xml:space="preserve"> An example spectrogram and hypnogram from a member of the Dreem healthy controls cohort. This is from a </w:t>
      </w:r>
      <w:proofErr w:type="gramStart"/>
      <w:r>
        <w:rPr>
          <w:sz w:val="20"/>
          <w:szCs w:val="20"/>
        </w:rPr>
        <w:t>59 year old</w:t>
      </w:r>
      <w:proofErr w:type="gramEnd"/>
      <w:r>
        <w:rPr>
          <w:sz w:val="20"/>
          <w:szCs w:val="20"/>
        </w:rPr>
        <w:t xml:space="preserve"> male with brain age 57.4 years and brain age index -1.6 years. The signal quality is moderate, and several segments are identified as having excessive artifact (black bars). There are also ECG artifacts manifesting as horizontal stripes. Despite the artifacts, one can see the spindle band at around 11 Hz, although broad and vague. Sleep stage cycles are evident despite the frequent artifact.</w:t>
      </w:r>
    </w:p>
    <w:p w14:paraId="7F73712C" w14:textId="77777777" w:rsidR="002624A6" w:rsidRDefault="002624A6">
      <w:pPr>
        <w:spacing w:after="160" w:line="259" w:lineRule="auto"/>
        <w:rPr>
          <w:rFonts w:ascii="Calibri" w:eastAsia="Calibri" w:hAnsi="Calibri" w:cs="Calibri"/>
          <w:sz w:val="20"/>
          <w:szCs w:val="20"/>
        </w:rPr>
      </w:pPr>
    </w:p>
    <w:p w14:paraId="0AC9AE08" w14:textId="77777777" w:rsidR="002624A6" w:rsidRDefault="002624A6">
      <w:pPr>
        <w:spacing w:after="160" w:line="259" w:lineRule="auto"/>
        <w:rPr>
          <w:rFonts w:ascii="Calibri" w:eastAsia="Calibri" w:hAnsi="Calibri" w:cs="Calibri"/>
          <w:sz w:val="20"/>
          <w:szCs w:val="20"/>
        </w:rPr>
      </w:pPr>
    </w:p>
    <w:p w14:paraId="762624EC" w14:textId="77777777" w:rsidR="002624A6" w:rsidRDefault="00000000">
      <w:pPr>
        <w:spacing w:after="160" w:line="259" w:lineRule="auto"/>
        <w:rPr>
          <w:rFonts w:ascii="Calibri" w:eastAsia="Calibri" w:hAnsi="Calibri" w:cs="Calibri"/>
          <w:sz w:val="20"/>
          <w:szCs w:val="20"/>
        </w:rPr>
      </w:pPr>
      <w:r>
        <w:rPr>
          <w:rFonts w:ascii="Calibri" w:eastAsia="Calibri" w:hAnsi="Calibri" w:cs="Calibri"/>
          <w:noProof/>
          <w:sz w:val="20"/>
          <w:szCs w:val="20"/>
        </w:rPr>
        <w:lastRenderedPageBreak/>
        <w:drawing>
          <wp:inline distT="0" distB="0" distL="0" distR="0" wp14:anchorId="70753CF6" wp14:editId="5CB09078">
            <wp:extent cx="8188620" cy="3939320"/>
            <wp:effectExtent l="0" t="0" r="0" b="0"/>
            <wp:docPr id="21" name="image4.png"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picture containing diagram&#10;&#10;Description automatically generated"/>
                    <pic:cNvPicPr preferRelativeResize="0"/>
                  </pic:nvPicPr>
                  <pic:blipFill>
                    <a:blip r:embed="rId12"/>
                    <a:srcRect r="12500"/>
                    <a:stretch>
                      <a:fillRect/>
                    </a:stretch>
                  </pic:blipFill>
                  <pic:spPr>
                    <a:xfrm>
                      <a:off x="0" y="0"/>
                      <a:ext cx="8188620" cy="3939320"/>
                    </a:xfrm>
                    <a:prstGeom prst="rect">
                      <a:avLst/>
                    </a:prstGeom>
                    <a:ln/>
                  </pic:spPr>
                </pic:pic>
              </a:graphicData>
            </a:graphic>
          </wp:inline>
        </w:drawing>
      </w:r>
    </w:p>
    <w:p w14:paraId="30635E88" w14:textId="4909C292" w:rsidR="002624A6" w:rsidRDefault="00000000">
      <w:pPr>
        <w:spacing w:after="160" w:line="259" w:lineRule="auto"/>
        <w:rPr>
          <w:sz w:val="20"/>
          <w:szCs w:val="20"/>
        </w:rPr>
      </w:pPr>
      <w:r>
        <w:rPr>
          <w:b/>
          <w:sz w:val="20"/>
          <w:szCs w:val="20"/>
        </w:rPr>
        <w:t>Figure S</w:t>
      </w:r>
      <w:r w:rsidR="00430D8F">
        <w:rPr>
          <w:b/>
          <w:sz w:val="20"/>
          <w:szCs w:val="20"/>
        </w:rPr>
        <w:t>2</w:t>
      </w:r>
      <w:r>
        <w:rPr>
          <w:b/>
          <w:sz w:val="20"/>
          <w:szCs w:val="20"/>
        </w:rPr>
        <w:t xml:space="preserve">c. </w:t>
      </w:r>
      <w:r>
        <w:rPr>
          <w:sz w:val="20"/>
          <w:szCs w:val="20"/>
        </w:rPr>
        <w:t xml:space="preserve">An example sleep EEG spectrogram averaged from the MGH healthy controls cohort. This is from a </w:t>
      </w:r>
      <w:proofErr w:type="gramStart"/>
      <w:r>
        <w:rPr>
          <w:sz w:val="20"/>
          <w:szCs w:val="20"/>
        </w:rPr>
        <w:t>31 year old</w:t>
      </w:r>
      <w:proofErr w:type="gramEnd"/>
      <w:r>
        <w:rPr>
          <w:sz w:val="20"/>
          <w:szCs w:val="20"/>
        </w:rPr>
        <w:t xml:space="preserve"> male with brain age 31.8 years and brain age index of +0.8 years. This is an age-appropriate sleep EEG spectrogram for a person in their early 30s, with clear boundaries between sleep stages and rich patterns corresponding to the hypnogram. The alpha peak frequency during the awake (W) stage is at 10 Hz, matching the typical frequency at the third decade.</w:t>
      </w:r>
    </w:p>
    <w:p w14:paraId="6F2E575A" w14:textId="77777777" w:rsidR="002624A6" w:rsidRDefault="002624A6">
      <w:pPr>
        <w:spacing w:after="160" w:line="259" w:lineRule="auto"/>
        <w:rPr>
          <w:rFonts w:ascii="Calibri" w:eastAsia="Calibri" w:hAnsi="Calibri" w:cs="Calibri"/>
          <w:sz w:val="20"/>
          <w:szCs w:val="20"/>
        </w:rPr>
      </w:pPr>
    </w:p>
    <w:p w14:paraId="5FDA10A1" w14:textId="77777777" w:rsidR="002624A6" w:rsidRDefault="00000000">
      <w:pPr>
        <w:spacing w:after="160" w:line="259" w:lineRule="auto"/>
        <w:rPr>
          <w:rFonts w:ascii="Calibri" w:eastAsia="Calibri" w:hAnsi="Calibri" w:cs="Calibri"/>
          <w:sz w:val="20"/>
          <w:szCs w:val="20"/>
        </w:rPr>
      </w:pPr>
      <w:r>
        <w:rPr>
          <w:rFonts w:ascii="Calibri" w:eastAsia="Calibri" w:hAnsi="Calibri" w:cs="Calibri"/>
          <w:noProof/>
          <w:sz w:val="20"/>
          <w:szCs w:val="20"/>
        </w:rPr>
        <w:lastRenderedPageBreak/>
        <w:drawing>
          <wp:inline distT="0" distB="0" distL="0" distR="0" wp14:anchorId="7CA32308" wp14:editId="1983E923">
            <wp:extent cx="8259285" cy="3572982"/>
            <wp:effectExtent l="0" t="0" r="0" b="0"/>
            <wp:docPr id="24" name="image8.png"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png" descr="A picture containing diagram&#10;&#10;Description automatically generated"/>
                    <pic:cNvPicPr preferRelativeResize="0"/>
                  </pic:nvPicPr>
                  <pic:blipFill>
                    <a:blip r:embed="rId13"/>
                    <a:srcRect r="12179"/>
                    <a:stretch>
                      <a:fillRect/>
                    </a:stretch>
                  </pic:blipFill>
                  <pic:spPr>
                    <a:xfrm>
                      <a:off x="0" y="0"/>
                      <a:ext cx="8259285" cy="3572982"/>
                    </a:xfrm>
                    <a:prstGeom prst="rect">
                      <a:avLst/>
                    </a:prstGeom>
                    <a:ln/>
                  </pic:spPr>
                </pic:pic>
              </a:graphicData>
            </a:graphic>
          </wp:inline>
        </w:drawing>
      </w:r>
    </w:p>
    <w:p w14:paraId="4BBCD0EC" w14:textId="69D56733" w:rsidR="002624A6" w:rsidRDefault="00000000">
      <w:pPr>
        <w:spacing w:after="160" w:line="259" w:lineRule="auto"/>
        <w:rPr>
          <w:sz w:val="20"/>
          <w:szCs w:val="20"/>
        </w:rPr>
      </w:pPr>
      <w:r>
        <w:rPr>
          <w:b/>
          <w:sz w:val="20"/>
          <w:szCs w:val="20"/>
        </w:rPr>
        <w:t>Figure S</w:t>
      </w:r>
      <w:r w:rsidR="00430D8F">
        <w:rPr>
          <w:b/>
          <w:sz w:val="20"/>
          <w:szCs w:val="20"/>
        </w:rPr>
        <w:t>2</w:t>
      </w:r>
      <w:r>
        <w:rPr>
          <w:b/>
          <w:sz w:val="20"/>
          <w:szCs w:val="20"/>
        </w:rPr>
        <w:t>d.</w:t>
      </w:r>
      <w:r>
        <w:rPr>
          <w:sz w:val="20"/>
          <w:szCs w:val="20"/>
        </w:rPr>
        <w:t xml:space="preserve"> An example </w:t>
      </w:r>
      <w:proofErr w:type="gramStart"/>
      <w:r>
        <w:rPr>
          <w:sz w:val="20"/>
          <w:szCs w:val="20"/>
        </w:rPr>
        <w:t>sleep</w:t>
      </w:r>
      <w:proofErr w:type="gramEnd"/>
      <w:r>
        <w:rPr>
          <w:sz w:val="20"/>
          <w:szCs w:val="20"/>
        </w:rPr>
        <w:t xml:space="preserve"> EEG spectrogram and hypnogram from a patient in the MGH symptomatic cohort. This is from an 83-year-old female with brain age 85.4 years and brain age index +2.4 years. There is a large amount of wakefulness after sleep onset. The alpha peak frequency during wakefulness (W) is broad and around 8 Hz, at the lower limit of normal. Spindles are not obvious but present. The delta power during N3 is lower than in the spectrogram from the younger patient above.</w:t>
      </w:r>
    </w:p>
    <w:p w14:paraId="25A7BECF" w14:textId="77777777" w:rsidR="002624A6" w:rsidRDefault="002624A6">
      <w:pPr>
        <w:spacing w:after="160" w:line="259" w:lineRule="auto"/>
        <w:rPr>
          <w:rFonts w:ascii="Calibri" w:eastAsia="Calibri" w:hAnsi="Calibri" w:cs="Calibri"/>
          <w:sz w:val="20"/>
          <w:szCs w:val="20"/>
        </w:rPr>
      </w:pPr>
    </w:p>
    <w:p w14:paraId="2F4FD335" w14:textId="77777777" w:rsidR="002624A6" w:rsidRDefault="00000000">
      <w:pPr>
        <w:spacing w:after="160" w:line="259" w:lineRule="auto"/>
        <w:rPr>
          <w:rFonts w:ascii="Calibri" w:eastAsia="Calibri" w:hAnsi="Calibri" w:cs="Calibri"/>
          <w:sz w:val="20"/>
          <w:szCs w:val="20"/>
        </w:rPr>
      </w:pPr>
      <w:r>
        <w:rPr>
          <w:rFonts w:ascii="Calibri" w:eastAsia="Calibri" w:hAnsi="Calibri" w:cs="Calibri"/>
          <w:noProof/>
          <w:sz w:val="20"/>
          <w:szCs w:val="20"/>
        </w:rPr>
        <w:lastRenderedPageBreak/>
        <w:drawing>
          <wp:inline distT="0" distB="0" distL="0" distR="0" wp14:anchorId="7493A7AC" wp14:editId="5F946805">
            <wp:extent cx="8128095" cy="3398552"/>
            <wp:effectExtent l="0" t="0" r="0" b="0"/>
            <wp:docPr id="23" name="image6.png" descr="Graphical user interfac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Graphical user interface&#10;&#10;Description automatically generated with low confidence"/>
                    <pic:cNvPicPr preferRelativeResize="0"/>
                  </pic:nvPicPr>
                  <pic:blipFill>
                    <a:blip r:embed="rId14"/>
                    <a:srcRect r="12607"/>
                    <a:stretch>
                      <a:fillRect/>
                    </a:stretch>
                  </pic:blipFill>
                  <pic:spPr>
                    <a:xfrm>
                      <a:off x="0" y="0"/>
                      <a:ext cx="8128095" cy="3398552"/>
                    </a:xfrm>
                    <a:prstGeom prst="rect">
                      <a:avLst/>
                    </a:prstGeom>
                    <a:ln/>
                  </pic:spPr>
                </pic:pic>
              </a:graphicData>
            </a:graphic>
          </wp:inline>
        </w:drawing>
      </w:r>
    </w:p>
    <w:p w14:paraId="24666116" w14:textId="7FA215B9" w:rsidR="002624A6" w:rsidRDefault="00000000">
      <w:pPr>
        <w:spacing w:after="160" w:line="259" w:lineRule="auto"/>
        <w:rPr>
          <w:sz w:val="20"/>
          <w:szCs w:val="20"/>
        </w:rPr>
      </w:pPr>
      <w:r>
        <w:rPr>
          <w:b/>
          <w:sz w:val="20"/>
          <w:szCs w:val="20"/>
        </w:rPr>
        <w:t>Figure S</w:t>
      </w:r>
      <w:r w:rsidR="00430D8F">
        <w:rPr>
          <w:b/>
          <w:sz w:val="20"/>
          <w:szCs w:val="20"/>
        </w:rPr>
        <w:t>2</w:t>
      </w:r>
      <w:r>
        <w:rPr>
          <w:b/>
          <w:sz w:val="20"/>
          <w:szCs w:val="20"/>
        </w:rPr>
        <w:t>e</w:t>
      </w:r>
      <w:r>
        <w:rPr>
          <w:sz w:val="20"/>
          <w:szCs w:val="20"/>
        </w:rPr>
        <w:t xml:space="preserve">. An example </w:t>
      </w:r>
      <w:proofErr w:type="gramStart"/>
      <w:r>
        <w:rPr>
          <w:sz w:val="20"/>
          <w:szCs w:val="20"/>
        </w:rPr>
        <w:t>sleep</w:t>
      </w:r>
      <w:proofErr w:type="gramEnd"/>
      <w:r>
        <w:rPr>
          <w:sz w:val="20"/>
          <w:szCs w:val="20"/>
        </w:rPr>
        <w:t xml:space="preserve"> EEG spectrogram and its hypnogram from the MGH mild cognitive impairment cohort. This is from a </w:t>
      </w:r>
      <w:proofErr w:type="gramStart"/>
      <w:r>
        <w:rPr>
          <w:sz w:val="20"/>
          <w:szCs w:val="20"/>
        </w:rPr>
        <w:t>72 year old</w:t>
      </w:r>
      <w:proofErr w:type="gramEnd"/>
      <w:r>
        <w:rPr>
          <w:sz w:val="20"/>
          <w:szCs w:val="20"/>
        </w:rPr>
        <w:t xml:space="preserve"> male with brain age 76.6 years and brain age index +4.6 years. There is a high amount of wake after sleep onset. There are ECG artifacts represented as horizontal stripes. The overall power (based on the color) is low, especially the delta power.</w:t>
      </w:r>
    </w:p>
    <w:p w14:paraId="06A751C0" w14:textId="77777777" w:rsidR="002624A6" w:rsidRDefault="002624A6">
      <w:pPr>
        <w:spacing w:after="160" w:line="259" w:lineRule="auto"/>
        <w:rPr>
          <w:rFonts w:ascii="Calibri" w:eastAsia="Calibri" w:hAnsi="Calibri" w:cs="Calibri"/>
          <w:sz w:val="20"/>
          <w:szCs w:val="20"/>
        </w:rPr>
      </w:pPr>
    </w:p>
    <w:p w14:paraId="5BF7F489" w14:textId="77777777" w:rsidR="002624A6" w:rsidRDefault="00000000">
      <w:pPr>
        <w:spacing w:after="160" w:line="259" w:lineRule="auto"/>
        <w:rPr>
          <w:rFonts w:ascii="Calibri" w:eastAsia="Calibri" w:hAnsi="Calibri" w:cs="Calibri"/>
          <w:sz w:val="20"/>
          <w:szCs w:val="20"/>
        </w:rPr>
      </w:pPr>
      <w:r>
        <w:rPr>
          <w:rFonts w:ascii="Calibri" w:eastAsia="Calibri" w:hAnsi="Calibri" w:cs="Calibri"/>
          <w:noProof/>
          <w:sz w:val="20"/>
          <w:szCs w:val="20"/>
        </w:rPr>
        <w:lastRenderedPageBreak/>
        <w:drawing>
          <wp:inline distT="0" distB="0" distL="0" distR="0" wp14:anchorId="5B676F71" wp14:editId="2A2B23E9">
            <wp:extent cx="8235547" cy="3607092"/>
            <wp:effectExtent l="0" t="0" r="0" b="0"/>
            <wp:docPr id="17" name="image1.png"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diagram&#10;&#10;Description automatically generated"/>
                    <pic:cNvPicPr preferRelativeResize="0"/>
                  </pic:nvPicPr>
                  <pic:blipFill>
                    <a:blip r:embed="rId15"/>
                    <a:srcRect r="13247"/>
                    <a:stretch>
                      <a:fillRect/>
                    </a:stretch>
                  </pic:blipFill>
                  <pic:spPr>
                    <a:xfrm>
                      <a:off x="0" y="0"/>
                      <a:ext cx="8235547" cy="3607092"/>
                    </a:xfrm>
                    <a:prstGeom prst="rect">
                      <a:avLst/>
                    </a:prstGeom>
                    <a:ln/>
                  </pic:spPr>
                </pic:pic>
              </a:graphicData>
            </a:graphic>
          </wp:inline>
        </w:drawing>
      </w:r>
    </w:p>
    <w:p w14:paraId="526D180A" w14:textId="106EB0E5" w:rsidR="002624A6" w:rsidRDefault="00000000">
      <w:pPr>
        <w:spacing w:after="160" w:line="259" w:lineRule="auto"/>
        <w:rPr>
          <w:sz w:val="20"/>
          <w:szCs w:val="20"/>
        </w:rPr>
      </w:pPr>
      <w:r>
        <w:rPr>
          <w:b/>
          <w:sz w:val="20"/>
          <w:szCs w:val="20"/>
        </w:rPr>
        <w:t>Figure S</w:t>
      </w:r>
      <w:r w:rsidR="00430D8F">
        <w:rPr>
          <w:b/>
          <w:sz w:val="20"/>
          <w:szCs w:val="20"/>
        </w:rPr>
        <w:t>2</w:t>
      </w:r>
      <w:r>
        <w:rPr>
          <w:b/>
          <w:sz w:val="20"/>
          <w:szCs w:val="20"/>
        </w:rPr>
        <w:t>f.</w:t>
      </w:r>
      <w:r>
        <w:rPr>
          <w:sz w:val="20"/>
          <w:szCs w:val="20"/>
        </w:rPr>
        <w:t xml:space="preserve"> An example </w:t>
      </w:r>
      <w:proofErr w:type="gramStart"/>
      <w:r>
        <w:rPr>
          <w:sz w:val="20"/>
          <w:szCs w:val="20"/>
        </w:rPr>
        <w:t>sleep</w:t>
      </w:r>
      <w:proofErr w:type="gramEnd"/>
      <w:r>
        <w:rPr>
          <w:sz w:val="20"/>
          <w:szCs w:val="20"/>
        </w:rPr>
        <w:t xml:space="preserve"> EEG spectrogram and hypnogram from the MGH dementia cohort. This is </w:t>
      </w:r>
      <w:proofErr w:type="gramStart"/>
      <w:r>
        <w:rPr>
          <w:sz w:val="20"/>
          <w:szCs w:val="20"/>
        </w:rPr>
        <w:t>form</w:t>
      </w:r>
      <w:proofErr w:type="gramEnd"/>
      <w:r>
        <w:rPr>
          <w:sz w:val="20"/>
          <w:szCs w:val="20"/>
        </w:rPr>
        <w:t xml:space="preserve"> a </w:t>
      </w:r>
      <w:proofErr w:type="gramStart"/>
      <w:r>
        <w:rPr>
          <w:sz w:val="20"/>
          <w:szCs w:val="20"/>
        </w:rPr>
        <w:t>64 year old</w:t>
      </w:r>
      <w:proofErr w:type="gramEnd"/>
      <w:r>
        <w:rPr>
          <w:sz w:val="20"/>
          <w:szCs w:val="20"/>
        </w:rPr>
        <w:t xml:space="preserve"> female with brain age of 72.2 years and brain age index +8.2 years. This is an “old-looking” sleep EEG spectrogram in terms of a relatively invariant pattern presenting for most of the night. The constant activity around 7 to 7.5 Hz is abnormal. The hypnogram is fragmented.</w:t>
      </w:r>
    </w:p>
    <w:p w14:paraId="3E402388" w14:textId="62FEC910" w:rsidR="002624A6" w:rsidRDefault="00000000">
      <w:pPr>
        <w:pStyle w:val="Heading1"/>
      </w:pPr>
      <w:bookmarkStart w:id="2" w:name="_Toc194762192"/>
      <w:r>
        <w:lastRenderedPageBreak/>
        <w:t>Figure S</w:t>
      </w:r>
      <w:r w:rsidR="00430D8F">
        <w:t>3</w:t>
      </w:r>
      <w:bookmarkEnd w:id="2"/>
    </w:p>
    <w:p w14:paraId="3D9FE176" w14:textId="77777777" w:rsidR="002624A6" w:rsidRDefault="00000000">
      <w:pPr>
        <w:tabs>
          <w:tab w:val="left" w:pos="6064"/>
        </w:tabs>
        <w:spacing w:after="120"/>
      </w:pPr>
      <w:r>
        <w:rPr>
          <w:noProof/>
        </w:rPr>
        <w:drawing>
          <wp:inline distT="114300" distB="114300" distL="114300" distR="114300" wp14:anchorId="540D5DA9" wp14:editId="1FCF0931">
            <wp:extent cx="3976758" cy="1877352"/>
            <wp:effectExtent l="0" t="0" r="0" b="0"/>
            <wp:docPr id="16" name="image2.png" descr="A graph of a number of object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aph of a number of objects&#10;&#10;Description automatically generated"/>
                    <pic:cNvPicPr preferRelativeResize="0"/>
                  </pic:nvPicPr>
                  <pic:blipFill>
                    <a:blip r:embed="rId16"/>
                    <a:srcRect/>
                    <a:stretch>
                      <a:fillRect/>
                    </a:stretch>
                  </pic:blipFill>
                  <pic:spPr>
                    <a:xfrm>
                      <a:off x="0" y="0"/>
                      <a:ext cx="3976758" cy="1877352"/>
                    </a:xfrm>
                    <a:prstGeom prst="rect">
                      <a:avLst/>
                    </a:prstGeom>
                    <a:ln/>
                  </pic:spPr>
                </pic:pic>
              </a:graphicData>
            </a:graphic>
          </wp:inline>
        </w:drawing>
      </w:r>
      <w:r>
        <w:rPr>
          <w:noProof/>
        </w:rPr>
        <w:drawing>
          <wp:inline distT="114300" distB="114300" distL="114300" distR="114300" wp14:anchorId="64A06CBF" wp14:editId="7978D451">
            <wp:extent cx="4224210" cy="1879673"/>
            <wp:effectExtent l="0" t="0" r="0" b="0"/>
            <wp:docPr id="19" name="image5.png" descr="A graph of a number of object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graph of a number of objects&#10;&#10;Description automatically generated"/>
                    <pic:cNvPicPr preferRelativeResize="0"/>
                  </pic:nvPicPr>
                  <pic:blipFill>
                    <a:blip r:embed="rId17"/>
                    <a:srcRect/>
                    <a:stretch>
                      <a:fillRect/>
                    </a:stretch>
                  </pic:blipFill>
                  <pic:spPr>
                    <a:xfrm>
                      <a:off x="0" y="0"/>
                      <a:ext cx="4224210" cy="1879673"/>
                    </a:xfrm>
                    <a:prstGeom prst="rect">
                      <a:avLst/>
                    </a:prstGeom>
                    <a:ln/>
                  </pic:spPr>
                </pic:pic>
              </a:graphicData>
            </a:graphic>
          </wp:inline>
        </w:drawing>
      </w:r>
    </w:p>
    <w:p w14:paraId="39994987" w14:textId="77777777" w:rsidR="002624A6" w:rsidRDefault="00000000">
      <w:pPr>
        <w:tabs>
          <w:tab w:val="left" w:pos="6064"/>
        </w:tabs>
        <w:spacing w:after="120"/>
      </w:pPr>
      <w:r>
        <w:rPr>
          <w:noProof/>
        </w:rPr>
        <w:drawing>
          <wp:inline distT="114300" distB="114300" distL="114300" distR="114300" wp14:anchorId="2B762E13" wp14:editId="6FD2521C">
            <wp:extent cx="4110641" cy="1929073"/>
            <wp:effectExtent l="0" t="0" r="0" b="0"/>
            <wp:docPr id="18" name="image3.png" descr="A graph of a number of object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graph of a number of objects&#10;&#10;Description automatically generated"/>
                    <pic:cNvPicPr preferRelativeResize="0"/>
                  </pic:nvPicPr>
                  <pic:blipFill>
                    <a:blip r:embed="rId18"/>
                    <a:srcRect/>
                    <a:stretch>
                      <a:fillRect/>
                    </a:stretch>
                  </pic:blipFill>
                  <pic:spPr>
                    <a:xfrm>
                      <a:off x="0" y="0"/>
                      <a:ext cx="4110641" cy="1929073"/>
                    </a:xfrm>
                    <a:prstGeom prst="rect">
                      <a:avLst/>
                    </a:prstGeom>
                    <a:ln/>
                  </pic:spPr>
                </pic:pic>
              </a:graphicData>
            </a:graphic>
          </wp:inline>
        </w:drawing>
      </w:r>
    </w:p>
    <w:p w14:paraId="48A69BD4" w14:textId="77777777" w:rsidR="002624A6" w:rsidRDefault="002624A6">
      <w:pPr>
        <w:tabs>
          <w:tab w:val="left" w:pos="6064"/>
        </w:tabs>
        <w:spacing w:after="120"/>
      </w:pPr>
    </w:p>
    <w:p w14:paraId="3AB50169" w14:textId="7E71F830" w:rsidR="002624A6" w:rsidRDefault="00000000">
      <w:pPr>
        <w:tabs>
          <w:tab w:val="left" w:pos="6064"/>
        </w:tabs>
        <w:spacing w:after="120"/>
        <w:rPr>
          <w:sz w:val="20"/>
          <w:szCs w:val="20"/>
        </w:rPr>
      </w:pPr>
      <w:r>
        <w:rPr>
          <w:b/>
          <w:sz w:val="20"/>
          <w:szCs w:val="20"/>
        </w:rPr>
        <w:t>Figure S</w:t>
      </w:r>
      <w:r w:rsidR="00430D8F">
        <w:rPr>
          <w:b/>
          <w:sz w:val="20"/>
          <w:szCs w:val="20"/>
        </w:rPr>
        <w:t>3</w:t>
      </w:r>
      <w:r>
        <w:rPr>
          <w:b/>
          <w:sz w:val="20"/>
          <w:szCs w:val="20"/>
        </w:rPr>
        <w:t>.</w:t>
      </w:r>
      <w:r>
        <w:rPr>
          <w:sz w:val="20"/>
          <w:szCs w:val="20"/>
        </w:rPr>
        <w:t xml:space="preserve"> Top three EEG features common to both the brain age model trained on Dreem EEGs (frontal only) and the model trained on EEGs in the PSGs. (top left) Signal waveform high-amplitude burst, quantified by kurtosis of the amplitude distribution within each 30-second epoch, measured at the frontal channel during N2 stage. It is likely due to patterns such as K-complex. The statistical significance (</w:t>
      </w:r>
      <w:r>
        <w:rPr>
          <w:i/>
          <w:sz w:val="20"/>
          <w:szCs w:val="20"/>
        </w:rPr>
        <w:t xml:space="preserve">p &lt; </w:t>
      </w:r>
      <w:r>
        <w:rPr>
          <w:sz w:val="20"/>
          <w:szCs w:val="20"/>
        </w:rPr>
        <w:t>0.05)</w:t>
      </w:r>
      <w:r>
        <w:rPr>
          <w:i/>
          <w:sz w:val="20"/>
          <w:szCs w:val="20"/>
        </w:rPr>
        <w:t xml:space="preserve"> </w:t>
      </w:r>
      <w:r>
        <w:rPr>
          <w:sz w:val="20"/>
          <w:szCs w:val="20"/>
        </w:rPr>
        <w:t xml:space="preserve">marked by * is obtained by comparing the matched cohort to the reference cohort (“No dementia in sleep lab (PSG)”) using a t-test. The error bar indicates the standard error. (top right) Theta power burst, quantified by kurtosis of the theta band power within each 30-second epoch measured at the frontal channel during N2 sleep. (bottom) Alpha power burst, quantified by kurtosis of the alpha band power within each 30-second epoch measured at the frontal channel during N2 sleep. </w:t>
      </w:r>
    </w:p>
    <w:p w14:paraId="26F530FC" w14:textId="77777777" w:rsidR="00A07BD8" w:rsidRDefault="00A07BD8"/>
    <w:p w14:paraId="68BFB7A8" w14:textId="77777777" w:rsidR="00A07BD8" w:rsidRDefault="00A07BD8"/>
    <w:p w14:paraId="4D03FA7A" w14:textId="7C4151D6" w:rsidR="002624A6" w:rsidRDefault="00000000">
      <w:pPr>
        <w:rPr>
          <w:b/>
          <w:color w:val="000000"/>
        </w:rPr>
      </w:pPr>
      <w:r>
        <w:br w:type="page"/>
      </w:r>
    </w:p>
    <w:p w14:paraId="2CACF24A" w14:textId="77777777" w:rsidR="002624A6" w:rsidRDefault="00000000">
      <w:pPr>
        <w:pStyle w:val="Heading1"/>
        <w:rPr>
          <w:rFonts w:ascii="Arial" w:eastAsia="Arial" w:hAnsi="Arial" w:cs="Arial"/>
        </w:rPr>
      </w:pPr>
      <w:bookmarkStart w:id="3" w:name="_Toc194762193"/>
      <w:r>
        <w:rPr>
          <w:rFonts w:ascii="Arial" w:eastAsia="Arial" w:hAnsi="Arial" w:cs="Arial"/>
        </w:rPr>
        <w:lastRenderedPageBreak/>
        <w:t>Table S1. Unadjusted brain age index (BAI) by group</w:t>
      </w:r>
      <w:bookmarkEnd w:id="3"/>
    </w:p>
    <w:tbl>
      <w:tblPr>
        <w:tblStyle w:val="a"/>
        <w:tblW w:w="12794" w:type="dxa"/>
        <w:tblLayout w:type="fixed"/>
        <w:tblLook w:val="0400" w:firstRow="0" w:lastRow="0" w:firstColumn="0" w:lastColumn="0" w:noHBand="0" w:noVBand="1"/>
      </w:tblPr>
      <w:tblGrid>
        <w:gridCol w:w="2155"/>
        <w:gridCol w:w="1260"/>
        <w:gridCol w:w="1980"/>
        <w:gridCol w:w="1800"/>
        <w:gridCol w:w="2250"/>
        <w:gridCol w:w="1080"/>
        <w:gridCol w:w="1080"/>
        <w:gridCol w:w="1189"/>
      </w:tblGrid>
      <w:tr w:rsidR="002624A6" w14:paraId="4732128F" w14:textId="77777777">
        <w:trPr>
          <w:trHeight w:val="340"/>
        </w:trPr>
        <w:tc>
          <w:tcPr>
            <w:tcW w:w="2155" w:type="dxa"/>
            <w:tcBorders>
              <w:top w:val="single" w:sz="4" w:space="0" w:color="000000"/>
              <w:left w:val="single" w:sz="4" w:space="0" w:color="000000"/>
              <w:bottom w:val="single" w:sz="4" w:space="0" w:color="000000"/>
              <w:right w:val="single" w:sz="4" w:space="0" w:color="000000"/>
            </w:tcBorders>
            <w:shd w:val="clear" w:color="auto" w:fill="auto"/>
          </w:tcPr>
          <w:p w14:paraId="01D7BDCE"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 </w:t>
            </w:r>
          </w:p>
        </w:tc>
        <w:tc>
          <w:tcPr>
            <w:tcW w:w="1260" w:type="dxa"/>
            <w:tcBorders>
              <w:top w:val="single" w:sz="4" w:space="0" w:color="000000"/>
              <w:left w:val="nil"/>
              <w:bottom w:val="single" w:sz="4" w:space="0" w:color="000000"/>
              <w:right w:val="single" w:sz="4" w:space="0" w:color="000000"/>
            </w:tcBorders>
            <w:shd w:val="clear" w:color="auto" w:fill="auto"/>
          </w:tcPr>
          <w:p w14:paraId="4C992ECC" w14:textId="77777777" w:rsidR="002624A6" w:rsidRDefault="00000000">
            <w:pPr>
              <w:rPr>
                <w:rFonts w:ascii="Arial" w:eastAsia="Arial" w:hAnsi="Arial" w:cs="Arial"/>
                <w:b/>
                <w:sz w:val="20"/>
                <w:szCs w:val="20"/>
              </w:rPr>
            </w:pPr>
            <w:r>
              <w:rPr>
                <w:rFonts w:ascii="Arial" w:eastAsia="Arial" w:hAnsi="Arial" w:cs="Arial"/>
                <w:b/>
                <w:sz w:val="20"/>
                <w:szCs w:val="20"/>
              </w:rPr>
              <w:t>Meditatorᵃ (</w:t>
            </w:r>
            <w:r>
              <w:rPr>
                <w:rFonts w:ascii="Arial" w:eastAsia="Arial" w:hAnsi="Arial" w:cs="Arial"/>
                <w:b/>
                <w:i/>
                <w:sz w:val="20"/>
                <w:szCs w:val="20"/>
              </w:rPr>
              <w:t>n</w:t>
            </w:r>
            <w:r>
              <w:rPr>
                <w:rFonts w:ascii="Arial" w:eastAsia="Arial" w:hAnsi="Arial" w:cs="Arial"/>
                <w:b/>
                <w:sz w:val="20"/>
                <w:szCs w:val="20"/>
              </w:rPr>
              <w:t xml:space="preserve"> = 34)</w:t>
            </w:r>
          </w:p>
        </w:tc>
        <w:tc>
          <w:tcPr>
            <w:tcW w:w="1980" w:type="dxa"/>
            <w:tcBorders>
              <w:top w:val="single" w:sz="4" w:space="0" w:color="000000"/>
              <w:left w:val="nil"/>
              <w:bottom w:val="single" w:sz="4" w:space="0" w:color="000000"/>
              <w:right w:val="single" w:sz="4" w:space="0" w:color="000000"/>
            </w:tcBorders>
            <w:shd w:val="clear" w:color="auto" w:fill="auto"/>
          </w:tcPr>
          <w:p w14:paraId="2BA53356" w14:textId="77777777" w:rsidR="002624A6" w:rsidRDefault="00000000">
            <w:pPr>
              <w:rPr>
                <w:rFonts w:ascii="Arial" w:eastAsia="Arial" w:hAnsi="Arial" w:cs="Arial"/>
                <w:b/>
                <w:sz w:val="20"/>
                <w:szCs w:val="20"/>
              </w:rPr>
            </w:pPr>
            <w:r>
              <w:rPr>
                <w:rFonts w:ascii="Arial" w:eastAsia="Arial" w:hAnsi="Arial" w:cs="Arial"/>
                <w:b/>
                <w:sz w:val="20"/>
                <w:szCs w:val="20"/>
              </w:rPr>
              <w:t>HC in communityᵃ (</w:t>
            </w:r>
            <w:r>
              <w:rPr>
                <w:rFonts w:ascii="Arial" w:eastAsia="Arial" w:hAnsi="Arial" w:cs="Arial"/>
                <w:b/>
                <w:i/>
                <w:sz w:val="20"/>
                <w:szCs w:val="20"/>
              </w:rPr>
              <w:t>n</w:t>
            </w:r>
            <w:r>
              <w:rPr>
                <w:rFonts w:ascii="Arial" w:eastAsia="Arial" w:hAnsi="Arial" w:cs="Arial"/>
                <w:b/>
                <w:sz w:val="20"/>
                <w:szCs w:val="20"/>
              </w:rPr>
              <w:t xml:space="preserve"> = 1077)</w:t>
            </w:r>
          </w:p>
        </w:tc>
        <w:tc>
          <w:tcPr>
            <w:tcW w:w="1800" w:type="dxa"/>
            <w:tcBorders>
              <w:top w:val="single" w:sz="4" w:space="0" w:color="000000"/>
              <w:left w:val="nil"/>
              <w:bottom w:val="single" w:sz="4" w:space="0" w:color="000000"/>
              <w:right w:val="single" w:sz="4" w:space="0" w:color="000000"/>
            </w:tcBorders>
            <w:shd w:val="clear" w:color="auto" w:fill="auto"/>
          </w:tcPr>
          <w:p w14:paraId="7BAF31F2" w14:textId="77777777" w:rsidR="002624A6" w:rsidRDefault="00000000">
            <w:pPr>
              <w:rPr>
                <w:rFonts w:ascii="Arial" w:eastAsia="Arial" w:hAnsi="Arial" w:cs="Arial"/>
                <w:b/>
                <w:sz w:val="20"/>
                <w:szCs w:val="20"/>
              </w:rPr>
            </w:pPr>
            <w:r>
              <w:rPr>
                <w:rFonts w:ascii="Arial" w:eastAsia="Arial" w:hAnsi="Arial" w:cs="Arial"/>
                <w:b/>
                <w:sz w:val="20"/>
                <w:szCs w:val="20"/>
              </w:rPr>
              <w:t>HC in sleep labᵇ (</w:t>
            </w:r>
            <w:r>
              <w:rPr>
                <w:rFonts w:ascii="Arial" w:eastAsia="Arial" w:hAnsi="Arial" w:cs="Arial"/>
                <w:b/>
                <w:i/>
                <w:sz w:val="20"/>
                <w:szCs w:val="20"/>
              </w:rPr>
              <w:t>n</w:t>
            </w:r>
            <w:r>
              <w:rPr>
                <w:rFonts w:ascii="Arial" w:eastAsia="Arial" w:hAnsi="Arial" w:cs="Arial"/>
                <w:b/>
                <w:sz w:val="20"/>
                <w:szCs w:val="20"/>
              </w:rPr>
              <w:t xml:space="preserve"> = 112)</w:t>
            </w:r>
          </w:p>
        </w:tc>
        <w:tc>
          <w:tcPr>
            <w:tcW w:w="2250" w:type="dxa"/>
            <w:tcBorders>
              <w:top w:val="single" w:sz="4" w:space="0" w:color="000000"/>
              <w:left w:val="nil"/>
              <w:bottom w:val="single" w:sz="4" w:space="0" w:color="000000"/>
              <w:right w:val="single" w:sz="4" w:space="0" w:color="000000"/>
            </w:tcBorders>
            <w:shd w:val="clear" w:color="auto" w:fill="auto"/>
          </w:tcPr>
          <w:p w14:paraId="0B1C0A9A" w14:textId="77777777" w:rsidR="002624A6" w:rsidRDefault="00000000">
            <w:pPr>
              <w:rPr>
                <w:rFonts w:ascii="Arial" w:eastAsia="Arial" w:hAnsi="Arial" w:cs="Arial"/>
                <w:b/>
                <w:sz w:val="20"/>
                <w:szCs w:val="20"/>
              </w:rPr>
            </w:pPr>
            <w:r>
              <w:rPr>
                <w:rFonts w:ascii="Arial" w:eastAsia="Arial" w:hAnsi="Arial" w:cs="Arial"/>
                <w:b/>
                <w:sz w:val="20"/>
                <w:szCs w:val="20"/>
              </w:rPr>
              <w:t>No DEM in sleep labᵇ (</w:t>
            </w:r>
            <w:r>
              <w:rPr>
                <w:rFonts w:ascii="Arial" w:eastAsia="Arial" w:hAnsi="Arial" w:cs="Arial"/>
                <w:b/>
                <w:i/>
                <w:sz w:val="20"/>
                <w:szCs w:val="20"/>
              </w:rPr>
              <w:t>n</w:t>
            </w:r>
            <w:r>
              <w:rPr>
                <w:rFonts w:ascii="Arial" w:eastAsia="Arial" w:hAnsi="Arial" w:cs="Arial"/>
                <w:b/>
                <w:sz w:val="20"/>
                <w:szCs w:val="20"/>
              </w:rPr>
              <w:t xml:space="preserve"> = 7618)</w:t>
            </w:r>
          </w:p>
        </w:tc>
        <w:tc>
          <w:tcPr>
            <w:tcW w:w="1080" w:type="dxa"/>
            <w:tcBorders>
              <w:top w:val="single" w:sz="4" w:space="0" w:color="000000"/>
              <w:left w:val="nil"/>
              <w:bottom w:val="single" w:sz="4" w:space="0" w:color="000000"/>
              <w:right w:val="single" w:sz="4" w:space="0" w:color="000000"/>
            </w:tcBorders>
            <w:shd w:val="clear" w:color="auto" w:fill="auto"/>
          </w:tcPr>
          <w:p w14:paraId="4DCF68D2" w14:textId="77777777" w:rsidR="002624A6" w:rsidRDefault="00000000">
            <w:pPr>
              <w:rPr>
                <w:rFonts w:ascii="Arial" w:eastAsia="Arial" w:hAnsi="Arial" w:cs="Arial"/>
                <w:b/>
                <w:sz w:val="20"/>
                <w:szCs w:val="20"/>
              </w:rPr>
            </w:pPr>
            <w:r>
              <w:rPr>
                <w:rFonts w:ascii="Arial" w:eastAsia="Arial" w:hAnsi="Arial" w:cs="Arial"/>
                <w:b/>
                <w:sz w:val="20"/>
                <w:szCs w:val="20"/>
              </w:rPr>
              <w:t xml:space="preserve">SYMᵇ </w:t>
            </w:r>
          </w:p>
          <w:p w14:paraId="28F526F1" w14:textId="77777777" w:rsidR="002624A6" w:rsidRDefault="00000000">
            <w:pPr>
              <w:rPr>
                <w:rFonts w:ascii="Arial" w:eastAsia="Arial" w:hAnsi="Arial" w:cs="Arial"/>
                <w:b/>
                <w:sz w:val="20"/>
                <w:szCs w:val="20"/>
              </w:rPr>
            </w:pPr>
            <w:r>
              <w:rPr>
                <w:rFonts w:ascii="Arial" w:eastAsia="Arial" w:hAnsi="Arial" w:cs="Arial"/>
                <w:b/>
                <w:sz w:val="20"/>
                <w:szCs w:val="20"/>
              </w:rPr>
              <w:t>(</w:t>
            </w:r>
            <w:r>
              <w:rPr>
                <w:rFonts w:ascii="Arial" w:eastAsia="Arial" w:hAnsi="Arial" w:cs="Arial"/>
                <w:b/>
                <w:i/>
                <w:sz w:val="20"/>
                <w:szCs w:val="20"/>
              </w:rPr>
              <w:t>n</w:t>
            </w:r>
            <w:r>
              <w:rPr>
                <w:rFonts w:ascii="Arial" w:eastAsia="Arial" w:hAnsi="Arial" w:cs="Arial"/>
                <w:b/>
                <w:sz w:val="20"/>
                <w:szCs w:val="20"/>
              </w:rPr>
              <w:t xml:space="preserve"> = 697)</w:t>
            </w:r>
          </w:p>
        </w:tc>
        <w:tc>
          <w:tcPr>
            <w:tcW w:w="1080" w:type="dxa"/>
            <w:tcBorders>
              <w:top w:val="single" w:sz="4" w:space="0" w:color="000000"/>
              <w:left w:val="nil"/>
              <w:bottom w:val="single" w:sz="4" w:space="0" w:color="000000"/>
              <w:right w:val="single" w:sz="4" w:space="0" w:color="000000"/>
            </w:tcBorders>
            <w:shd w:val="clear" w:color="auto" w:fill="auto"/>
          </w:tcPr>
          <w:p w14:paraId="5FE3BF8B" w14:textId="77777777" w:rsidR="002624A6" w:rsidRDefault="00000000">
            <w:pPr>
              <w:rPr>
                <w:rFonts w:ascii="Arial" w:eastAsia="Arial" w:hAnsi="Arial" w:cs="Arial"/>
                <w:b/>
                <w:sz w:val="20"/>
                <w:szCs w:val="20"/>
              </w:rPr>
            </w:pPr>
            <w:r>
              <w:rPr>
                <w:rFonts w:ascii="Arial" w:eastAsia="Arial" w:hAnsi="Arial" w:cs="Arial"/>
                <w:b/>
                <w:sz w:val="20"/>
                <w:szCs w:val="20"/>
              </w:rPr>
              <w:t xml:space="preserve">MCIᵇ </w:t>
            </w:r>
          </w:p>
          <w:p w14:paraId="3F382916" w14:textId="77777777" w:rsidR="002624A6" w:rsidRDefault="00000000">
            <w:pPr>
              <w:rPr>
                <w:rFonts w:ascii="Arial" w:eastAsia="Arial" w:hAnsi="Arial" w:cs="Arial"/>
                <w:b/>
                <w:sz w:val="20"/>
                <w:szCs w:val="20"/>
              </w:rPr>
            </w:pPr>
            <w:r>
              <w:rPr>
                <w:rFonts w:ascii="Arial" w:eastAsia="Arial" w:hAnsi="Arial" w:cs="Arial"/>
                <w:b/>
                <w:sz w:val="20"/>
                <w:szCs w:val="20"/>
              </w:rPr>
              <w:t>(</w:t>
            </w:r>
            <w:r>
              <w:rPr>
                <w:rFonts w:ascii="Arial" w:eastAsia="Arial" w:hAnsi="Arial" w:cs="Arial"/>
                <w:b/>
                <w:i/>
                <w:sz w:val="20"/>
                <w:szCs w:val="20"/>
              </w:rPr>
              <w:t>n</w:t>
            </w:r>
            <w:r>
              <w:rPr>
                <w:rFonts w:ascii="Arial" w:eastAsia="Arial" w:hAnsi="Arial" w:cs="Arial"/>
                <w:b/>
                <w:sz w:val="20"/>
                <w:szCs w:val="20"/>
              </w:rPr>
              <w:t xml:space="preserve"> = 205)</w:t>
            </w:r>
          </w:p>
        </w:tc>
        <w:tc>
          <w:tcPr>
            <w:tcW w:w="1189" w:type="dxa"/>
            <w:tcBorders>
              <w:top w:val="single" w:sz="4" w:space="0" w:color="000000"/>
              <w:left w:val="nil"/>
              <w:bottom w:val="single" w:sz="4" w:space="0" w:color="000000"/>
              <w:right w:val="single" w:sz="4" w:space="0" w:color="000000"/>
            </w:tcBorders>
            <w:shd w:val="clear" w:color="auto" w:fill="auto"/>
          </w:tcPr>
          <w:p w14:paraId="688D18EA" w14:textId="77777777" w:rsidR="002624A6" w:rsidRDefault="00000000">
            <w:pPr>
              <w:rPr>
                <w:rFonts w:ascii="Arial" w:eastAsia="Arial" w:hAnsi="Arial" w:cs="Arial"/>
                <w:b/>
                <w:sz w:val="20"/>
                <w:szCs w:val="20"/>
              </w:rPr>
            </w:pPr>
            <w:r>
              <w:rPr>
                <w:rFonts w:ascii="Arial" w:eastAsia="Arial" w:hAnsi="Arial" w:cs="Arial"/>
                <w:b/>
                <w:sz w:val="20"/>
                <w:szCs w:val="20"/>
              </w:rPr>
              <w:t xml:space="preserve">DEMᵇ </w:t>
            </w:r>
          </w:p>
          <w:p w14:paraId="0801C6BE" w14:textId="77777777" w:rsidR="002624A6" w:rsidRDefault="00000000">
            <w:pPr>
              <w:rPr>
                <w:rFonts w:ascii="Arial" w:eastAsia="Arial" w:hAnsi="Arial" w:cs="Arial"/>
                <w:b/>
                <w:sz w:val="20"/>
                <w:szCs w:val="20"/>
              </w:rPr>
            </w:pPr>
            <w:r>
              <w:rPr>
                <w:rFonts w:ascii="Arial" w:eastAsia="Arial" w:hAnsi="Arial" w:cs="Arial"/>
                <w:b/>
                <w:sz w:val="20"/>
                <w:szCs w:val="20"/>
              </w:rPr>
              <w:t>(</w:t>
            </w:r>
            <w:r>
              <w:rPr>
                <w:rFonts w:ascii="Arial" w:eastAsia="Arial" w:hAnsi="Arial" w:cs="Arial"/>
                <w:b/>
                <w:i/>
                <w:sz w:val="20"/>
                <w:szCs w:val="20"/>
              </w:rPr>
              <w:t>n</w:t>
            </w:r>
            <w:r>
              <w:rPr>
                <w:rFonts w:ascii="Arial" w:eastAsia="Arial" w:hAnsi="Arial" w:cs="Arial"/>
                <w:b/>
                <w:sz w:val="20"/>
                <w:szCs w:val="20"/>
              </w:rPr>
              <w:t xml:space="preserve"> = 153)</w:t>
            </w:r>
          </w:p>
        </w:tc>
      </w:tr>
      <w:tr w:rsidR="002624A6" w14:paraId="5BCE9AC8" w14:textId="77777777">
        <w:trPr>
          <w:trHeight w:val="320"/>
        </w:trPr>
        <w:tc>
          <w:tcPr>
            <w:tcW w:w="2155" w:type="dxa"/>
            <w:tcBorders>
              <w:top w:val="nil"/>
              <w:left w:val="single" w:sz="4" w:space="0" w:color="000000"/>
              <w:bottom w:val="single" w:sz="4" w:space="0" w:color="000000"/>
              <w:right w:val="single" w:sz="4" w:space="0" w:color="000000"/>
            </w:tcBorders>
            <w:shd w:val="clear" w:color="auto" w:fill="auto"/>
          </w:tcPr>
          <w:p w14:paraId="66FEBFE1"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No. (%) with data</w:t>
            </w:r>
          </w:p>
        </w:tc>
        <w:tc>
          <w:tcPr>
            <w:tcW w:w="1260" w:type="dxa"/>
            <w:tcBorders>
              <w:top w:val="nil"/>
              <w:left w:val="nil"/>
              <w:bottom w:val="single" w:sz="4" w:space="0" w:color="000000"/>
              <w:right w:val="single" w:sz="4" w:space="0" w:color="000000"/>
            </w:tcBorders>
            <w:shd w:val="clear" w:color="auto" w:fill="auto"/>
          </w:tcPr>
          <w:p w14:paraId="561402F6"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33 (97)</w:t>
            </w:r>
          </w:p>
        </w:tc>
        <w:tc>
          <w:tcPr>
            <w:tcW w:w="1980" w:type="dxa"/>
            <w:tcBorders>
              <w:top w:val="nil"/>
              <w:left w:val="nil"/>
              <w:bottom w:val="single" w:sz="4" w:space="0" w:color="000000"/>
              <w:right w:val="single" w:sz="4" w:space="0" w:color="000000"/>
            </w:tcBorders>
            <w:shd w:val="clear" w:color="auto" w:fill="auto"/>
          </w:tcPr>
          <w:p w14:paraId="58C28A9B"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1077 (100)</w:t>
            </w:r>
          </w:p>
        </w:tc>
        <w:tc>
          <w:tcPr>
            <w:tcW w:w="1800" w:type="dxa"/>
            <w:tcBorders>
              <w:top w:val="nil"/>
              <w:left w:val="nil"/>
              <w:bottom w:val="single" w:sz="4" w:space="0" w:color="000000"/>
              <w:right w:val="single" w:sz="4" w:space="0" w:color="000000"/>
            </w:tcBorders>
            <w:shd w:val="clear" w:color="auto" w:fill="auto"/>
          </w:tcPr>
          <w:p w14:paraId="3A4C4416"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112 (100)</w:t>
            </w:r>
          </w:p>
        </w:tc>
        <w:tc>
          <w:tcPr>
            <w:tcW w:w="2250" w:type="dxa"/>
            <w:tcBorders>
              <w:top w:val="nil"/>
              <w:left w:val="nil"/>
              <w:bottom w:val="single" w:sz="4" w:space="0" w:color="000000"/>
              <w:right w:val="single" w:sz="4" w:space="0" w:color="000000"/>
            </w:tcBorders>
            <w:shd w:val="clear" w:color="auto" w:fill="auto"/>
          </w:tcPr>
          <w:p w14:paraId="1ADCC96D"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7618 (100)</w:t>
            </w:r>
          </w:p>
        </w:tc>
        <w:tc>
          <w:tcPr>
            <w:tcW w:w="1080" w:type="dxa"/>
            <w:tcBorders>
              <w:top w:val="nil"/>
              <w:left w:val="nil"/>
              <w:bottom w:val="single" w:sz="4" w:space="0" w:color="000000"/>
              <w:right w:val="single" w:sz="4" w:space="0" w:color="000000"/>
            </w:tcBorders>
            <w:shd w:val="clear" w:color="auto" w:fill="auto"/>
          </w:tcPr>
          <w:p w14:paraId="23280E60"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697 (100)</w:t>
            </w:r>
          </w:p>
        </w:tc>
        <w:tc>
          <w:tcPr>
            <w:tcW w:w="1080" w:type="dxa"/>
            <w:tcBorders>
              <w:top w:val="nil"/>
              <w:left w:val="nil"/>
              <w:bottom w:val="single" w:sz="4" w:space="0" w:color="000000"/>
              <w:right w:val="single" w:sz="4" w:space="0" w:color="000000"/>
            </w:tcBorders>
            <w:shd w:val="clear" w:color="auto" w:fill="auto"/>
          </w:tcPr>
          <w:p w14:paraId="52BC400E"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205 (100)</w:t>
            </w:r>
          </w:p>
        </w:tc>
        <w:tc>
          <w:tcPr>
            <w:tcW w:w="1189" w:type="dxa"/>
            <w:tcBorders>
              <w:top w:val="nil"/>
              <w:left w:val="nil"/>
              <w:bottom w:val="single" w:sz="4" w:space="0" w:color="000000"/>
              <w:right w:val="single" w:sz="4" w:space="0" w:color="000000"/>
            </w:tcBorders>
            <w:shd w:val="clear" w:color="auto" w:fill="auto"/>
          </w:tcPr>
          <w:p w14:paraId="1AF2485B"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153 (100)</w:t>
            </w:r>
          </w:p>
        </w:tc>
      </w:tr>
      <w:tr w:rsidR="002624A6" w14:paraId="436694CD" w14:textId="77777777">
        <w:trPr>
          <w:trHeight w:val="340"/>
        </w:trPr>
        <w:tc>
          <w:tcPr>
            <w:tcW w:w="2155" w:type="dxa"/>
            <w:tcBorders>
              <w:top w:val="nil"/>
              <w:left w:val="single" w:sz="4" w:space="0" w:color="000000"/>
              <w:bottom w:val="single" w:sz="4" w:space="0" w:color="000000"/>
              <w:right w:val="single" w:sz="4" w:space="0" w:color="000000"/>
            </w:tcBorders>
            <w:shd w:val="clear" w:color="auto" w:fill="auto"/>
          </w:tcPr>
          <w:p w14:paraId="2014CEB0"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BAI, mean (</w:t>
            </w:r>
            <w:r>
              <w:rPr>
                <w:rFonts w:ascii="Arial" w:eastAsia="Arial" w:hAnsi="Arial" w:cs="Arial"/>
                <w:i/>
                <w:color w:val="000000"/>
                <w:sz w:val="20"/>
                <w:szCs w:val="20"/>
              </w:rPr>
              <w:t>SEM</w:t>
            </w:r>
            <w:r>
              <w:rPr>
                <w:rFonts w:ascii="Arial" w:eastAsia="Arial" w:hAnsi="Arial" w:cs="Arial"/>
                <w:color w:val="000000"/>
                <w:sz w:val="20"/>
                <w:szCs w:val="20"/>
              </w:rPr>
              <w:t>), yr</w:t>
            </w:r>
          </w:p>
        </w:tc>
        <w:tc>
          <w:tcPr>
            <w:tcW w:w="1260" w:type="dxa"/>
            <w:tcBorders>
              <w:top w:val="nil"/>
              <w:left w:val="nil"/>
              <w:bottom w:val="single" w:sz="4" w:space="0" w:color="000000"/>
              <w:right w:val="single" w:sz="4" w:space="0" w:color="000000"/>
            </w:tcBorders>
            <w:shd w:val="clear" w:color="auto" w:fill="auto"/>
          </w:tcPr>
          <w:p w14:paraId="5949FC38"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-6.78 (1.27)</w:t>
            </w:r>
          </w:p>
        </w:tc>
        <w:tc>
          <w:tcPr>
            <w:tcW w:w="1980" w:type="dxa"/>
            <w:tcBorders>
              <w:top w:val="nil"/>
              <w:left w:val="nil"/>
              <w:bottom w:val="single" w:sz="4" w:space="0" w:color="000000"/>
              <w:right w:val="single" w:sz="4" w:space="0" w:color="000000"/>
            </w:tcBorders>
            <w:shd w:val="clear" w:color="auto" w:fill="auto"/>
          </w:tcPr>
          <w:p w14:paraId="065DD8B9"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-0.41 (0.19)</w:t>
            </w:r>
          </w:p>
        </w:tc>
        <w:tc>
          <w:tcPr>
            <w:tcW w:w="1800" w:type="dxa"/>
            <w:tcBorders>
              <w:top w:val="nil"/>
              <w:left w:val="nil"/>
              <w:bottom w:val="single" w:sz="4" w:space="0" w:color="000000"/>
              <w:right w:val="single" w:sz="4" w:space="0" w:color="000000"/>
            </w:tcBorders>
            <w:shd w:val="clear" w:color="auto" w:fill="auto"/>
          </w:tcPr>
          <w:p w14:paraId="594FE5A8"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1.34 (0.52)</w:t>
            </w:r>
          </w:p>
        </w:tc>
        <w:tc>
          <w:tcPr>
            <w:tcW w:w="2250" w:type="dxa"/>
            <w:tcBorders>
              <w:top w:val="nil"/>
              <w:left w:val="nil"/>
              <w:bottom w:val="single" w:sz="4" w:space="0" w:color="000000"/>
              <w:right w:val="single" w:sz="4" w:space="0" w:color="000000"/>
            </w:tcBorders>
            <w:shd w:val="clear" w:color="auto" w:fill="auto"/>
          </w:tcPr>
          <w:p w14:paraId="692A3D90"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2.35 (0.07)</w:t>
            </w:r>
          </w:p>
        </w:tc>
        <w:tc>
          <w:tcPr>
            <w:tcW w:w="1080" w:type="dxa"/>
            <w:tcBorders>
              <w:top w:val="nil"/>
              <w:left w:val="nil"/>
              <w:bottom w:val="single" w:sz="4" w:space="0" w:color="000000"/>
              <w:right w:val="single" w:sz="4" w:space="0" w:color="000000"/>
            </w:tcBorders>
            <w:shd w:val="clear" w:color="auto" w:fill="auto"/>
          </w:tcPr>
          <w:p w14:paraId="1488ADDC"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2.62 (0.22)</w:t>
            </w:r>
          </w:p>
        </w:tc>
        <w:tc>
          <w:tcPr>
            <w:tcW w:w="1080" w:type="dxa"/>
            <w:tcBorders>
              <w:top w:val="nil"/>
              <w:left w:val="nil"/>
              <w:bottom w:val="single" w:sz="4" w:space="0" w:color="000000"/>
              <w:right w:val="single" w:sz="4" w:space="0" w:color="000000"/>
            </w:tcBorders>
            <w:shd w:val="clear" w:color="auto" w:fill="auto"/>
          </w:tcPr>
          <w:p w14:paraId="5A827DA7"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2.97 (0.38)</w:t>
            </w:r>
          </w:p>
        </w:tc>
        <w:tc>
          <w:tcPr>
            <w:tcW w:w="1189" w:type="dxa"/>
            <w:tcBorders>
              <w:top w:val="nil"/>
              <w:left w:val="nil"/>
              <w:bottom w:val="single" w:sz="4" w:space="0" w:color="000000"/>
              <w:right w:val="single" w:sz="4" w:space="0" w:color="000000"/>
            </w:tcBorders>
            <w:shd w:val="clear" w:color="auto" w:fill="auto"/>
          </w:tcPr>
          <w:p w14:paraId="5B1B5A5D"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3.59 (0.47)</w:t>
            </w:r>
          </w:p>
        </w:tc>
      </w:tr>
      <w:tr w:rsidR="002624A6" w14:paraId="2F8CE8E9" w14:textId="77777777">
        <w:trPr>
          <w:trHeight w:val="340"/>
        </w:trPr>
        <w:tc>
          <w:tcPr>
            <w:tcW w:w="2155" w:type="dxa"/>
            <w:tcBorders>
              <w:top w:val="nil"/>
              <w:left w:val="single" w:sz="4" w:space="0" w:color="000000"/>
              <w:bottom w:val="single" w:sz="4" w:space="0" w:color="000000"/>
              <w:right w:val="single" w:sz="4" w:space="0" w:color="000000"/>
            </w:tcBorders>
            <w:shd w:val="clear" w:color="auto" w:fill="auto"/>
          </w:tcPr>
          <w:p w14:paraId="51674F58"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Age, mean (</w:t>
            </w:r>
            <w:r>
              <w:rPr>
                <w:rFonts w:ascii="Arial" w:eastAsia="Arial" w:hAnsi="Arial" w:cs="Arial"/>
                <w:i/>
                <w:color w:val="000000"/>
                <w:sz w:val="20"/>
                <w:szCs w:val="20"/>
              </w:rPr>
              <w:t>SEM</w:t>
            </w:r>
            <w:r>
              <w:rPr>
                <w:rFonts w:ascii="Arial" w:eastAsia="Arial" w:hAnsi="Arial" w:cs="Arial"/>
                <w:color w:val="000000"/>
                <w:sz w:val="20"/>
                <w:szCs w:val="20"/>
              </w:rPr>
              <w:t>), yr</w:t>
            </w:r>
          </w:p>
        </w:tc>
        <w:tc>
          <w:tcPr>
            <w:tcW w:w="1260" w:type="dxa"/>
            <w:tcBorders>
              <w:top w:val="nil"/>
              <w:left w:val="nil"/>
              <w:bottom w:val="single" w:sz="4" w:space="0" w:color="000000"/>
              <w:right w:val="single" w:sz="4" w:space="0" w:color="000000"/>
            </w:tcBorders>
            <w:shd w:val="clear" w:color="auto" w:fill="auto"/>
          </w:tcPr>
          <w:p w14:paraId="035BB8C4"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37.88 (1.54)</w:t>
            </w:r>
          </w:p>
        </w:tc>
        <w:tc>
          <w:tcPr>
            <w:tcW w:w="1980" w:type="dxa"/>
            <w:tcBorders>
              <w:top w:val="nil"/>
              <w:left w:val="nil"/>
              <w:bottom w:val="single" w:sz="4" w:space="0" w:color="000000"/>
              <w:right w:val="single" w:sz="4" w:space="0" w:color="000000"/>
            </w:tcBorders>
            <w:shd w:val="clear" w:color="auto" w:fill="auto"/>
          </w:tcPr>
          <w:p w14:paraId="70CBE9DA"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45.57 (0.42)</w:t>
            </w:r>
          </w:p>
        </w:tc>
        <w:tc>
          <w:tcPr>
            <w:tcW w:w="1800" w:type="dxa"/>
            <w:tcBorders>
              <w:top w:val="nil"/>
              <w:left w:val="nil"/>
              <w:bottom w:val="single" w:sz="4" w:space="0" w:color="000000"/>
              <w:right w:val="single" w:sz="4" w:space="0" w:color="000000"/>
            </w:tcBorders>
            <w:shd w:val="clear" w:color="auto" w:fill="auto"/>
          </w:tcPr>
          <w:p w14:paraId="59D7484E"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39.07 (1.20)</w:t>
            </w:r>
          </w:p>
        </w:tc>
        <w:tc>
          <w:tcPr>
            <w:tcW w:w="2250" w:type="dxa"/>
            <w:tcBorders>
              <w:top w:val="nil"/>
              <w:left w:val="nil"/>
              <w:bottom w:val="single" w:sz="4" w:space="0" w:color="000000"/>
              <w:right w:val="single" w:sz="4" w:space="0" w:color="000000"/>
            </w:tcBorders>
            <w:shd w:val="clear" w:color="auto" w:fill="auto"/>
          </w:tcPr>
          <w:p w14:paraId="32FDB8C5"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48.94 (0.18)</w:t>
            </w:r>
          </w:p>
        </w:tc>
        <w:tc>
          <w:tcPr>
            <w:tcW w:w="1080" w:type="dxa"/>
            <w:tcBorders>
              <w:top w:val="nil"/>
              <w:left w:val="nil"/>
              <w:bottom w:val="single" w:sz="4" w:space="0" w:color="000000"/>
              <w:right w:val="single" w:sz="4" w:space="0" w:color="000000"/>
            </w:tcBorders>
            <w:shd w:val="clear" w:color="auto" w:fill="auto"/>
          </w:tcPr>
          <w:p w14:paraId="4AA62EA3"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64.11 (0.34)</w:t>
            </w:r>
          </w:p>
        </w:tc>
        <w:tc>
          <w:tcPr>
            <w:tcW w:w="1080" w:type="dxa"/>
            <w:tcBorders>
              <w:top w:val="nil"/>
              <w:left w:val="nil"/>
              <w:bottom w:val="single" w:sz="4" w:space="0" w:color="000000"/>
              <w:right w:val="single" w:sz="4" w:space="0" w:color="000000"/>
            </w:tcBorders>
            <w:shd w:val="clear" w:color="auto" w:fill="auto"/>
          </w:tcPr>
          <w:p w14:paraId="64581195"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67.98 (0.65)</w:t>
            </w:r>
          </w:p>
        </w:tc>
        <w:tc>
          <w:tcPr>
            <w:tcW w:w="1189" w:type="dxa"/>
            <w:tcBorders>
              <w:top w:val="nil"/>
              <w:left w:val="nil"/>
              <w:bottom w:val="single" w:sz="4" w:space="0" w:color="000000"/>
              <w:right w:val="single" w:sz="4" w:space="0" w:color="000000"/>
            </w:tcBorders>
            <w:shd w:val="clear" w:color="auto" w:fill="auto"/>
          </w:tcPr>
          <w:p w14:paraId="21A77053"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70.29 (0.83)</w:t>
            </w:r>
          </w:p>
        </w:tc>
      </w:tr>
      <w:tr w:rsidR="002624A6" w14:paraId="7BABF0AC" w14:textId="77777777">
        <w:trPr>
          <w:trHeight w:val="320"/>
        </w:trPr>
        <w:tc>
          <w:tcPr>
            <w:tcW w:w="2155" w:type="dxa"/>
            <w:tcBorders>
              <w:top w:val="nil"/>
              <w:left w:val="single" w:sz="4" w:space="0" w:color="000000"/>
              <w:bottom w:val="single" w:sz="4" w:space="0" w:color="000000"/>
              <w:right w:val="single" w:sz="4" w:space="0" w:color="000000"/>
            </w:tcBorders>
            <w:shd w:val="clear" w:color="auto" w:fill="auto"/>
          </w:tcPr>
          <w:p w14:paraId="4BCFF46E"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No. (%) female</w:t>
            </w:r>
          </w:p>
        </w:tc>
        <w:tc>
          <w:tcPr>
            <w:tcW w:w="1260" w:type="dxa"/>
            <w:tcBorders>
              <w:top w:val="nil"/>
              <w:left w:val="nil"/>
              <w:bottom w:val="single" w:sz="4" w:space="0" w:color="000000"/>
              <w:right w:val="single" w:sz="4" w:space="0" w:color="000000"/>
            </w:tcBorders>
            <w:shd w:val="clear" w:color="auto" w:fill="auto"/>
          </w:tcPr>
          <w:p w14:paraId="03E10C3C"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12 (36)</w:t>
            </w:r>
          </w:p>
        </w:tc>
        <w:tc>
          <w:tcPr>
            <w:tcW w:w="1980" w:type="dxa"/>
            <w:tcBorders>
              <w:top w:val="nil"/>
              <w:left w:val="nil"/>
              <w:bottom w:val="single" w:sz="4" w:space="0" w:color="000000"/>
              <w:right w:val="single" w:sz="4" w:space="0" w:color="000000"/>
            </w:tcBorders>
            <w:shd w:val="clear" w:color="auto" w:fill="auto"/>
          </w:tcPr>
          <w:p w14:paraId="6B9F1F54"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191 (18)</w:t>
            </w:r>
          </w:p>
        </w:tc>
        <w:tc>
          <w:tcPr>
            <w:tcW w:w="1800" w:type="dxa"/>
            <w:tcBorders>
              <w:top w:val="nil"/>
              <w:left w:val="nil"/>
              <w:bottom w:val="single" w:sz="4" w:space="0" w:color="000000"/>
              <w:right w:val="single" w:sz="4" w:space="0" w:color="000000"/>
            </w:tcBorders>
            <w:shd w:val="clear" w:color="auto" w:fill="auto"/>
          </w:tcPr>
          <w:p w14:paraId="5281C8EF"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62 (55)</w:t>
            </w:r>
          </w:p>
        </w:tc>
        <w:tc>
          <w:tcPr>
            <w:tcW w:w="2250" w:type="dxa"/>
            <w:tcBorders>
              <w:top w:val="nil"/>
              <w:left w:val="nil"/>
              <w:bottom w:val="single" w:sz="4" w:space="0" w:color="000000"/>
              <w:right w:val="single" w:sz="4" w:space="0" w:color="000000"/>
            </w:tcBorders>
            <w:shd w:val="clear" w:color="auto" w:fill="auto"/>
          </w:tcPr>
          <w:p w14:paraId="5806568F"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3843 (50)</w:t>
            </w:r>
          </w:p>
        </w:tc>
        <w:tc>
          <w:tcPr>
            <w:tcW w:w="1080" w:type="dxa"/>
            <w:tcBorders>
              <w:top w:val="nil"/>
              <w:left w:val="nil"/>
              <w:bottom w:val="single" w:sz="4" w:space="0" w:color="000000"/>
              <w:right w:val="single" w:sz="4" w:space="0" w:color="000000"/>
            </w:tcBorders>
            <w:shd w:val="clear" w:color="auto" w:fill="auto"/>
          </w:tcPr>
          <w:p w14:paraId="06338EB5"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389 (56)</w:t>
            </w:r>
          </w:p>
        </w:tc>
        <w:tc>
          <w:tcPr>
            <w:tcW w:w="1080" w:type="dxa"/>
            <w:tcBorders>
              <w:top w:val="nil"/>
              <w:left w:val="nil"/>
              <w:bottom w:val="single" w:sz="4" w:space="0" w:color="000000"/>
              <w:right w:val="single" w:sz="4" w:space="0" w:color="000000"/>
            </w:tcBorders>
            <w:shd w:val="clear" w:color="auto" w:fill="auto"/>
          </w:tcPr>
          <w:p w14:paraId="02F678AB"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87 (42)</w:t>
            </w:r>
          </w:p>
        </w:tc>
        <w:tc>
          <w:tcPr>
            <w:tcW w:w="1189" w:type="dxa"/>
            <w:tcBorders>
              <w:top w:val="nil"/>
              <w:left w:val="nil"/>
              <w:bottom w:val="single" w:sz="4" w:space="0" w:color="000000"/>
              <w:right w:val="single" w:sz="4" w:space="0" w:color="000000"/>
            </w:tcBorders>
            <w:shd w:val="clear" w:color="auto" w:fill="auto"/>
          </w:tcPr>
          <w:p w14:paraId="447FF377"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69 (45)</w:t>
            </w:r>
          </w:p>
        </w:tc>
      </w:tr>
      <w:tr w:rsidR="002624A6" w14:paraId="3A1BEA18" w14:textId="77777777">
        <w:trPr>
          <w:trHeight w:val="340"/>
        </w:trPr>
        <w:tc>
          <w:tcPr>
            <w:tcW w:w="2155" w:type="dxa"/>
            <w:tcBorders>
              <w:top w:val="nil"/>
              <w:left w:val="single" w:sz="4" w:space="0" w:color="000000"/>
              <w:bottom w:val="single" w:sz="4" w:space="0" w:color="000000"/>
              <w:right w:val="single" w:sz="4" w:space="0" w:color="000000"/>
            </w:tcBorders>
            <w:shd w:val="clear" w:color="auto" w:fill="auto"/>
          </w:tcPr>
          <w:p w14:paraId="0E3D0287" w14:textId="77777777" w:rsidR="002624A6" w:rsidRDefault="00000000">
            <w:pPr>
              <w:rPr>
                <w:rFonts w:ascii="Arial" w:eastAsia="Arial" w:hAnsi="Arial" w:cs="Arial"/>
                <w:color w:val="000000"/>
                <w:sz w:val="20"/>
                <w:szCs w:val="20"/>
              </w:rPr>
            </w:pPr>
            <w:r>
              <w:rPr>
                <w:rFonts w:ascii="Arial" w:eastAsia="Arial" w:hAnsi="Arial" w:cs="Arial"/>
                <w:i/>
                <w:color w:val="000000"/>
                <w:sz w:val="20"/>
                <w:szCs w:val="20"/>
              </w:rPr>
              <w:t>p</w:t>
            </w:r>
            <w:r>
              <w:rPr>
                <w:rFonts w:ascii="Arial" w:eastAsia="Arial" w:hAnsi="Arial" w:cs="Arial"/>
                <w:color w:val="000000"/>
                <w:sz w:val="20"/>
                <w:szCs w:val="20"/>
              </w:rPr>
              <w:t>-valueᶜ</w:t>
            </w:r>
          </w:p>
        </w:tc>
        <w:tc>
          <w:tcPr>
            <w:tcW w:w="1260" w:type="dxa"/>
            <w:tcBorders>
              <w:top w:val="nil"/>
              <w:left w:val="nil"/>
              <w:bottom w:val="single" w:sz="4" w:space="0" w:color="000000"/>
              <w:right w:val="single" w:sz="4" w:space="0" w:color="000000"/>
            </w:tcBorders>
            <w:shd w:val="clear" w:color="auto" w:fill="auto"/>
          </w:tcPr>
          <w:p w14:paraId="5596BB40" w14:textId="77777777" w:rsidR="002624A6" w:rsidRDefault="00000000">
            <w:pPr>
              <w:rPr>
                <w:rFonts w:ascii="Arial" w:eastAsia="Arial" w:hAnsi="Arial" w:cs="Arial"/>
                <w:i/>
                <w:color w:val="040000"/>
                <w:sz w:val="20"/>
                <w:szCs w:val="20"/>
              </w:rPr>
            </w:pPr>
            <w:r>
              <w:rPr>
                <w:rFonts w:ascii="Arial" w:eastAsia="Arial" w:hAnsi="Arial" w:cs="Arial"/>
                <w:i/>
                <w:color w:val="040000"/>
                <w:sz w:val="20"/>
                <w:szCs w:val="20"/>
              </w:rPr>
              <w:t>p </w:t>
            </w:r>
            <w:r>
              <w:rPr>
                <w:rFonts w:ascii="Arial" w:eastAsia="Arial" w:hAnsi="Arial" w:cs="Arial"/>
                <w:color w:val="040000"/>
                <w:sz w:val="20"/>
                <w:szCs w:val="20"/>
              </w:rPr>
              <w:t>&lt; 0.001</w:t>
            </w:r>
          </w:p>
        </w:tc>
        <w:tc>
          <w:tcPr>
            <w:tcW w:w="1980" w:type="dxa"/>
            <w:tcBorders>
              <w:top w:val="nil"/>
              <w:left w:val="nil"/>
              <w:bottom w:val="single" w:sz="4" w:space="0" w:color="000000"/>
              <w:right w:val="single" w:sz="4" w:space="0" w:color="000000"/>
            </w:tcBorders>
            <w:shd w:val="clear" w:color="auto" w:fill="auto"/>
          </w:tcPr>
          <w:p w14:paraId="129A67A9" w14:textId="77777777" w:rsidR="002624A6" w:rsidRDefault="00000000">
            <w:pPr>
              <w:rPr>
                <w:rFonts w:ascii="Arial" w:eastAsia="Arial" w:hAnsi="Arial" w:cs="Arial"/>
                <w:i/>
                <w:color w:val="040000"/>
                <w:sz w:val="20"/>
                <w:szCs w:val="20"/>
              </w:rPr>
            </w:pPr>
            <w:r>
              <w:rPr>
                <w:rFonts w:ascii="Arial" w:eastAsia="Arial" w:hAnsi="Arial" w:cs="Arial"/>
                <w:i/>
                <w:color w:val="040000"/>
                <w:sz w:val="20"/>
                <w:szCs w:val="20"/>
              </w:rPr>
              <w:t>p</w:t>
            </w:r>
            <w:r>
              <w:rPr>
                <w:rFonts w:ascii="Arial" w:eastAsia="Arial" w:hAnsi="Arial" w:cs="Arial"/>
                <w:color w:val="040000"/>
                <w:sz w:val="20"/>
                <w:szCs w:val="20"/>
              </w:rPr>
              <w:t> &lt; 0.001</w:t>
            </w:r>
          </w:p>
        </w:tc>
        <w:tc>
          <w:tcPr>
            <w:tcW w:w="1800" w:type="dxa"/>
            <w:tcBorders>
              <w:top w:val="nil"/>
              <w:left w:val="nil"/>
              <w:bottom w:val="single" w:sz="4" w:space="0" w:color="000000"/>
              <w:right w:val="single" w:sz="4" w:space="0" w:color="000000"/>
            </w:tcBorders>
            <w:shd w:val="clear" w:color="auto" w:fill="auto"/>
          </w:tcPr>
          <w:p w14:paraId="488776F7" w14:textId="77777777" w:rsidR="002624A6" w:rsidRDefault="00000000">
            <w:pPr>
              <w:rPr>
                <w:rFonts w:ascii="Arial" w:eastAsia="Arial" w:hAnsi="Arial" w:cs="Arial"/>
                <w:color w:val="000000"/>
                <w:sz w:val="20"/>
                <w:szCs w:val="20"/>
              </w:rPr>
            </w:pPr>
            <w:r>
              <w:rPr>
                <w:rFonts w:ascii="Arial" w:eastAsia="Arial" w:hAnsi="Arial" w:cs="Arial"/>
                <w:i/>
                <w:sz w:val="20"/>
                <w:szCs w:val="20"/>
              </w:rPr>
              <w:t>p</w:t>
            </w:r>
            <w:r>
              <w:rPr>
                <w:rFonts w:ascii="Arial" w:eastAsia="Arial" w:hAnsi="Arial" w:cs="Arial"/>
                <w:sz w:val="20"/>
                <w:szCs w:val="20"/>
              </w:rPr>
              <w:t xml:space="preserve"> &gt; </w:t>
            </w:r>
            <w:r>
              <w:rPr>
                <w:rFonts w:ascii="Arial" w:eastAsia="Arial" w:hAnsi="Arial" w:cs="Arial"/>
                <w:color w:val="000000"/>
                <w:sz w:val="20"/>
                <w:szCs w:val="20"/>
              </w:rPr>
              <w:t>0.0</w:t>
            </w:r>
            <w:r>
              <w:rPr>
                <w:rFonts w:ascii="Arial" w:eastAsia="Arial" w:hAnsi="Arial" w:cs="Arial"/>
                <w:sz w:val="20"/>
                <w:szCs w:val="20"/>
              </w:rPr>
              <w:t>5</w:t>
            </w:r>
          </w:p>
        </w:tc>
        <w:tc>
          <w:tcPr>
            <w:tcW w:w="2250" w:type="dxa"/>
            <w:tcBorders>
              <w:top w:val="nil"/>
              <w:left w:val="nil"/>
              <w:bottom w:val="single" w:sz="4" w:space="0" w:color="000000"/>
              <w:right w:val="single" w:sz="4" w:space="0" w:color="000000"/>
            </w:tcBorders>
            <w:shd w:val="clear" w:color="auto" w:fill="auto"/>
          </w:tcPr>
          <w:p w14:paraId="0FEBC0E5"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N/Aᵈ</w:t>
            </w:r>
          </w:p>
        </w:tc>
        <w:tc>
          <w:tcPr>
            <w:tcW w:w="1080" w:type="dxa"/>
            <w:tcBorders>
              <w:top w:val="nil"/>
              <w:left w:val="nil"/>
              <w:bottom w:val="single" w:sz="4" w:space="0" w:color="000000"/>
              <w:right w:val="single" w:sz="4" w:space="0" w:color="000000"/>
            </w:tcBorders>
            <w:shd w:val="clear" w:color="auto" w:fill="auto"/>
          </w:tcPr>
          <w:p w14:paraId="6253B887" w14:textId="77777777" w:rsidR="002624A6" w:rsidRDefault="00000000">
            <w:pPr>
              <w:rPr>
                <w:rFonts w:ascii="Arial" w:eastAsia="Arial" w:hAnsi="Arial" w:cs="Arial"/>
                <w:color w:val="000000"/>
                <w:sz w:val="20"/>
                <w:szCs w:val="20"/>
              </w:rPr>
            </w:pPr>
            <w:r>
              <w:rPr>
                <w:rFonts w:ascii="Arial" w:eastAsia="Arial" w:hAnsi="Arial" w:cs="Arial"/>
                <w:i/>
                <w:sz w:val="20"/>
                <w:szCs w:val="20"/>
              </w:rPr>
              <w:t>p</w:t>
            </w:r>
            <w:r>
              <w:rPr>
                <w:rFonts w:ascii="Arial" w:eastAsia="Arial" w:hAnsi="Arial" w:cs="Arial"/>
                <w:sz w:val="20"/>
                <w:szCs w:val="20"/>
              </w:rPr>
              <w:t xml:space="preserve"> &gt; 0.05</w:t>
            </w:r>
          </w:p>
        </w:tc>
        <w:tc>
          <w:tcPr>
            <w:tcW w:w="1080" w:type="dxa"/>
            <w:tcBorders>
              <w:top w:val="nil"/>
              <w:left w:val="nil"/>
              <w:bottom w:val="single" w:sz="4" w:space="0" w:color="000000"/>
              <w:right w:val="single" w:sz="4" w:space="0" w:color="000000"/>
            </w:tcBorders>
            <w:shd w:val="clear" w:color="auto" w:fill="auto"/>
          </w:tcPr>
          <w:p w14:paraId="40DAFABE" w14:textId="77777777" w:rsidR="002624A6" w:rsidRDefault="00000000">
            <w:pPr>
              <w:rPr>
                <w:rFonts w:ascii="Arial" w:eastAsia="Arial" w:hAnsi="Arial" w:cs="Arial"/>
                <w:color w:val="000000"/>
                <w:sz w:val="20"/>
                <w:szCs w:val="20"/>
              </w:rPr>
            </w:pPr>
            <w:r>
              <w:rPr>
                <w:rFonts w:ascii="Arial" w:eastAsia="Arial" w:hAnsi="Arial" w:cs="Arial"/>
                <w:i/>
                <w:sz w:val="20"/>
                <w:szCs w:val="20"/>
              </w:rPr>
              <w:t>p</w:t>
            </w:r>
            <w:r>
              <w:rPr>
                <w:rFonts w:ascii="Arial" w:eastAsia="Arial" w:hAnsi="Arial" w:cs="Arial"/>
                <w:sz w:val="20"/>
                <w:szCs w:val="20"/>
              </w:rPr>
              <w:t xml:space="preserve"> &gt; 0.05</w:t>
            </w:r>
          </w:p>
        </w:tc>
        <w:tc>
          <w:tcPr>
            <w:tcW w:w="1189" w:type="dxa"/>
            <w:tcBorders>
              <w:top w:val="nil"/>
              <w:left w:val="nil"/>
              <w:bottom w:val="single" w:sz="4" w:space="0" w:color="000000"/>
              <w:right w:val="single" w:sz="4" w:space="0" w:color="000000"/>
            </w:tcBorders>
            <w:shd w:val="clear" w:color="auto" w:fill="auto"/>
          </w:tcPr>
          <w:p w14:paraId="2BD233DA" w14:textId="77777777" w:rsidR="002624A6" w:rsidRDefault="00000000">
            <w:pPr>
              <w:rPr>
                <w:rFonts w:ascii="Arial" w:eastAsia="Arial" w:hAnsi="Arial" w:cs="Arial"/>
                <w:color w:val="000000"/>
                <w:sz w:val="20"/>
                <w:szCs w:val="20"/>
              </w:rPr>
            </w:pPr>
            <w:r>
              <w:rPr>
                <w:rFonts w:ascii="Arial" w:eastAsia="Arial" w:hAnsi="Arial" w:cs="Arial"/>
                <w:i/>
                <w:sz w:val="20"/>
                <w:szCs w:val="20"/>
              </w:rPr>
              <w:t>p</w:t>
            </w:r>
            <w:r>
              <w:rPr>
                <w:rFonts w:ascii="Arial" w:eastAsia="Arial" w:hAnsi="Arial" w:cs="Arial"/>
                <w:sz w:val="20"/>
                <w:szCs w:val="20"/>
              </w:rPr>
              <w:t xml:space="preserve"> &lt; 0.01</w:t>
            </w:r>
          </w:p>
        </w:tc>
      </w:tr>
    </w:tbl>
    <w:p w14:paraId="5BF06186" w14:textId="77777777" w:rsidR="002624A6" w:rsidRDefault="00000000">
      <w:pPr>
        <w:rPr>
          <w:rFonts w:ascii="Arial" w:eastAsia="Arial" w:hAnsi="Arial" w:cs="Arial"/>
          <w:i/>
          <w:sz w:val="16"/>
          <w:szCs w:val="16"/>
        </w:rPr>
      </w:pPr>
      <w:r>
        <w:rPr>
          <w:rFonts w:ascii="Arial" w:eastAsia="Arial" w:hAnsi="Arial" w:cs="Arial"/>
          <w:sz w:val="16"/>
          <w:szCs w:val="16"/>
        </w:rPr>
        <w:t xml:space="preserve">Abbreviations: BAI, brain age index; </w:t>
      </w:r>
      <w:r>
        <w:rPr>
          <w:rFonts w:ascii="Arial" w:eastAsia="Arial" w:hAnsi="Arial" w:cs="Arial"/>
          <w:i/>
          <w:sz w:val="16"/>
          <w:szCs w:val="16"/>
        </w:rPr>
        <w:t>SEM</w:t>
      </w:r>
      <w:r>
        <w:rPr>
          <w:rFonts w:ascii="Arial" w:eastAsia="Arial" w:hAnsi="Arial" w:cs="Arial"/>
          <w:sz w:val="16"/>
          <w:szCs w:val="16"/>
        </w:rPr>
        <w:t>, standard error of the mean; HC, healthy control; PSG, polysomnography; DEM, dementia; SYM, symptomatic; MCI, mild cognitive impairment.</w:t>
      </w:r>
    </w:p>
    <w:p w14:paraId="2FDA4479" w14:textId="77777777" w:rsidR="002624A6" w:rsidRDefault="00000000">
      <w:pPr>
        <w:rPr>
          <w:rFonts w:ascii="Arial" w:eastAsia="Arial" w:hAnsi="Arial" w:cs="Arial"/>
          <w:sz w:val="16"/>
          <w:szCs w:val="16"/>
        </w:rPr>
      </w:pPr>
      <w:r>
        <w:rPr>
          <w:rFonts w:ascii="Arial" w:eastAsia="Arial" w:hAnsi="Arial" w:cs="Arial"/>
          <w:sz w:val="16"/>
          <w:szCs w:val="16"/>
        </w:rPr>
        <w:t>ᵃData recorded using the Dreem device</w:t>
      </w:r>
    </w:p>
    <w:p w14:paraId="638193EC" w14:textId="77777777" w:rsidR="002624A6" w:rsidRDefault="00000000">
      <w:pPr>
        <w:rPr>
          <w:rFonts w:ascii="Arial" w:eastAsia="Arial" w:hAnsi="Arial" w:cs="Arial"/>
          <w:sz w:val="16"/>
          <w:szCs w:val="16"/>
        </w:rPr>
      </w:pPr>
      <w:r>
        <w:rPr>
          <w:rFonts w:ascii="Arial" w:eastAsia="Arial" w:hAnsi="Arial" w:cs="Arial"/>
          <w:sz w:val="16"/>
          <w:szCs w:val="16"/>
        </w:rPr>
        <w:t>ᵇData recorded in the Massachusetts General Hospital Sleep Lab using polysomnography</w:t>
      </w:r>
    </w:p>
    <w:p w14:paraId="7D14A6E3" w14:textId="77777777" w:rsidR="002624A6" w:rsidRDefault="00000000">
      <w:pPr>
        <w:rPr>
          <w:rFonts w:ascii="Arial" w:eastAsia="Arial" w:hAnsi="Arial" w:cs="Arial"/>
          <w:sz w:val="16"/>
          <w:szCs w:val="16"/>
        </w:rPr>
      </w:pPr>
      <w:r>
        <w:rPr>
          <w:rFonts w:ascii="Arial" w:eastAsia="Arial" w:hAnsi="Arial" w:cs="Arial"/>
          <w:sz w:val="16"/>
          <w:szCs w:val="16"/>
        </w:rPr>
        <w:t>ᶜ</w:t>
      </w:r>
      <w:r>
        <w:rPr>
          <w:rFonts w:ascii="Arial" w:eastAsia="Arial" w:hAnsi="Arial" w:cs="Arial"/>
          <w:i/>
          <w:sz w:val="16"/>
          <w:szCs w:val="16"/>
        </w:rPr>
        <w:t>P</w:t>
      </w:r>
      <w:r>
        <w:rPr>
          <w:rFonts w:ascii="Arial" w:eastAsia="Arial" w:hAnsi="Arial" w:cs="Arial"/>
          <w:sz w:val="16"/>
          <w:szCs w:val="16"/>
        </w:rPr>
        <w:t xml:space="preserve">-value for </w:t>
      </w:r>
      <w:r>
        <w:rPr>
          <w:rFonts w:ascii="Arial" w:eastAsia="Arial" w:hAnsi="Arial" w:cs="Arial"/>
          <w:i/>
          <w:sz w:val="16"/>
          <w:szCs w:val="16"/>
        </w:rPr>
        <w:t>t</w:t>
      </w:r>
      <w:r>
        <w:rPr>
          <w:rFonts w:ascii="Arial" w:eastAsia="Arial" w:hAnsi="Arial" w:cs="Arial"/>
          <w:sz w:val="16"/>
          <w:szCs w:val="16"/>
        </w:rPr>
        <w:t>-test against the reference group, No Dementia</w:t>
      </w:r>
    </w:p>
    <w:p w14:paraId="1C5350B9" w14:textId="77777777" w:rsidR="002624A6" w:rsidRDefault="00000000">
      <w:pPr>
        <w:rPr>
          <w:rFonts w:ascii="Arial" w:eastAsia="Arial" w:hAnsi="Arial" w:cs="Arial"/>
          <w:sz w:val="16"/>
          <w:szCs w:val="16"/>
        </w:rPr>
      </w:pPr>
      <w:r>
        <w:rPr>
          <w:rFonts w:ascii="Arial" w:eastAsia="Arial" w:hAnsi="Arial" w:cs="Arial"/>
          <w:sz w:val="16"/>
          <w:szCs w:val="16"/>
        </w:rPr>
        <w:t>ᵈValue cannot be calculated for the reference group, No Dementia</w:t>
      </w:r>
    </w:p>
    <w:p w14:paraId="434C7F3B" w14:textId="77777777" w:rsidR="002624A6" w:rsidRDefault="002624A6">
      <w:pPr>
        <w:spacing w:after="160" w:line="259" w:lineRule="auto"/>
      </w:pPr>
    </w:p>
    <w:p w14:paraId="68B9D2D9" w14:textId="77777777" w:rsidR="002624A6" w:rsidRDefault="002624A6">
      <w:pPr>
        <w:spacing w:after="160" w:line="259" w:lineRule="auto"/>
      </w:pPr>
    </w:p>
    <w:p w14:paraId="3BDAB58F" w14:textId="77777777" w:rsidR="002624A6" w:rsidRDefault="002624A6">
      <w:pPr>
        <w:spacing w:after="160" w:line="259" w:lineRule="auto"/>
      </w:pPr>
    </w:p>
    <w:p w14:paraId="507409E9" w14:textId="77777777" w:rsidR="002624A6" w:rsidRDefault="002624A6">
      <w:pPr>
        <w:spacing w:after="160" w:line="259" w:lineRule="auto"/>
      </w:pPr>
    </w:p>
    <w:p w14:paraId="0EAD1D1E" w14:textId="77777777" w:rsidR="002624A6" w:rsidRDefault="002624A6">
      <w:pPr>
        <w:spacing w:after="160" w:line="259" w:lineRule="auto"/>
      </w:pPr>
    </w:p>
    <w:p w14:paraId="2242C9D6" w14:textId="77777777" w:rsidR="002624A6" w:rsidRDefault="002624A6">
      <w:pPr>
        <w:spacing w:after="160" w:line="259" w:lineRule="auto"/>
      </w:pPr>
    </w:p>
    <w:p w14:paraId="7745EA95" w14:textId="77777777" w:rsidR="002624A6" w:rsidRDefault="002624A6">
      <w:pPr>
        <w:spacing w:after="160" w:line="259" w:lineRule="auto"/>
      </w:pPr>
    </w:p>
    <w:p w14:paraId="50456025" w14:textId="77777777" w:rsidR="002624A6" w:rsidRDefault="002624A6">
      <w:pPr>
        <w:spacing w:after="160" w:line="259" w:lineRule="auto"/>
      </w:pPr>
    </w:p>
    <w:p w14:paraId="10865BC3" w14:textId="77777777" w:rsidR="002624A6" w:rsidRDefault="002624A6">
      <w:pPr>
        <w:spacing w:after="160" w:line="259" w:lineRule="auto"/>
      </w:pPr>
    </w:p>
    <w:p w14:paraId="0D7B0609" w14:textId="77777777" w:rsidR="002624A6" w:rsidRDefault="00000000">
      <w:pPr>
        <w:rPr>
          <w:color w:val="000000"/>
        </w:rPr>
      </w:pPr>
      <w:r>
        <w:br w:type="page"/>
      </w:r>
    </w:p>
    <w:p w14:paraId="43A3319B" w14:textId="258E4B4A" w:rsidR="002624A6" w:rsidRDefault="00000000">
      <w:pPr>
        <w:pStyle w:val="Heading1"/>
        <w:rPr>
          <w:rFonts w:ascii="Arial" w:eastAsia="Arial" w:hAnsi="Arial" w:cs="Arial"/>
        </w:rPr>
      </w:pPr>
      <w:bookmarkStart w:id="4" w:name="_Toc194762194"/>
      <w:r>
        <w:rPr>
          <w:rFonts w:ascii="Arial" w:eastAsia="Arial" w:hAnsi="Arial" w:cs="Arial"/>
        </w:rPr>
        <w:lastRenderedPageBreak/>
        <w:t xml:space="preserve">Table S2. Time comparison of NIH toolbox scores for </w:t>
      </w:r>
      <w:r w:rsidR="00F120E7">
        <w:rPr>
          <w:rFonts w:ascii="Arial" w:eastAsia="Arial" w:hAnsi="Arial" w:cs="Arial"/>
        </w:rPr>
        <w:t xml:space="preserve">the </w:t>
      </w:r>
      <w:r>
        <w:rPr>
          <w:rFonts w:ascii="Arial" w:eastAsia="Arial" w:hAnsi="Arial" w:cs="Arial"/>
        </w:rPr>
        <w:t>meditation cohort</w:t>
      </w:r>
      <w:bookmarkEnd w:id="4"/>
    </w:p>
    <w:tbl>
      <w:tblPr>
        <w:tblStyle w:val="a0"/>
        <w:tblW w:w="13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5"/>
        <w:gridCol w:w="2790"/>
        <w:gridCol w:w="2790"/>
        <w:gridCol w:w="2700"/>
        <w:gridCol w:w="2880"/>
      </w:tblGrid>
      <w:tr w:rsidR="002624A6" w14:paraId="0C7CBFE3" w14:textId="77777777">
        <w:tc>
          <w:tcPr>
            <w:tcW w:w="2245" w:type="dxa"/>
          </w:tcPr>
          <w:p w14:paraId="66B2D2D6" w14:textId="77777777" w:rsidR="002624A6" w:rsidRDefault="00000000">
            <w:pPr>
              <w:rPr>
                <w:rFonts w:ascii="Arial" w:eastAsia="Arial" w:hAnsi="Arial" w:cs="Arial"/>
                <w:color w:val="000000"/>
                <w:sz w:val="20"/>
                <w:szCs w:val="20"/>
              </w:rPr>
            </w:pPr>
            <w:r>
              <w:rPr>
                <w:rFonts w:ascii="Arial" w:eastAsia="Arial" w:hAnsi="Arial" w:cs="Arial"/>
                <w:b/>
                <w:color w:val="000000"/>
                <w:sz w:val="20"/>
                <w:szCs w:val="20"/>
              </w:rPr>
              <w:t>Assessment</w:t>
            </w:r>
            <w:r>
              <w:rPr>
                <w:rFonts w:ascii="Arial" w:eastAsia="Arial" w:hAnsi="Arial" w:cs="Arial"/>
                <w:color w:val="000000"/>
                <w:sz w:val="20"/>
                <w:szCs w:val="20"/>
              </w:rPr>
              <w:t>ᵃ</w:t>
            </w:r>
          </w:p>
        </w:tc>
        <w:tc>
          <w:tcPr>
            <w:tcW w:w="2790" w:type="dxa"/>
          </w:tcPr>
          <w:p w14:paraId="754F392D"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Pre-retreat raw score, mean (</w:t>
            </w:r>
            <w:r>
              <w:rPr>
                <w:rFonts w:ascii="Arial" w:eastAsia="Arial" w:hAnsi="Arial" w:cs="Arial"/>
                <w:i/>
                <w:color w:val="000000"/>
                <w:sz w:val="20"/>
                <w:szCs w:val="20"/>
              </w:rPr>
              <w:t>SD</w:t>
            </w:r>
            <w:r>
              <w:rPr>
                <w:rFonts w:ascii="Arial" w:eastAsia="Arial" w:hAnsi="Arial" w:cs="Arial"/>
                <w:color w:val="000000"/>
                <w:sz w:val="20"/>
                <w:szCs w:val="20"/>
              </w:rPr>
              <w:t>), median (</w:t>
            </w:r>
            <w:r>
              <w:rPr>
                <w:rFonts w:ascii="Arial" w:eastAsia="Arial" w:hAnsi="Arial" w:cs="Arial"/>
                <w:i/>
                <w:color w:val="000000"/>
                <w:sz w:val="20"/>
                <w:szCs w:val="20"/>
              </w:rPr>
              <w:t>IQR</w:t>
            </w:r>
            <w:r>
              <w:rPr>
                <w:rFonts w:ascii="Arial" w:eastAsia="Arial" w:hAnsi="Arial" w:cs="Arial"/>
                <w:color w:val="000000"/>
                <w:sz w:val="20"/>
                <w:szCs w:val="20"/>
              </w:rPr>
              <w:t>)ᵇ</w:t>
            </w:r>
          </w:p>
          <w:p w14:paraId="7B516097"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i/>
                <w:color w:val="000000"/>
                <w:sz w:val="20"/>
                <w:szCs w:val="20"/>
              </w:rPr>
              <w:t>n</w:t>
            </w:r>
            <w:r>
              <w:rPr>
                <w:rFonts w:ascii="Arial" w:eastAsia="Arial" w:hAnsi="Arial" w:cs="Arial"/>
                <w:color w:val="000000"/>
                <w:sz w:val="20"/>
                <w:szCs w:val="20"/>
              </w:rPr>
              <w:t xml:space="preserve"> = 35)</w:t>
            </w:r>
          </w:p>
        </w:tc>
        <w:tc>
          <w:tcPr>
            <w:tcW w:w="2790" w:type="dxa"/>
          </w:tcPr>
          <w:p w14:paraId="7BF37AC3"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Post-retreat raw score, mean (</w:t>
            </w:r>
            <w:r>
              <w:rPr>
                <w:rFonts w:ascii="Arial" w:eastAsia="Arial" w:hAnsi="Arial" w:cs="Arial"/>
                <w:i/>
                <w:color w:val="000000"/>
                <w:sz w:val="20"/>
                <w:szCs w:val="20"/>
              </w:rPr>
              <w:t>SD</w:t>
            </w:r>
            <w:r>
              <w:rPr>
                <w:rFonts w:ascii="Arial" w:eastAsia="Arial" w:hAnsi="Arial" w:cs="Arial"/>
                <w:color w:val="000000"/>
                <w:sz w:val="20"/>
                <w:szCs w:val="20"/>
              </w:rPr>
              <w:t>), median (</w:t>
            </w:r>
            <w:r>
              <w:rPr>
                <w:rFonts w:ascii="Arial" w:eastAsia="Arial" w:hAnsi="Arial" w:cs="Arial"/>
                <w:i/>
                <w:color w:val="000000"/>
                <w:sz w:val="20"/>
                <w:szCs w:val="20"/>
              </w:rPr>
              <w:t>IQR</w:t>
            </w:r>
            <w:r>
              <w:rPr>
                <w:rFonts w:ascii="Arial" w:eastAsia="Arial" w:hAnsi="Arial" w:cs="Arial"/>
                <w:color w:val="000000"/>
                <w:sz w:val="20"/>
                <w:szCs w:val="20"/>
              </w:rPr>
              <w:t>)ᶜ</w:t>
            </w:r>
          </w:p>
          <w:p w14:paraId="46B9790F"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i/>
                <w:color w:val="000000"/>
                <w:sz w:val="20"/>
                <w:szCs w:val="20"/>
              </w:rPr>
              <w:t>n</w:t>
            </w:r>
            <w:r>
              <w:rPr>
                <w:rFonts w:ascii="Arial" w:eastAsia="Arial" w:hAnsi="Arial" w:cs="Arial"/>
                <w:color w:val="000000"/>
                <w:sz w:val="20"/>
                <w:szCs w:val="20"/>
              </w:rPr>
              <w:t xml:space="preserve"> = 34)</w:t>
            </w:r>
          </w:p>
        </w:tc>
        <w:tc>
          <w:tcPr>
            <w:tcW w:w="2700" w:type="dxa"/>
          </w:tcPr>
          <w:p w14:paraId="546615C8"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Pre-retreat adjusted score, mean (</w:t>
            </w:r>
            <w:r>
              <w:rPr>
                <w:rFonts w:ascii="Arial" w:eastAsia="Arial" w:hAnsi="Arial" w:cs="Arial"/>
                <w:i/>
                <w:color w:val="000000"/>
                <w:sz w:val="20"/>
                <w:szCs w:val="20"/>
              </w:rPr>
              <w:t>SD</w:t>
            </w:r>
            <w:r>
              <w:rPr>
                <w:rFonts w:ascii="Arial" w:eastAsia="Arial" w:hAnsi="Arial" w:cs="Arial"/>
                <w:color w:val="000000"/>
                <w:sz w:val="20"/>
                <w:szCs w:val="20"/>
              </w:rPr>
              <w:t>), median (</w:t>
            </w:r>
            <w:r>
              <w:rPr>
                <w:rFonts w:ascii="Arial" w:eastAsia="Arial" w:hAnsi="Arial" w:cs="Arial"/>
                <w:i/>
                <w:color w:val="000000"/>
                <w:sz w:val="20"/>
                <w:szCs w:val="20"/>
              </w:rPr>
              <w:t>IQR</w:t>
            </w:r>
            <w:r>
              <w:rPr>
                <w:rFonts w:ascii="Arial" w:eastAsia="Arial" w:hAnsi="Arial" w:cs="Arial"/>
                <w:color w:val="000000"/>
                <w:sz w:val="20"/>
                <w:szCs w:val="20"/>
              </w:rPr>
              <w:t>)ᵇ</w:t>
            </w:r>
          </w:p>
          <w:p w14:paraId="6B5E719F"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i/>
                <w:color w:val="000000"/>
                <w:sz w:val="20"/>
                <w:szCs w:val="20"/>
              </w:rPr>
              <w:t>n</w:t>
            </w:r>
            <w:r>
              <w:rPr>
                <w:rFonts w:ascii="Arial" w:eastAsia="Arial" w:hAnsi="Arial" w:cs="Arial"/>
                <w:color w:val="000000"/>
                <w:sz w:val="20"/>
                <w:szCs w:val="20"/>
              </w:rPr>
              <w:t xml:space="preserve"> = 35)</w:t>
            </w:r>
          </w:p>
        </w:tc>
        <w:tc>
          <w:tcPr>
            <w:tcW w:w="2880" w:type="dxa"/>
          </w:tcPr>
          <w:p w14:paraId="2139C40B"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Post-retreat adjusted score, mean (</w:t>
            </w:r>
            <w:r>
              <w:rPr>
                <w:rFonts w:ascii="Arial" w:eastAsia="Arial" w:hAnsi="Arial" w:cs="Arial"/>
                <w:i/>
                <w:color w:val="000000"/>
                <w:sz w:val="20"/>
                <w:szCs w:val="20"/>
              </w:rPr>
              <w:t>SD</w:t>
            </w:r>
            <w:r>
              <w:rPr>
                <w:rFonts w:ascii="Arial" w:eastAsia="Arial" w:hAnsi="Arial" w:cs="Arial"/>
                <w:color w:val="000000"/>
                <w:sz w:val="20"/>
                <w:szCs w:val="20"/>
              </w:rPr>
              <w:t>), median (</w:t>
            </w:r>
            <w:r>
              <w:rPr>
                <w:rFonts w:ascii="Arial" w:eastAsia="Arial" w:hAnsi="Arial" w:cs="Arial"/>
                <w:i/>
                <w:color w:val="000000"/>
                <w:sz w:val="20"/>
                <w:szCs w:val="20"/>
              </w:rPr>
              <w:t>IQR</w:t>
            </w:r>
            <w:r>
              <w:rPr>
                <w:rFonts w:ascii="Arial" w:eastAsia="Arial" w:hAnsi="Arial" w:cs="Arial"/>
                <w:color w:val="000000"/>
                <w:sz w:val="20"/>
                <w:szCs w:val="20"/>
              </w:rPr>
              <w:t>)ᶜ</w:t>
            </w:r>
          </w:p>
          <w:p w14:paraId="4022A766"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i/>
                <w:color w:val="000000"/>
                <w:sz w:val="20"/>
                <w:szCs w:val="20"/>
              </w:rPr>
              <w:t>n</w:t>
            </w:r>
            <w:r>
              <w:rPr>
                <w:rFonts w:ascii="Arial" w:eastAsia="Arial" w:hAnsi="Arial" w:cs="Arial"/>
                <w:color w:val="000000"/>
                <w:sz w:val="20"/>
                <w:szCs w:val="20"/>
              </w:rPr>
              <w:t xml:space="preserve"> = 34)</w:t>
            </w:r>
          </w:p>
        </w:tc>
      </w:tr>
      <w:tr w:rsidR="002624A6" w14:paraId="513FED1F" w14:textId="77777777">
        <w:tc>
          <w:tcPr>
            <w:tcW w:w="13405" w:type="dxa"/>
            <w:gridSpan w:val="5"/>
            <w:vAlign w:val="bottom"/>
          </w:tcPr>
          <w:p w14:paraId="28DA140D" w14:textId="77777777" w:rsidR="002624A6" w:rsidRDefault="00000000">
            <w:pPr>
              <w:rPr>
                <w:rFonts w:ascii="Arial" w:eastAsia="Arial" w:hAnsi="Arial" w:cs="Arial"/>
                <w:b/>
                <w:color w:val="000000"/>
                <w:sz w:val="20"/>
                <w:szCs w:val="20"/>
              </w:rPr>
            </w:pPr>
            <w:r>
              <w:rPr>
                <w:rFonts w:ascii="Arial" w:eastAsia="Arial" w:hAnsi="Arial" w:cs="Arial"/>
                <w:b/>
                <w:color w:val="000000"/>
                <w:sz w:val="20"/>
                <w:szCs w:val="20"/>
              </w:rPr>
              <w:t>Cognitive scores</w:t>
            </w:r>
          </w:p>
        </w:tc>
      </w:tr>
      <w:tr w:rsidR="002624A6" w14:paraId="1A029D41" w14:textId="77777777">
        <w:tc>
          <w:tcPr>
            <w:tcW w:w="2245" w:type="dxa"/>
            <w:vAlign w:val="bottom"/>
          </w:tcPr>
          <w:p w14:paraId="1C789328"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 xml:space="preserve">  Crystallized Comp.</w:t>
            </w:r>
            <w:r>
              <w:rPr>
                <w:rFonts w:ascii="Arial" w:eastAsia="Arial" w:hAnsi="Arial" w:cs="Arial"/>
                <w:sz w:val="20"/>
                <w:szCs w:val="20"/>
              </w:rPr>
              <w:t>ᵈ</w:t>
            </w:r>
          </w:p>
        </w:tc>
        <w:tc>
          <w:tcPr>
            <w:tcW w:w="2790" w:type="dxa"/>
            <w:vAlign w:val="bottom"/>
          </w:tcPr>
          <w:p w14:paraId="58B237A7"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111.353 (7.19), 111 (11.5)</w:t>
            </w:r>
          </w:p>
        </w:tc>
        <w:tc>
          <w:tcPr>
            <w:tcW w:w="2790" w:type="dxa"/>
            <w:vAlign w:val="bottom"/>
          </w:tcPr>
          <w:p w14:paraId="480DDE81"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110.235 (6.601), 111 (7.75)</w:t>
            </w:r>
          </w:p>
        </w:tc>
        <w:tc>
          <w:tcPr>
            <w:tcW w:w="2700" w:type="dxa"/>
            <w:vAlign w:val="bottom"/>
          </w:tcPr>
          <w:p w14:paraId="571DD6B9"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56.029 (8.233), 56.5 (10.5)</w:t>
            </w:r>
          </w:p>
        </w:tc>
        <w:tc>
          <w:tcPr>
            <w:tcW w:w="2880" w:type="dxa"/>
            <w:vAlign w:val="bottom"/>
          </w:tcPr>
          <w:p w14:paraId="2EC36B92"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53.765 (8.995), 54 (11.75)</w:t>
            </w:r>
          </w:p>
        </w:tc>
      </w:tr>
      <w:tr w:rsidR="002624A6" w14:paraId="3A3E4693" w14:textId="77777777">
        <w:tc>
          <w:tcPr>
            <w:tcW w:w="2245" w:type="dxa"/>
            <w:vAlign w:val="bottom"/>
          </w:tcPr>
          <w:p w14:paraId="71577896"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 xml:space="preserve">  LSWMT</w:t>
            </w:r>
          </w:p>
        </w:tc>
        <w:tc>
          <w:tcPr>
            <w:tcW w:w="2790" w:type="dxa"/>
            <w:vAlign w:val="bottom"/>
          </w:tcPr>
          <w:p w14:paraId="43BA189D"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19.647 (2.751), 19 (3.75)</w:t>
            </w:r>
          </w:p>
        </w:tc>
        <w:tc>
          <w:tcPr>
            <w:tcW w:w="2790" w:type="dxa"/>
            <w:vAlign w:val="bottom"/>
          </w:tcPr>
          <w:p w14:paraId="554F1E45"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20.5 (3.387), 21 (5)</w:t>
            </w:r>
          </w:p>
        </w:tc>
        <w:tc>
          <w:tcPr>
            <w:tcW w:w="2700" w:type="dxa"/>
            <w:vAlign w:val="bottom"/>
          </w:tcPr>
          <w:p w14:paraId="574911BC"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53.941 (9.079), 52 (13)</w:t>
            </w:r>
          </w:p>
        </w:tc>
        <w:tc>
          <w:tcPr>
            <w:tcW w:w="2880" w:type="dxa"/>
            <w:vAlign w:val="bottom"/>
          </w:tcPr>
          <w:p w14:paraId="293A3CE1"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57.088 (12.124), 59.5 (18.75)</w:t>
            </w:r>
          </w:p>
        </w:tc>
      </w:tr>
      <w:tr w:rsidR="002624A6" w14:paraId="3A64F8B7" w14:textId="77777777">
        <w:tc>
          <w:tcPr>
            <w:tcW w:w="2245" w:type="dxa"/>
            <w:vAlign w:val="bottom"/>
          </w:tcPr>
          <w:p w14:paraId="02265025"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 xml:space="preserve">  ORRT</w:t>
            </w:r>
          </w:p>
        </w:tc>
        <w:tc>
          <w:tcPr>
            <w:tcW w:w="2790" w:type="dxa"/>
            <w:vAlign w:val="bottom"/>
          </w:tcPr>
          <w:p w14:paraId="12DD4DA5"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118.824 (7.586), 120 (5)</w:t>
            </w:r>
          </w:p>
        </w:tc>
        <w:tc>
          <w:tcPr>
            <w:tcW w:w="2790" w:type="dxa"/>
            <w:vAlign w:val="bottom"/>
          </w:tcPr>
          <w:p w14:paraId="4EF8813E"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115.029 (6.948), 116 (10)</w:t>
            </w:r>
          </w:p>
        </w:tc>
        <w:tc>
          <w:tcPr>
            <w:tcW w:w="2700" w:type="dxa"/>
            <w:vAlign w:val="bottom"/>
          </w:tcPr>
          <w:p w14:paraId="2E831140"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67.029 (9.292), 69.5 (11)</w:t>
            </w:r>
          </w:p>
        </w:tc>
        <w:tc>
          <w:tcPr>
            <w:tcW w:w="2880" w:type="dxa"/>
            <w:vAlign w:val="bottom"/>
          </w:tcPr>
          <w:p w14:paraId="75398309"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61.412 (11.709), 60 (16.25)</w:t>
            </w:r>
          </w:p>
        </w:tc>
      </w:tr>
      <w:tr w:rsidR="002624A6" w14:paraId="693EA7F5" w14:textId="77777777">
        <w:tc>
          <w:tcPr>
            <w:tcW w:w="2245" w:type="dxa"/>
            <w:vAlign w:val="bottom"/>
          </w:tcPr>
          <w:p w14:paraId="4EA6557A"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 xml:space="preserve">  PSMT</w:t>
            </w:r>
          </w:p>
        </w:tc>
        <w:tc>
          <w:tcPr>
            <w:tcW w:w="2790" w:type="dxa"/>
            <w:vAlign w:val="bottom"/>
          </w:tcPr>
          <w:p w14:paraId="5E2A10B8"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18.412 (7.656), 19 (10)</w:t>
            </w:r>
          </w:p>
        </w:tc>
        <w:tc>
          <w:tcPr>
            <w:tcW w:w="2790" w:type="dxa"/>
            <w:vAlign w:val="bottom"/>
          </w:tcPr>
          <w:p w14:paraId="0ED05629"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22.206 (7.623), 22.5 (13.25)</w:t>
            </w:r>
          </w:p>
        </w:tc>
        <w:tc>
          <w:tcPr>
            <w:tcW w:w="2700" w:type="dxa"/>
            <w:vAlign w:val="bottom"/>
          </w:tcPr>
          <w:p w14:paraId="69862B46"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57.912 (10.978), 56 (12.5)</w:t>
            </w:r>
          </w:p>
        </w:tc>
        <w:tc>
          <w:tcPr>
            <w:tcW w:w="2880" w:type="dxa"/>
            <w:vAlign w:val="bottom"/>
          </w:tcPr>
          <w:p w14:paraId="5B37081A"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62.412 (12.572), 59 (21)</w:t>
            </w:r>
          </w:p>
        </w:tc>
      </w:tr>
      <w:tr w:rsidR="002624A6" w14:paraId="43846FC4" w14:textId="77777777">
        <w:tc>
          <w:tcPr>
            <w:tcW w:w="2245" w:type="dxa"/>
            <w:vAlign w:val="bottom"/>
          </w:tcPr>
          <w:p w14:paraId="23BE4C08"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 xml:space="preserve">  PVT</w:t>
            </w:r>
          </w:p>
        </w:tc>
        <w:tc>
          <w:tcPr>
            <w:tcW w:w="2790" w:type="dxa"/>
            <w:vAlign w:val="bottom"/>
          </w:tcPr>
          <w:p w14:paraId="56778335"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103.294 (8.48), 102.5 (11.5)</w:t>
            </w:r>
          </w:p>
        </w:tc>
        <w:tc>
          <w:tcPr>
            <w:tcW w:w="2790" w:type="dxa"/>
            <w:vAlign w:val="bottom"/>
          </w:tcPr>
          <w:p w14:paraId="41F159DA"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104.794 (8.559), 104 (12.5)</w:t>
            </w:r>
          </w:p>
        </w:tc>
        <w:tc>
          <w:tcPr>
            <w:tcW w:w="2700" w:type="dxa"/>
            <w:vAlign w:val="bottom"/>
          </w:tcPr>
          <w:p w14:paraId="6310D29D"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43.971 (9.369), 41 (13.75)</w:t>
            </w:r>
          </w:p>
        </w:tc>
        <w:tc>
          <w:tcPr>
            <w:tcW w:w="2880" w:type="dxa"/>
            <w:vAlign w:val="bottom"/>
          </w:tcPr>
          <w:p w14:paraId="176CC9BF"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45.412 (8.978), 43 (14.5)</w:t>
            </w:r>
          </w:p>
        </w:tc>
      </w:tr>
      <w:tr w:rsidR="002624A6" w14:paraId="563CA584" w14:textId="77777777">
        <w:tc>
          <w:tcPr>
            <w:tcW w:w="13405" w:type="dxa"/>
            <w:gridSpan w:val="5"/>
            <w:vAlign w:val="bottom"/>
          </w:tcPr>
          <w:p w14:paraId="4AC081B4" w14:textId="77777777" w:rsidR="002624A6" w:rsidRDefault="00000000">
            <w:pPr>
              <w:rPr>
                <w:rFonts w:ascii="Arial" w:eastAsia="Arial" w:hAnsi="Arial" w:cs="Arial"/>
                <w:b/>
                <w:color w:val="000000"/>
                <w:sz w:val="20"/>
                <w:szCs w:val="20"/>
              </w:rPr>
            </w:pPr>
            <w:r>
              <w:rPr>
                <w:rFonts w:ascii="Arial" w:eastAsia="Arial" w:hAnsi="Arial" w:cs="Arial"/>
                <w:b/>
                <w:color w:val="000000"/>
                <w:sz w:val="20"/>
                <w:szCs w:val="20"/>
              </w:rPr>
              <w:t>Emotional scores</w:t>
            </w:r>
          </w:p>
        </w:tc>
      </w:tr>
      <w:tr w:rsidR="002624A6" w14:paraId="3F987867" w14:textId="77777777">
        <w:tc>
          <w:tcPr>
            <w:tcW w:w="2245" w:type="dxa"/>
            <w:vAlign w:val="bottom"/>
          </w:tcPr>
          <w:p w14:paraId="6FA68B99"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 xml:space="preserve">  Emotional Support</w:t>
            </w:r>
          </w:p>
        </w:tc>
        <w:tc>
          <w:tcPr>
            <w:tcW w:w="2790" w:type="dxa"/>
            <w:vAlign w:val="bottom"/>
          </w:tcPr>
          <w:p w14:paraId="634653D5"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30.588 (7.75), 32 (11.25)</w:t>
            </w:r>
          </w:p>
        </w:tc>
        <w:tc>
          <w:tcPr>
            <w:tcW w:w="2790" w:type="dxa"/>
            <w:vAlign w:val="bottom"/>
          </w:tcPr>
          <w:p w14:paraId="1C0AF7E9"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32.765 (6.569), 34 (9.75)</w:t>
            </w:r>
          </w:p>
        </w:tc>
        <w:tc>
          <w:tcPr>
            <w:tcW w:w="2700" w:type="dxa"/>
            <w:vAlign w:val="bottom"/>
          </w:tcPr>
          <w:p w14:paraId="6BD55DD7"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43.676 (10.453), 44 (15.25)</w:t>
            </w:r>
          </w:p>
        </w:tc>
        <w:tc>
          <w:tcPr>
            <w:tcW w:w="2880" w:type="dxa"/>
            <w:vAlign w:val="bottom"/>
          </w:tcPr>
          <w:p w14:paraId="737DE3C9"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46.735 (10.652), 46 (15.5)</w:t>
            </w:r>
          </w:p>
        </w:tc>
      </w:tr>
      <w:tr w:rsidR="002624A6" w14:paraId="4188893F" w14:textId="77777777">
        <w:tc>
          <w:tcPr>
            <w:tcW w:w="2245" w:type="dxa"/>
            <w:vAlign w:val="bottom"/>
          </w:tcPr>
          <w:p w14:paraId="574FCDED"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 xml:space="preserve">  Friendship</w:t>
            </w:r>
          </w:p>
        </w:tc>
        <w:tc>
          <w:tcPr>
            <w:tcW w:w="2790" w:type="dxa"/>
            <w:vAlign w:val="bottom"/>
          </w:tcPr>
          <w:p w14:paraId="2B9BD404"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27.824 (6.658), 28 (7.75)</w:t>
            </w:r>
          </w:p>
        </w:tc>
        <w:tc>
          <w:tcPr>
            <w:tcW w:w="2790" w:type="dxa"/>
            <w:vAlign w:val="bottom"/>
          </w:tcPr>
          <w:p w14:paraId="14216BE8"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29.647 (6.218), 29 (5.75)</w:t>
            </w:r>
          </w:p>
        </w:tc>
        <w:tc>
          <w:tcPr>
            <w:tcW w:w="2700" w:type="dxa"/>
            <w:vAlign w:val="bottom"/>
          </w:tcPr>
          <w:p w14:paraId="61355D93"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44.912 (8.607), 44.5 (11)</w:t>
            </w:r>
          </w:p>
        </w:tc>
        <w:tc>
          <w:tcPr>
            <w:tcW w:w="2880" w:type="dxa"/>
            <w:vAlign w:val="bottom"/>
          </w:tcPr>
          <w:p w14:paraId="5753B661"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47.794 (9.66), 46 (7.5)</w:t>
            </w:r>
          </w:p>
        </w:tc>
      </w:tr>
      <w:tr w:rsidR="002624A6" w14:paraId="6241B41C" w14:textId="77777777">
        <w:tc>
          <w:tcPr>
            <w:tcW w:w="2245" w:type="dxa"/>
            <w:vAlign w:val="bottom"/>
          </w:tcPr>
          <w:p w14:paraId="2E05FFD8"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 xml:space="preserve">  Life Satisfaction</w:t>
            </w:r>
          </w:p>
        </w:tc>
        <w:tc>
          <w:tcPr>
            <w:tcW w:w="2790" w:type="dxa"/>
            <w:vAlign w:val="bottom"/>
          </w:tcPr>
          <w:p w14:paraId="3734BFA9"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26.588 (13.198), 23 (8.5)</w:t>
            </w:r>
          </w:p>
        </w:tc>
        <w:tc>
          <w:tcPr>
            <w:tcW w:w="2790" w:type="dxa"/>
            <w:vAlign w:val="bottom"/>
          </w:tcPr>
          <w:p w14:paraId="7DA98717"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29.353 (13.547), 23 (7.5)</w:t>
            </w:r>
          </w:p>
        </w:tc>
        <w:tc>
          <w:tcPr>
            <w:tcW w:w="2700" w:type="dxa"/>
            <w:vAlign w:val="bottom"/>
          </w:tcPr>
          <w:p w14:paraId="6BB06F3E"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55.676 (10.342), 55 (9.75)</w:t>
            </w:r>
          </w:p>
        </w:tc>
        <w:tc>
          <w:tcPr>
            <w:tcW w:w="2880" w:type="dxa"/>
            <w:vAlign w:val="bottom"/>
          </w:tcPr>
          <w:p w14:paraId="6AA8A152"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58.853 (8.55), 57 (7.5)</w:t>
            </w:r>
          </w:p>
        </w:tc>
      </w:tr>
      <w:tr w:rsidR="002624A6" w14:paraId="5776B047" w14:textId="77777777">
        <w:tc>
          <w:tcPr>
            <w:tcW w:w="2245" w:type="dxa"/>
            <w:vAlign w:val="bottom"/>
          </w:tcPr>
          <w:p w14:paraId="0DA7708A"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 xml:space="preserve">  Instrumental Support</w:t>
            </w:r>
          </w:p>
        </w:tc>
        <w:tc>
          <w:tcPr>
            <w:tcW w:w="2790" w:type="dxa"/>
            <w:vAlign w:val="bottom"/>
          </w:tcPr>
          <w:p w14:paraId="6B9513DB"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31.765 (7.05), 32.5 (9.5)</w:t>
            </w:r>
          </w:p>
        </w:tc>
        <w:tc>
          <w:tcPr>
            <w:tcW w:w="2790" w:type="dxa"/>
            <w:vAlign w:val="bottom"/>
          </w:tcPr>
          <w:p w14:paraId="51279B77"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33.294 (5.452), 33.5 (5.5)</w:t>
            </w:r>
          </w:p>
        </w:tc>
        <w:tc>
          <w:tcPr>
            <w:tcW w:w="2700" w:type="dxa"/>
            <w:vAlign w:val="bottom"/>
          </w:tcPr>
          <w:p w14:paraId="7783F513"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48.735 (9.212), 48 (10.75)</w:t>
            </w:r>
          </w:p>
        </w:tc>
        <w:tc>
          <w:tcPr>
            <w:tcW w:w="2880" w:type="dxa"/>
            <w:vAlign w:val="bottom"/>
          </w:tcPr>
          <w:p w14:paraId="1C5DD9BC"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50.147 (7.993), 48.5 (8.5)</w:t>
            </w:r>
          </w:p>
        </w:tc>
      </w:tr>
      <w:tr w:rsidR="002624A6" w14:paraId="0698D685" w14:textId="77777777">
        <w:tc>
          <w:tcPr>
            <w:tcW w:w="2245" w:type="dxa"/>
            <w:vAlign w:val="bottom"/>
          </w:tcPr>
          <w:p w14:paraId="7F55695C"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 xml:space="preserve">  Loneliness</w:t>
            </w:r>
          </w:p>
        </w:tc>
        <w:tc>
          <w:tcPr>
            <w:tcW w:w="2790" w:type="dxa"/>
            <w:vAlign w:val="bottom"/>
          </w:tcPr>
          <w:p w14:paraId="0AB7D8E6"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9.147 (3.807), 8.5 (6.5)</w:t>
            </w:r>
          </w:p>
        </w:tc>
        <w:tc>
          <w:tcPr>
            <w:tcW w:w="2790" w:type="dxa"/>
            <w:vAlign w:val="bottom"/>
          </w:tcPr>
          <w:p w14:paraId="4A08A760"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8.088 (2.734), 7.5 (5)</w:t>
            </w:r>
          </w:p>
        </w:tc>
        <w:tc>
          <w:tcPr>
            <w:tcW w:w="2700" w:type="dxa"/>
            <w:vAlign w:val="bottom"/>
          </w:tcPr>
          <w:p w14:paraId="4909F414"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50.324 (10.289), 50 (18.75)</w:t>
            </w:r>
          </w:p>
        </w:tc>
        <w:tc>
          <w:tcPr>
            <w:tcW w:w="2880" w:type="dxa"/>
            <w:vAlign w:val="bottom"/>
          </w:tcPr>
          <w:p w14:paraId="1DE573D1"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48.088 (8.554), 48.5 (17)</w:t>
            </w:r>
          </w:p>
        </w:tc>
      </w:tr>
      <w:tr w:rsidR="002624A6" w14:paraId="128D6D0D" w14:textId="77777777">
        <w:tc>
          <w:tcPr>
            <w:tcW w:w="2245" w:type="dxa"/>
            <w:vAlign w:val="bottom"/>
          </w:tcPr>
          <w:p w14:paraId="306A6BA2"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 xml:space="preserve">  Perceived Stress</w:t>
            </w:r>
          </w:p>
        </w:tc>
        <w:tc>
          <w:tcPr>
            <w:tcW w:w="2790" w:type="dxa"/>
            <w:vAlign w:val="bottom"/>
          </w:tcPr>
          <w:p w14:paraId="7DAFEBFB"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21.794 (6.285), 23 (9.5)</w:t>
            </w:r>
          </w:p>
        </w:tc>
        <w:tc>
          <w:tcPr>
            <w:tcW w:w="2790" w:type="dxa"/>
            <w:vAlign w:val="bottom"/>
          </w:tcPr>
          <w:p w14:paraId="60FCFCFC"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19.382 (5.416), 20.5 (8.25)</w:t>
            </w:r>
          </w:p>
        </w:tc>
        <w:tc>
          <w:tcPr>
            <w:tcW w:w="2700" w:type="dxa"/>
            <w:vAlign w:val="bottom"/>
          </w:tcPr>
          <w:p w14:paraId="648232AD"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45.765 (10.649), 48 (13.75)</w:t>
            </w:r>
          </w:p>
        </w:tc>
        <w:tc>
          <w:tcPr>
            <w:tcW w:w="2880" w:type="dxa"/>
            <w:vAlign w:val="bottom"/>
          </w:tcPr>
          <w:p w14:paraId="71DEFC99"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41.735 (9.922), 44 (13)</w:t>
            </w:r>
          </w:p>
        </w:tc>
      </w:tr>
      <w:tr w:rsidR="002624A6" w14:paraId="6CA2E585" w14:textId="77777777">
        <w:tc>
          <w:tcPr>
            <w:tcW w:w="2245" w:type="dxa"/>
            <w:vAlign w:val="bottom"/>
          </w:tcPr>
          <w:p w14:paraId="569D3BC0"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 xml:space="preserve">  Positive Affect</w:t>
            </w:r>
          </w:p>
        </w:tc>
        <w:tc>
          <w:tcPr>
            <w:tcW w:w="2790" w:type="dxa"/>
            <w:vAlign w:val="bottom"/>
          </w:tcPr>
          <w:p w14:paraId="690A1F25"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35.765 (22.349), 27 (40.5)</w:t>
            </w:r>
          </w:p>
        </w:tc>
        <w:tc>
          <w:tcPr>
            <w:tcW w:w="2790" w:type="dxa"/>
            <w:vAlign w:val="bottom"/>
          </w:tcPr>
          <w:p w14:paraId="4459CBF2"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29.676 (19.776), 16.5 (40.5)</w:t>
            </w:r>
          </w:p>
        </w:tc>
        <w:tc>
          <w:tcPr>
            <w:tcW w:w="2700" w:type="dxa"/>
            <w:vAlign w:val="bottom"/>
          </w:tcPr>
          <w:p w14:paraId="43F1E645"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49.265 (8.099), 50 (9.25)</w:t>
            </w:r>
          </w:p>
        </w:tc>
        <w:tc>
          <w:tcPr>
            <w:tcW w:w="2880" w:type="dxa"/>
            <w:vAlign w:val="bottom"/>
          </w:tcPr>
          <w:p w14:paraId="321BB95D" w14:textId="77777777" w:rsidR="002624A6" w:rsidRDefault="00000000">
            <w:pPr>
              <w:rPr>
                <w:rFonts w:ascii="Arial" w:eastAsia="Arial" w:hAnsi="Arial" w:cs="Arial"/>
                <w:color w:val="000000"/>
                <w:sz w:val="20"/>
                <w:szCs w:val="20"/>
              </w:rPr>
            </w:pPr>
            <w:r>
              <w:rPr>
                <w:rFonts w:ascii="Arial" w:eastAsia="Arial" w:hAnsi="Arial" w:cs="Arial"/>
                <w:color w:val="000000"/>
                <w:sz w:val="20"/>
                <w:szCs w:val="20"/>
              </w:rPr>
              <w:t>55.824 (9.376), 51 (14.25)</w:t>
            </w:r>
          </w:p>
        </w:tc>
      </w:tr>
    </w:tbl>
    <w:p w14:paraId="404C1D1F" w14:textId="78586BAB" w:rsidR="002624A6" w:rsidRDefault="00000000">
      <w:pPr>
        <w:rPr>
          <w:rFonts w:ascii="Arial" w:eastAsia="Arial" w:hAnsi="Arial" w:cs="Arial"/>
          <w:color w:val="000000"/>
          <w:sz w:val="16"/>
          <w:szCs w:val="16"/>
        </w:rPr>
      </w:pPr>
      <w:r>
        <w:rPr>
          <w:rFonts w:ascii="Arial" w:eastAsia="Arial" w:hAnsi="Arial" w:cs="Arial"/>
          <w:color w:val="000000"/>
          <w:sz w:val="16"/>
          <w:szCs w:val="16"/>
        </w:rPr>
        <w:t xml:space="preserve">Abbreviations: NIH, </w:t>
      </w:r>
      <w:r w:rsidR="00F120E7">
        <w:rPr>
          <w:rFonts w:ascii="Arial" w:eastAsia="Arial" w:hAnsi="Arial" w:cs="Arial"/>
          <w:color w:val="000000"/>
          <w:sz w:val="16"/>
          <w:szCs w:val="16"/>
        </w:rPr>
        <w:t>National I</w:t>
      </w:r>
      <w:r>
        <w:rPr>
          <w:rFonts w:ascii="Arial" w:eastAsia="Arial" w:hAnsi="Arial" w:cs="Arial"/>
          <w:color w:val="000000"/>
          <w:sz w:val="16"/>
          <w:szCs w:val="16"/>
        </w:rPr>
        <w:t xml:space="preserve">nstitutes of </w:t>
      </w:r>
      <w:r w:rsidR="00F120E7">
        <w:rPr>
          <w:rFonts w:ascii="Arial" w:eastAsia="Arial" w:hAnsi="Arial" w:cs="Arial"/>
          <w:color w:val="000000"/>
          <w:sz w:val="16"/>
          <w:szCs w:val="16"/>
        </w:rPr>
        <w:t>H</w:t>
      </w:r>
      <w:r>
        <w:rPr>
          <w:rFonts w:ascii="Arial" w:eastAsia="Arial" w:hAnsi="Arial" w:cs="Arial"/>
          <w:color w:val="000000"/>
          <w:sz w:val="16"/>
          <w:szCs w:val="16"/>
        </w:rPr>
        <w:t xml:space="preserve">ealth; </w:t>
      </w:r>
      <w:r>
        <w:rPr>
          <w:rFonts w:ascii="Arial" w:eastAsia="Arial" w:hAnsi="Arial" w:cs="Arial"/>
          <w:i/>
          <w:color w:val="000000"/>
          <w:sz w:val="16"/>
          <w:szCs w:val="16"/>
        </w:rPr>
        <w:t>IQR</w:t>
      </w:r>
      <w:r>
        <w:rPr>
          <w:rFonts w:ascii="Arial" w:eastAsia="Arial" w:hAnsi="Arial" w:cs="Arial"/>
          <w:color w:val="000000"/>
          <w:sz w:val="16"/>
          <w:szCs w:val="16"/>
        </w:rPr>
        <w:t>, interquartile range; Crystallized Comp., crystallized cognition composite score; LSWMT, list sorting working memory test; ORRT, oral reading recognition test; PSMT, picture sequence memory test; PVT, picture vocabulary test</w:t>
      </w:r>
    </w:p>
    <w:p w14:paraId="43060734" w14:textId="318C2DEC" w:rsidR="002624A6" w:rsidRDefault="00000000">
      <w:pPr>
        <w:rPr>
          <w:rFonts w:ascii="Arial" w:eastAsia="Arial" w:hAnsi="Arial" w:cs="Arial"/>
          <w:color w:val="000000"/>
          <w:sz w:val="16"/>
          <w:szCs w:val="16"/>
        </w:rPr>
      </w:pPr>
      <w:r>
        <w:rPr>
          <w:rFonts w:ascii="Arial" w:eastAsia="Arial" w:hAnsi="Arial" w:cs="Arial"/>
          <w:color w:val="000000"/>
          <w:sz w:val="16"/>
          <w:szCs w:val="16"/>
        </w:rPr>
        <w:t>ᵃData reported as mean (</w:t>
      </w:r>
      <w:r>
        <w:rPr>
          <w:rFonts w:ascii="Arial" w:eastAsia="Arial" w:hAnsi="Arial" w:cs="Arial"/>
          <w:i/>
          <w:color w:val="000000"/>
          <w:sz w:val="16"/>
          <w:szCs w:val="16"/>
        </w:rPr>
        <w:t>SD</w:t>
      </w:r>
      <w:r>
        <w:rPr>
          <w:rFonts w:ascii="Arial" w:eastAsia="Arial" w:hAnsi="Arial" w:cs="Arial"/>
          <w:color w:val="000000"/>
          <w:sz w:val="16"/>
          <w:szCs w:val="16"/>
        </w:rPr>
        <w:t xml:space="preserve">), </w:t>
      </w:r>
      <w:r w:rsidR="00F120E7">
        <w:rPr>
          <w:rFonts w:ascii="Arial" w:eastAsia="Arial" w:hAnsi="Arial" w:cs="Arial"/>
          <w:color w:val="000000"/>
          <w:sz w:val="16"/>
          <w:szCs w:val="16"/>
        </w:rPr>
        <w:t xml:space="preserve">and </w:t>
      </w:r>
      <w:r>
        <w:rPr>
          <w:rFonts w:ascii="Arial" w:eastAsia="Arial" w:hAnsi="Arial" w:cs="Arial"/>
          <w:color w:val="000000"/>
          <w:sz w:val="16"/>
          <w:szCs w:val="16"/>
        </w:rPr>
        <w:t>median (</w:t>
      </w:r>
      <w:r>
        <w:rPr>
          <w:rFonts w:ascii="Arial" w:eastAsia="Arial" w:hAnsi="Arial" w:cs="Arial"/>
          <w:i/>
          <w:color w:val="000000"/>
          <w:sz w:val="16"/>
          <w:szCs w:val="16"/>
        </w:rPr>
        <w:t>IQR</w:t>
      </w:r>
      <w:r>
        <w:rPr>
          <w:rFonts w:ascii="Arial" w:eastAsia="Arial" w:hAnsi="Arial" w:cs="Arial"/>
          <w:color w:val="000000"/>
          <w:sz w:val="16"/>
          <w:szCs w:val="16"/>
        </w:rPr>
        <w:t>) for continuous variables.</w:t>
      </w:r>
    </w:p>
    <w:p w14:paraId="594F20AB" w14:textId="0767F4F7" w:rsidR="002624A6" w:rsidRDefault="00000000">
      <w:pPr>
        <w:rPr>
          <w:rFonts w:ascii="Arial" w:eastAsia="Arial" w:hAnsi="Arial" w:cs="Arial"/>
          <w:color w:val="000000"/>
          <w:sz w:val="16"/>
          <w:szCs w:val="16"/>
        </w:rPr>
      </w:pPr>
      <w:r>
        <w:rPr>
          <w:rFonts w:ascii="Arial" w:eastAsia="Arial" w:hAnsi="Arial" w:cs="Arial"/>
          <w:color w:val="000000"/>
          <w:sz w:val="16"/>
          <w:szCs w:val="16"/>
        </w:rPr>
        <w:t>ᵇData reported for all enrolled participants (</w:t>
      </w:r>
      <w:r>
        <w:rPr>
          <w:rFonts w:ascii="Arial" w:eastAsia="Arial" w:hAnsi="Arial" w:cs="Arial"/>
          <w:i/>
          <w:color w:val="000000"/>
          <w:sz w:val="16"/>
          <w:szCs w:val="16"/>
        </w:rPr>
        <w:t>n</w:t>
      </w:r>
      <w:r>
        <w:rPr>
          <w:rFonts w:ascii="Arial" w:eastAsia="Arial" w:hAnsi="Arial" w:cs="Arial"/>
          <w:color w:val="000000"/>
          <w:sz w:val="16"/>
          <w:szCs w:val="16"/>
        </w:rPr>
        <w:t xml:space="preserve"> = 35) for </w:t>
      </w:r>
      <w:r w:rsidR="00F120E7">
        <w:rPr>
          <w:rFonts w:ascii="Arial" w:eastAsia="Arial" w:hAnsi="Arial" w:cs="Arial"/>
          <w:color w:val="000000"/>
          <w:sz w:val="16"/>
          <w:szCs w:val="16"/>
        </w:rPr>
        <w:t xml:space="preserve">the </w:t>
      </w:r>
      <w:r>
        <w:rPr>
          <w:rFonts w:ascii="Arial" w:eastAsia="Arial" w:hAnsi="Arial" w:cs="Arial"/>
          <w:color w:val="000000"/>
          <w:sz w:val="16"/>
          <w:szCs w:val="16"/>
        </w:rPr>
        <w:t xml:space="preserve">first assessment </w:t>
      </w:r>
    </w:p>
    <w:p w14:paraId="4BA52499" w14:textId="0FDBD883" w:rsidR="002624A6" w:rsidRDefault="00000000">
      <w:pPr>
        <w:rPr>
          <w:rFonts w:ascii="Arial" w:eastAsia="Arial" w:hAnsi="Arial" w:cs="Arial"/>
          <w:color w:val="000000"/>
          <w:sz w:val="16"/>
          <w:szCs w:val="16"/>
        </w:rPr>
      </w:pPr>
      <w:r>
        <w:rPr>
          <w:rFonts w:ascii="Arial" w:eastAsia="Arial" w:hAnsi="Arial" w:cs="Arial"/>
          <w:color w:val="000000"/>
          <w:sz w:val="16"/>
          <w:szCs w:val="16"/>
        </w:rPr>
        <w:t xml:space="preserve">ᶜData reported for 34 (97%) participants for the second assessment. </w:t>
      </w:r>
    </w:p>
    <w:p w14:paraId="1979F1AD" w14:textId="7664B0B4" w:rsidR="002624A6" w:rsidRDefault="00000000">
      <w:pPr>
        <w:rPr>
          <w:rFonts w:ascii="Arial" w:eastAsia="Arial" w:hAnsi="Arial" w:cs="Arial"/>
          <w:color w:val="000000"/>
          <w:sz w:val="16"/>
          <w:szCs w:val="16"/>
        </w:rPr>
      </w:pPr>
      <w:r>
        <w:rPr>
          <w:rFonts w:ascii="Arial" w:eastAsia="Arial" w:hAnsi="Arial" w:cs="Arial"/>
          <w:sz w:val="16"/>
          <w:szCs w:val="16"/>
        </w:rPr>
        <w:t>ᵈ</w:t>
      </w:r>
      <w:r>
        <w:rPr>
          <w:rFonts w:ascii="Arial" w:eastAsia="Arial" w:hAnsi="Arial" w:cs="Arial"/>
          <w:color w:val="000000"/>
          <w:sz w:val="16"/>
          <w:szCs w:val="16"/>
        </w:rPr>
        <w:t xml:space="preserve">Crystallized composite score is a calculation provided by the NIH Toolbox that summarizes crystallized intelligence test scores. 3 fluid intelligence tests were omitted as they could not be completed over </w:t>
      </w:r>
      <w:r w:rsidR="00F120E7">
        <w:rPr>
          <w:rFonts w:ascii="Arial" w:eastAsia="Arial" w:hAnsi="Arial" w:cs="Arial"/>
          <w:color w:val="000000"/>
          <w:sz w:val="16"/>
          <w:szCs w:val="16"/>
        </w:rPr>
        <w:t>Z</w:t>
      </w:r>
      <w:r>
        <w:rPr>
          <w:rFonts w:ascii="Arial" w:eastAsia="Arial" w:hAnsi="Arial" w:cs="Arial"/>
          <w:color w:val="000000"/>
          <w:sz w:val="16"/>
          <w:szCs w:val="16"/>
        </w:rPr>
        <w:t>oom, so no composite fluid intelligence score was generated.</w:t>
      </w:r>
    </w:p>
    <w:p w14:paraId="7639497E" w14:textId="77777777" w:rsidR="002624A6" w:rsidRDefault="002624A6">
      <w:pPr>
        <w:rPr>
          <w:color w:val="000000"/>
          <w:sz w:val="20"/>
          <w:szCs w:val="20"/>
        </w:rPr>
      </w:pPr>
    </w:p>
    <w:p w14:paraId="0EC56A33" w14:textId="77777777" w:rsidR="002624A6" w:rsidRDefault="002624A6">
      <w:pPr>
        <w:rPr>
          <w:color w:val="000000"/>
          <w:sz w:val="20"/>
          <w:szCs w:val="20"/>
        </w:rPr>
      </w:pPr>
    </w:p>
    <w:p w14:paraId="4687F115" w14:textId="77777777" w:rsidR="002624A6" w:rsidRDefault="002624A6">
      <w:pPr>
        <w:rPr>
          <w:color w:val="000000"/>
          <w:sz w:val="20"/>
          <w:szCs w:val="20"/>
        </w:rPr>
      </w:pPr>
    </w:p>
    <w:p w14:paraId="68388233" w14:textId="77777777" w:rsidR="002624A6" w:rsidRDefault="002624A6">
      <w:pPr>
        <w:rPr>
          <w:color w:val="000000"/>
          <w:sz w:val="20"/>
          <w:szCs w:val="20"/>
        </w:rPr>
      </w:pPr>
    </w:p>
    <w:p w14:paraId="5AE7DAFB" w14:textId="77777777" w:rsidR="002624A6" w:rsidRDefault="002624A6">
      <w:pPr>
        <w:rPr>
          <w:color w:val="000000"/>
          <w:sz w:val="20"/>
          <w:szCs w:val="20"/>
        </w:rPr>
      </w:pPr>
    </w:p>
    <w:p w14:paraId="0BC8C413" w14:textId="77777777" w:rsidR="002624A6" w:rsidRDefault="002624A6">
      <w:pPr>
        <w:rPr>
          <w:color w:val="000000"/>
          <w:sz w:val="20"/>
          <w:szCs w:val="20"/>
        </w:rPr>
      </w:pPr>
    </w:p>
    <w:p w14:paraId="3016CE2B" w14:textId="77777777" w:rsidR="002624A6" w:rsidRDefault="002624A6">
      <w:pPr>
        <w:rPr>
          <w:color w:val="000000"/>
          <w:sz w:val="20"/>
          <w:szCs w:val="20"/>
        </w:rPr>
      </w:pPr>
    </w:p>
    <w:p w14:paraId="75F0031C" w14:textId="77777777" w:rsidR="002624A6" w:rsidRDefault="002624A6">
      <w:pPr>
        <w:rPr>
          <w:color w:val="000000"/>
          <w:sz w:val="20"/>
          <w:szCs w:val="20"/>
        </w:rPr>
      </w:pPr>
    </w:p>
    <w:p w14:paraId="13B451EB" w14:textId="77777777" w:rsidR="002624A6" w:rsidRDefault="002624A6">
      <w:pPr>
        <w:rPr>
          <w:color w:val="000000"/>
          <w:sz w:val="20"/>
          <w:szCs w:val="20"/>
        </w:rPr>
      </w:pPr>
    </w:p>
    <w:p w14:paraId="07B76AE2" w14:textId="77777777" w:rsidR="002624A6" w:rsidRDefault="00000000">
      <w:pPr>
        <w:rPr>
          <w:color w:val="000000"/>
        </w:rPr>
      </w:pPr>
      <w:r>
        <w:br w:type="page"/>
      </w:r>
    </w:p>
    <w:p w14:paraId="228C10A8" w14:textId="77777777" w:rsidR="002624A6" w:rsidRDefault="00000000">
      <w:pPr>
        <w:pStyle w:val="Heading1"/>
      </w:pPr>
      <w:bookmarkStart w:id="5" w:name="_Toc194762195"/>
      <w:r>
        <w:lastRenderedPageBreak/>
        <w:t>Supplemental Analysis 1. Analysis of NIH toolbox (time comparison) using JASP software</w:t>
      </w:r>
      <w:bookmarkEnd w:id="5"/>
    </w:p>
    <w:p w14:paraId="7267CB7A" w14:textId="61B5882C" w:rsidR="002624A6" w:rsidRDefault="00000000">
      <w:pPr>
        <w:spacing w:before="240"/>
        <w:jc w:val="both"/>
        <w:rPr>
          <w:sz w:val="20"/>
          <w:szCs w:val="20"/>
        </w:rPr>
      </w:pPr>
      <w:r>
        <w:rPr>
          <w:color w:val="000000"/>
          <w:sz w:val="20"/>
          <w:szCs w:val="20"/>
        </w:rPr>
        <w:t>The four cognitive tasks that we tested, the Picture Vocabulary Test (PVT), Oral Reading Recall Test (ORRT), List Sort Working Memory Task (LSWMT), and Picture Sequence Memory Test (PSMT) test both crystallized (PVT and ORRT) and fluid (LSWMT and PSMT) cognitive abilities.  The overall repeated measures ANOVA with the factor of Time (2 levels: Pre and Post meditation retreat) and Test Type (4 levels: PVT, ORRT, LSWMT, and PSMT) revealed no significant effect of Time (</w:t>
      </w:r>
      <w:r>
        <w:rPr>
          <w:i/>
          <w:color w:val="000000"/>
          <w:sz w:val="20"/>
          <w:szCs w:val="20"/>
        </w:rPr>
        <w:t>F</w:t>
      </w:r>
      <w:r>
        <w:rPr>
          <w:color w:val="000000"/>
          <w:sz w:val="20"/>
          <w:szCs w:val="20"/>
          <w:vertAlign w:val="subscript"/>
        </w:rPr>
        <w:t>1,33</w:t>
      </w:r>
      <w:r>
        <w:rPr>
          <w:color w:val="000000"/>
          <w:sz w:val="20"/>
          <w:szCs w:val="20"/>
        </w:rPr>
        <w:t xml:space="preserve">=0.6, </w:t>
      </w:r>
      <w:r>
        <w:rPr>
          <w:i/>
          <w:color w:val="000000"/>
          <w:sz w:val="20"/>
          <w:szCs w:val="20"/>
        </w:rPr>
        <w:t>p</w:t>
      </w:r>
      <w:r>
        <w:rPr>
          <w:sz w:val="20"/>
          <w:szCs w:val="20"/>
        </w:rPr>
        <w:t xml:space="preserve"> &gt; 0.05</w:t>
      </w:r>
      <w:r>
        <w:rPr>
          <w:color w:val="000000"/>
          <w:sz w:val="20"/>
          <w:szCs w:val="20"/>
        </w:rPr>
        <w:t>), a significant effect of Test Type (</w:t>
      </w:r>
      <w:r>
        <w:rPr>
          <w:i/>
          <w:color w:val="000000"/>
          <w:sz w:val="20"/>
          <w:szCs w:val="20"/>
        </w:rPr>
        <w:t>F</w:t>
      </w:r>
      <w:r>
        <w:rPr>
          <w:color w:val="000000"/>
          <w:sz w:val="20"/>
          <w:szCs w:val="20"/>
          <w:vertAlign w:val="subscript"/>
        </w:rPr>
        <w:t>3,99</w:t>
      </w:r>
      <w:r>
        <w:rPr>
          <w:color w:val="000000"/>
          <w:sz w:val="20"/>
          <w:szCs w:val="20"/>
        </w:rPr>
        <w:t xml:space="preserve">=41.3, </w:t>
      </w:r>
      <w:r>
        <w:rPr>
          <w:i/>
          <w:color w:val="000000"/>
          <w:sz w:val="20"/>
          <w:szCs w:val="20"/>
        </w:rPr>
        <w:t xml:space="preserve">p </w:t>
      </w:r>
      <w:r>
        <w:rPr>
          <w:color w:val="000000"/>
          <w:sz w:val="20"/>
          <w:szCs w:val="20"/>
        </w:rPr>
        <w:t xml:space="preserve">&lt; 0.001), and </w:t>
      </w:r>
      <w:r w:rsidR="00F120E7">
        <w:rPr>
          <w:color w:val="000000"/>
          <w:sz w:val="20"/>
          <w:szCs w:val="20"/>
        </w:rPr>
        <w:t>no</w:t>
      </w:r>
      <w:r>
        <w:rPr>
          <w:color w:val="000000"/>
          <w:sz w:val="20"/>
          <w:szCs w:val="20"/>
        </w:rPr>
        <w:t xml:space="preserve"> significant Time x Test type interaction (</w:t>
      </w:r>
      <w:r>
        <w:rPr>
          <w:i/>
          <w:color w:val="000000"/>
          <w:sz w:val="20"/>
          <w:szCs w:val="20"/>
        </w:rPr>
        <w:t>F</w:t>
      </w:r>
      <w:r>
        <w:rPr>
          <w:color w:val="000000"/>
          <w:sz w:val="20"/>
          <w:szCs w:val="20"/>
          <w:vertAlign w:val="subscript"/>
        </w:rPr>
        <w:t>3,99</w:t>
      </w:r>
      <w:r>
        <w:rPr>
          <w:color w:val="000000"/>
          <w:sz w:val="20"/>
          <w:szCs w:val="20"/>
        </w:rPr>
        <w:t xml:space="preserve">=5.1, </w:t>
      </w:r>
      <w:r w:rsidR="00F120E7">
        <w:rPr>
          <w:color w:val="000000"/>
          <w:sz w:val="20"/>
          <w:szCs w:val="20"/>
        </w:rPr>
        <w:t xml:space="preserve">0.001 &lt; </w:t>
      </w:r>
      <w:r>
        <w:rPr>
          <w:i/>
          <w:color w:val="000000"/>
          <w:sz w:val="20"/>
          <w:szCs w:val="20"/>
        </w:rPr>
        <w:t>p</w:t>
      </w:r>
      <w:r>
        <w:rPr>
          <w:color w:val="000000"/>
          <w:sz w:val="20"/>
          <w:szCs w:val="20"/>
        </w:rPr>
        <w:t xml:space="preserve"> &lt; 0.0</w:t>
      </w:r>
      <w:r>
        <w:rPr>
          <w:sz w:val="20"/>
          <w:szCs w:val="20"/>
        </w:rPr>
        <w:t>5</w:t>
      </w:r>
      <w:r>
        <w:rPr>
          <w:color w:val="000000"/>
          <w:sz w:val="20"/>
          <w:szCs w:val="20"/>
        </w:rPr>
        <w:t>).</w:t>
      </w:r>
    </w:p>
    <w:p w14:paraId="12F60E58" w14:textId="2D042C72" w:rsidR="002624A6" w:rsidRDefault="00000000">
      <w:pPr>
        <w:spacing w:before="240"/>
        <w:jc w:val="both"/>
        <w:rPr>
          <w:sz w:val="20"/>
          <w:szCs w:val="20"/>
        </w:rPr>
      </w:pPr>
      <w:r>
        <w:rPr>
          <w:color w:val="000000"/>
          <w:sz w:val="20"/>
          <w:szCs w:val="20"/>
        </w:rPr>
        <w:t xml:space="preserve">A separate repeated-measures ANOVA on the fluid cognition tasks (LSWMT and PSMT) revealed a </w:t>
      </w:r>
      <w:r w:rsidR="00F120E7">
        <w:rPr>
          <w:color w:val="000000"/>
          <w:sz w:val="20"/>
          <w:szCs w:val="20"/>
        </w:rPr>
        <w:t>non-</w:t>
      </w:r>
      <w:r>
        <w:rPr>
          <w:color w:val="000000"/>
          <w:sz w:val="20"/>
          <w:szCs w:val="20"/>
        </w:rPr>
        <w:t>significant</w:t>
      </w:r>
      <w:r w:rsidR="00F120E7">
        <w:rPr>
          <w:color w:val="000000"/>
          <w:sz w:val="20"/>
          <w:szCs w:val="20"/>
        </w:rPr>
        <w:t xml:space="preserve"> but trend-level</w:t>
      </w:r>
      <w:r>
        <w:rPr>
          <w:color w:val="000000"/>
          <w:sz w:val="20"/>
          <w:szCs w:val="20"/>
        </w:rPr>
        <w:t xml:space="preserve"> main effect of Time (</w:t>
      </w:r>
      <w:r>
        <w:rPr>
          <w:i/>
          <w:color w:val="000000"/>
          <w:sz w:val="20"/>
          <w:szCs w:val="20"/>
        </w:rPr>
        <w:t>F</w:t>
      </w:r>
      <w:r>
        <w:rPr>
          <w:color w:val="000000"/>
          <w:sz w:val="20"/>
          <w:szCs w:val="20"/>
          <w:vertAlign w:val="subscript"/>
        </w:rPr>
        <w:t>1,33</w:t>
      </w:r>
      <w:r>
        <w:rPr>
          <w:color w:val="000000"/>
          <w:sz w:val="20"/>
          <w:szCs w:val="20"/>
        </w:rPr>
        <w:t xml:space="preserve">=5.4, </w:t>
      </w:r>
      <w:r>
        <w:rPr>
          <w:i/>
          <w:color w:val="000000"/>
          <w:sz w:val="20"/>
          <w:szCs w:val="20"/>
        </w:rPr>
        <w:t xml:space="preserve">p </w:t>
      </w:r>
      <w:r>
        <w:rPr>
          <w:color w:val="000000"/>
          <w:sz w:val="20"/>
          <w:szCs w:val="20"/>
        </w:rPr>
        <w:t>&lt; 0.0</w:t>
      </w:r>
      <w:r>
        <w:rPr>
          <w:sz w:val="20"/>
          <w:szCs w:val="20"/>
        </w:rPr>
        <w:t>5</w:t>
      </w:r>
      <w:r>
        <w:rPr>
          <w:color w:val="000000"/>
          <w:sz w:val="20"/>
          <w:szCs w:val="20"/>
        </w:rPr>
        <w:t xml:space="preserve">). The Test Type factor was </w:t>
      </w:r>
      <w:r w:rsidR="00F120E7">
        <w:rPr>
          <w:color w:val="000000"/>
          <w:sz w:val="20"/>
          <w:szCs w:val="20"/>
        </w:rPr>
        <w:t>non-</w:t>
      </w:r>
      <w:r>
        <w:rPr>
          <w:color w:val="000000"/>
          <w:sz w:val="20"/>
          <w:szCs w:val="20"/>
        </w:rPr>
        <w:t>significant</w:t>
      </w:r>
      <w:r w:rsidR="00F120E7">
        <w:rPr>
          <w:color w:val="000000"/>
          <w:sz w:val="20"/>
          <w:szCs w:val="20"/>
        </w:rPr>
        <w:t xml:space="preserve"> but trend-level</w:t>
      </w:r>
      <w:r>
        <w:rPr>
          <w:color w:val="000000"/>
          <w:sz w:val="20"/>
          <w:szCs w:val="20"/>
        </w:rPr>
        <w:t xml:space="preserve"> (</w:t>
      </w:r>
      <w:r>
        <w:rPr>
          <w:i/>
          <w:color w:val="000000"/>
          <w:sz w:val="20"/>
          <w:szCs w:val="20"/>
        </w:rPr>
        <w:t>F</w:t>
      </w:r>
      <w:r>
        <w:rPr>
          <w:color w:val="000000"/>
          <w:sz w:val="20"/>
          <w:szCs w:val="20"/>
          <w:vertAlign w:val="subscript"/>
        </w:rPr>
        <w:t>1,33</w:t>
      </w:r>
      <w:r>
        <w:rPr>
          <w:color w:val="000000"/>
          <w:sz w:val="20"/>
          <w:szCs w:val="20"/>
        </w:rPr>
        <w:t>=9.1,</w:t>
      </w:r>
      <w:r>
        <w:rPr>
          <w:i/>
          <w:color w:val="000000"/>
          <w:sz w:val="20"/>
          <w:szCs w:val="20"/>
        </w:rPr>
        <w:t xml:space="preserve"> p </w:t>
      </w:r>
      <w:r>
        <w:rPr>
          <w:color w:val="000000"/>
          <w:sz w:val="20"/>
          <w:szCs w:val="20"/>
        </w:rPr>
        <w:t>&lt; 0.05)</w:t>
      </w:r>
      <w:r w:rsidR="00F120E7">
        <w:rPr>
          <w:color w:val="000000"/>
          <w:sz w:val="20"/>
          <w:szCs w:val="20"/>
        </w:rPr>
        <w:t>. T</w:t>
      </w:r>
      <w:r>
        <w:rPr>
          <w:color w:val="000000"/>
          <w:sz w:val="20"/>
          <w:szCs w:val="20"/>
        </w:rPr>
        <w:t>he Time x Test type interaction was not</w:t>
      </w:r>
      <w:r w:rsidR="00F120E7">
        <w:rPr>
          <w:color w:val="000000"/>
          <w:sz w:val="20"/>
          <w:szCs w:val="20"/>
        </w:rPr>
        <w:t xml:space="preserve"> significant</w:t>
      </w:r>
      <w:r>
        <w:rPr>
          <w:color w:val="000000"/>
          <w:sz w:val="20"/>
          <w:szCs w:val="20"/>
        </w:rPr>
        <w:t xml:space="preserve"> (</w:t>
      </w:r>
      <w:r>
        <w:rPr>
          <w:i/>
          <w:color w:val="000000"/>
          <w:sz w:val="20"/>
          <w:szCs w:val="20"/>
        </w:rPr>
        <w:t>F</w:t>
      </w:r>
      <w:r>
        <w:rPr>
          <w:color w:val="000000"/>
          <w:sz w:val="20"/>
          <w:szCs w:val="20"/>
          <w:vertAlign w:val="subscript"/>
        </w:rPr>
        <w:t>1,33</w:t>
      </w:r>
      <w:r>
        <w:rPr>
          <w:color w:val="000000"/>
          <w:sz w:val="20"/>
          <w:szCs w:val="20"/>
        </w:rPr>
        <w:t xml:space="preserve">=0.2, </w:t>
      </w:r>
      <w:r>
        <w:rPr>
          <w:i/>
          <w:sz w:val="20"/>
          <w:szCs w:val="20"/>
        </w:rPr>
        <w:t>p</w:t>
      </w:r>
      <w:r>
        <w:rPr>
          <w:sz w:val="20"/>
          <w:szCs w:val="20"/>
        </w:rPr>
        <w:t xml:space="preserve"> &gt; 0.05</w:t>
      </w:r>
      <w:r>
        <w:rPr>
          <w:color w:val="000000"/>
          <w:sz w:val="20"/>
          <w:szCs w:val="20"/>
        </w:rPr>
        <w:t xml:space="preserve">). The changes in means and standard deviations Pre and Post meditation retreat are reported in Supplemental Table </w:t>
      </w:r>
      <w:r w:rsidR="00F120E7">
        <w:rPr>
          <w:color w:val="000000"/>
          <w:sz w:val="20"/>
          <w:szCs w:val="20"/>
        </w:rPr>
        <w:t>2</w:t>
      </w:r>
      <w:r>
        <w:rPr>
          <w:color w:val="000000"/>
          <w:sz w:val="20"/>
          <w:szCs w:val="20"/>
        </w:rPr>
        <w:t>.</w:t>
      </w:r>
    </w:p>
    <w:p w14:paraId="049105BD" w14:textId="77777777" w:rsidR="002624A6" w:rsidRDefault="00000000">
      <w:pPr>
        <w:spacing w:before="240"/>
        <w:jc w:val="both"/>
        <w:rPr>
          <w:sz w:val="20"/>
          <w:szCs w:val="20"/>
        </w:rPr>
      </w:pPr>
      <w:r>
        <w:rPr>
          <w:color w:val="000000"/>
          <w:sz w:val="20"/>
          <w:szCs w:val="20"/>
        </w:rPr>
        <w:t>We analyzed the positive and negative affective measures separately, as increases in the positive affective measures indicate improvement, while increases in the negative measures indicate a decline in emotional well-being. We submitted the positive Affective measure scores to a repeated-measures ANOVA, with Test Type (5 levels: Positive Affect, Life Satisfaction, Emotional Support, Instrumental Support, Friendship and Time (2 levels: Pre and Post meditation intervention) as the factors</w:t>
      </w:r>
      <w:r>
        <w:rPr>
          <w:sz w:val="20"/>
          <w:szCs w:val="20"/>
        </w:rPr>
        <w:t xml:space="preserve">.  </w:t>
      </w:r>
      <w:r>
        <w:rPr>
          <w:color w:val="000000"/>
          <w:sz w:val="20"/>
          <w:szCs w:val="20"/>
        </w:rPr>
        <w:t>The Time factor was significant (</w:t>
      </w:r>
      <w:r>
        <w:rPr>
          <w:i/>
          <w:color w:val="000000"/>
          <w:sz w:val="20"/>
          <w:szCs w:val="20"/>
        </w:rPr>
        <w:t>F</w:t>
      </w:r>
      <w:r>
        <w:rPr>
          <w:color w:val="000000"/>
          <w:sz w:val="20"/>
          <w:szCs w:val="20"/>
          <w:vertAlign w:val="subscript"/>
        </w:rPr>
        <w:t>1,33</w:t>
      </w:r>
      <w:r>
        <w:rPr>
          <w:color w:val="000000"/>
          <w:sz w:val="20"/>
          <w:szCs w:val="20"/>
        </w:rPr>
        <w:t xml:space="preserve">=14.4, </w:t>
      </w:r>
      <w:r>
        <w:rPr>
          <w:i/>
          <w:color w:val="000000"/>
          <w:sz w:val="20"/>
          <w:szCs w:val="20"/>
        </w:rPr>
        <w:t xml:space="preserve">p </w:t>
      </w:r>
      <w:r>
        <w:rPr>
          <w:color w:val="000000"/>
          <w:sz w:val="20"/>
          <w:szCs w:val="20"/>
        </w:rPr>
        <w:t>&lt; 0.001), indicating that positive affective measures changed between pre- and post-meditation retreat. The Test Type factor was also significant (</w:t>
      </w:r>
      <w:r>
        <w:rPr>
          <w:i/>
          <w:color w:val="000000"/>
          <w:sz w:val="20"/>
          <w:szCs w:val="20"/>
        </w:rPr>
        <w:t>F</w:t>
      </w:r>
      <w:r>
        <w:rPr>
          <w:color w:val="000000"/>
          <w:sz w:val="20"/>
          <w:szCs w:val="20"/>
          <w:vertAlign w:val="subscript"/>
        </w:rPr>
        <w:t>4,132</w:t>
      </w:r>
      <w:r>
        <w:rPr>
          <w:color w:val="000000"/>
          <w:sz w:val="20"/>
          <w:szCs w:val="20"/>
        </w:rPr>
        <w:t xml:space="preserve">=17.9, </w:t>
      </w:r>
      <w:r>
        <w:rPr>
          <w:i/>
          <w:color w:val="000000"/>
          <w:sz w:val="20"/>
          <w:szCs w:val="20"/>
        </w:rPr>
        <w:t xml:space="preserve">p </w:t>
      </w:r>
      <w:r>
        <w:rPr>
          <w:color w:val="000000"/>
          <w:sz w:val="20"/>
          <w:szCs w:val="20"/>
        </w:rPr>
        <w:t>&lt; 0.001), indicating differential effects on the five positive affective measures that we tested.  </w:t>
      </w:r>
    </w:p>
    <w:p w14:paraId="4A95C6E0" w14:textId="31D990C2" w:rsidR="002624A6" w:rsidRDefault="00000000">
      <w:pPr>
        <w:spacing w:before="240"/>
        <w:jc w:val="both"/>
        <w:rPr>
          <w:color w:val="000000"/>
          <w:sz w:val="20"/>
          <w:szCs w:val="20"/>
        </w:rPr>
      </w:pPr>
      <w:r>
        <w:rPr>
          <w:color w:val="000000"/>
          <w:sz w:val="20"/>
          <w:szCs w:val="20"/>
        </w:rPr>
        <w:t xml:space="preserve">For the negative measures of affect, Perceived Stress and Loneliness, the Time (Pre and Post meditation intervention) factor was </w:t>
      </w:r>
      <w:r w:rsidR="00172118">
        <w:rPr>
          <w:color w:val="000000"/>
          <w:sz w:val="20"/>
          <w:szCs w:val="20"/>
        </w:rPr>
        <w:t>non-</w:t>
      </w:r>
      <w:r>
        <w:rPr>
          <w:color w:val="000000"/>
          <w:sz w:val="20"/>
          <w:szCs w:val="20"/>
        </w:rPr>
        <w:t>significant</w:t>
      </w:r>
      <w:r w:rsidR="00172118">
        <w:rPr>
          <w:color w:val="000000"/>
          <w:sz w:val="20"/>
          <w:szCs w:val="20"/>
        </w:rPr>
        <w:t xml:space="preserve"> but trend-level</w:t>
      </w:r>
      <w:r>
        <w:rPr>
          <w:color w:val="000000"/>
          <w:sz w:val="20"/>
          <w:szCs w:val="20"/>
        </w:rPr>
        <w:t xml:space="preserve"> (</w:t>
      </w:r>
      <w:r>
        <w:rPr>
          <w:i/>
          <w:color w:val="000000"/>
          <w:sz w:val="20"/>
          <w:szCs w:val="20"/>
        </w:rPr>
        <w:t>F</w:t>
      </w:r>
      <w:r>
        <w:rPr>
          <w:color w:val="000000"/>
          <w:sz w:val="20"/>
          <w:szCs w:val="20"/>
          <w:vertAlign w:val="subscript"/>
        </w:rPr>
        <w:t>1,33</w:t>
      </w:r>
      <w:r>
        <w:rPr>
          <w:color w:val="000000"/>
          <w:sz w:val="20"/>
          <w:szCs w:val="20"/>
        </w:rPr>
        <w:t xml:space="preserve">= 8.8, </w:t>
      </w:r>
      <w:r>
        <w:rPr>
          <w:i/>
          <w:color w:val="000000"/>
          <w:sz w:val="20"/>
          <w:szCs w:val="20"/>
        </w:rPr>
        <w:t xml:space="preserve">p </w:t>
      </w:r>
      <w:r>
        <w:rPr>
          <w:color w:val="000000"/>
          <w:sz w:val="20"/>
          <w:szCs w:val="20"/>
        </w:rPr>
        <w:t>&lt; 0.0</w:t>
      </w:r>
      <w:r>
        <w:rPr>
          <w:sz w:val="20"/>
          <w:szCs w:val="20"/>
        </w:rPr>
        <w:t>1</w:t>
      </w:r>
      <w:r>
        <w:rPr>
          <w:color w:val="000000"/>
          <w:sz w:val="20"/>
          <w:szCs w:val="20"/>
        </w:rPr>
        <w:t>), as was the Test type factor (</w:t>
      </w:r>
      <w:r>
        <w:rPr>
          <w:i/>
          <w:color w:val="000000"/>
          <w:sz w:val="20"/>
          <w:szCs w:val="20"/>
        </w:rPr>
        <w:t>F</w:t>
      </w:r>
      <w:r>
        <w:rPr>
          <w:color w:val="000000"/>
          <w:sz w:val="20"/>
          <w:szCs w:val="20"/>
          <w:vertAlign w:val="subscript"/>
        </w:rPr>
        <w:t>1,33</w:t>
      </w:r>
      <w:r>
        <w:rPr>
          <w:color w:val="000000"/>
          <w:sz w:val="20"/>
          <w:szCs w:val="20"/>
        </w:rPr>
        <w:t xml:space="preserve">=22.4, </w:t>
      </w:r>
      <w:r>
        <w:rPr>
          <w:i/>
          <w:color w:val="000000"/>
          <w:sz w:val="20"/>
          <w:szCs w:val="20"/>
        </w:rPr>
        <w:t xml:space="preserve">p </w:t>
      </w:r>
      <w:r>
        <w:rPr>
          <w:color w:val="000000"/>
          <w:sz w:val="20"/>
          <w:szCs w:val="20"/>
        </w:rPr>
        <w:t>&lt; 0.001), indicating different outcomes on these measures. The Time x Test type interaction was not significant (</w:t>
      </w:r>
      <w:r>
        <w:rPr>
          <w:i/>
          <w:color w:val="000000"/>
          <w:sz w:val="20"/>
          <w:szCs w:val="20"/>
        </w:rPr>
        <w:t>F</w:t>
      </w:r>
      <w:r>
        <w:rPr>
          <w:color w:val="000000"/>
          <w:sz w:val="20"/>
          <w:szCs w:val="20"/>
          <w:vertAlign w:val="subscript"/>
        </w:rPr>
        <w:t>1,33</w:t>
      </w:r>
      <w:r>
        <w:rPr>
          <w:color w:val="000000"/>
          <w:sz w:val="20"/>
          <w:szCs w:val="20"/>
        </w:rPr>
        <w:t xml:space="preserve">=0.8, </w:t>
      </w:r>
      <w:r>
        <w:rPr>
          <w:i/>
          <w:sz w:val="20"/>
          <w:szCs w:val="20"/>
        </w:rPr>
        <w:t>p</w:t>
      </w:r>
      <w:r>
        <w:rPr>
          <w:sz w:val="20"/>
          <w:szCs w:val="20"/>
        </w:rPr>
        <w:t xml:space="preserve"> &gt; 0.05</w:t>
      </w:r>
      <w:r>
        <w:rPr>
          <w:color w:val="000000"/>
          <w:sz w:val="20"/>
          <w:szCs w:val="20"/>
        </w:rPr>
        <w:t>).</w:t>
      </w:r>
    </w:p>
    <w:p w14:paraId="60A11166" w14:textId="77777777" w:rsidR="00561768" w:rsidRDefault="00561768">
      <w:pPr>
        <w:spacing w:before="240"/>
        <w:jc w:val="both"/>
        <w:rPr>
          <w:color w:val="000000"/>
          <w:sz w:val="20"/>
          <w:szCs w:val="20"/>
        </w:rPr>
      </w:pPr>
    </w:p>
    <w:p w14:paraId="6E3AFB70" w14:textId="5C7DFCD7" w:rsidR="001C1B76" w:rsidRPr="001C1B76" w:rsidRDefault="001C1B76" w:rsidP="001C1B76">
      <w:pPr>
        <w:pStyle w:val="Heading1"/>
      </w:pPr>
      <w:bookmarkStart w:id="6" w:name="_Toc194762196"/>
      <w:r>
        <w:t>Supplemental Method. Using linear discriminant analysis (LDA) to remove artifacts</w:t>
      </w:r>
      <w:bookmarkEnd w:id="6"/>
    </w:p>
    <w:p w14:paraId="12C225CF" w14:textId="754932A9" w:rsidR="002624A6" w:rsidRDefault="00561768" w:rsidP="001C1B76">
      <w:pPr>
        <w:spacing w:before="240"/>
        <w:jc w:val="both"/>
        <w:rPr>
          <w:sz w:val="20"/>
          <w:szCs w:val="20"/>
        </w:rPr>
      </w:pPr>
      <w:r>
        <w:rPr>
          <w:sz w:val="20"/>
          <w:szCs w:val="20"/>
        </w:rPr>
        <w:t xml:space="preserve">We used LDA on EEG signals collected from the Dreem devices. The signals were segmented into 30-second epochs. </w:t>
      </w:r>
      <w:r w:rsidRPr="00561768">
        <w:rPr>
          <w:sz w:val="20"/>
          <w:szCs w:val="20"/>
        </w:rPr>
        <w:t>The inputs to LDA are the total power and 2nd order difference (for abrupt non-physiological changes) of the spectrum</w:t>
      </w:r>
      <w:r>
        <w:rPr>
          <w:sz w:val="20"/>
          <w:szCs w:val="20"/>
        </w:rPr>
        <w:t xml:space="preserve"> of each 30-second epoch</w:t>
      </w:r>
      <w:r w:rsidRPr="00561768">
        <w:rPr>
          <w:sz w:val="20"/>
          <w:szCs w:val="20"/>
        </w:rPr>
        <w:t xml:space="preserve">. To train the LDA classifier, we manually labeled each epoch </w:t>
      </w:r>
      <w:r>
        <w:rPr>
          <w:sz w:val="20"/>
          <w:szCs w:val="20"/>
        </w:rPr>
        <w:t>for a</w:t>
      </w:r>
      <w:r w:rsidRPr="00561768">
        <w:rPr>
          <w:sz w:val="20"/>
          <w:szCs w:val="20"/>
        </w:rPr>
        <w:t xml:space="preserve"> selected </w:t>
      </w:r>
      <w:r>
        <w:rPr>
          <w:sz w:val="20"/>
          <w:szCs w:val="20"/>
        </w:rPr>
        <w:t xml:space="preserve">set of </w:t>
      </w:r>
      <w:r w:rsidRPr="00561768">
        <w:rPr>
          <w:sz w:val="20"/>
          <w:szCs w:val="20"/>
        </w:rPr>
        <w:t xml:space="preserve">EEGs with different ratios of definite artifact per epoch across the night: 10 EEGs with a ratio of 25-50%; and 10 EEGs with a ratio &gt;50%. After training, the LDA classifier labeled each </w:t>
      </w:r>
      <w:r>
        <w:rPr>
          <w:sz w:val="20"/>
          <w:szCs w:val="20"/>
        </w:rPr>
        <w:t xml:space="preserve">30-second </w:t>
      </w:r>
      <w:r w:rsidRPr="00561768">
        <w:rPr>
          <w:sz w:val="20"/>
          <w:szCs w:val="20"/>
        </w:rPr>
        <w:t>epoch as artifact or no artifact. By comparing these with manually assigned labels, we derived a receiver operating characteristic (ROC) curve. We selected an operating point for rejecting artifactual epochs by maximizing the Youden Index, which yielded a specificity of 86% and sensitivity of 84%. Visual inspection of this operating point confirmed it to be an acceptable tradeoff between retaining high-quality signals and rejecting artifacts.</w:t>
      </w:r>
      <w:r>
        <w:rPr>
          <w:sz w:val="20"/>
          <w:szCs w:val="20"/>
        </w:rPr>
        <w:t xml:space="preserve"> The LDA was run on both F7-O1 and F8-O2 channels. Epochs with artifact either in F7-O1 or F8-O2 are regarded as epochs with artifact.</w:t>
      </w:r>
    </w:p>
    <w:p w14:paraId="33D670FE" w14:textId="77777777" w:rsidR="00D67E9C" w:rsidRDefault="00D67E9C" w:rsidP="001C1B76">
      <w:pPr>
        <w:spacing w:before="240"/>
        <w:jc w:val="both"/>
        <w:rPr>
          <w:sz w:val="20"/>
          <w:szCs w:val="20"/>
        </w:rPr>
      </w:pPr>
    </w:p>
    <w:p w14:paraId="236CB657" w14:textId="77777777" w:rsidR="00D67E9C" w:rsidRDefault="00D67E9C" w:rsidP="00D67E9C">
      <w:pPr>
        <w:spacing w:before="240"/>
        <w:jc w:val="both"/>
        <w:rPr>
          <w:color w:val="000000"/>
          <w:sz w:val="20"/>
          <w:szCs w:val="20"/>
        </w:rPr>
      </w:pPr>
    </w:p>
    <w:p w14:paraId="1C9BF323" w14:textId="15F0597C" w:rsidR="00D67E9C" w:rsidRPr="001C1B76" w:rsidRDefault="00D67E9C" w:rsidP="00EC1F27">
      <w:pPr>
        <w:pStyle w:val="Heading1"/>
      </w:pPr>
      <w:bookmarkStart w:id="7" w:name="_Toc194762197"/>
      <w:r>
        <w:lastRenderedPageBreak/>
        <w:t xml:space="preserve">Supplemental Method. </w:t>
      </w:r>
      <w:r w:rsidR="00EC1F27">
        <w:t xml:space="preserve">Definitions of </w:t>
      </w:r>
      <w:r w:rsidR="00EC1F27" w:rsidRPr="00EC1F27">
        <w:t>dementia, MCI, symptomatic, no</w:t>
      </w:r>
      <w:r w:rsidR="00EC1F27">
        <w:t xml:space="preserve"> </w:t>
      </w:r>
      <w:r w:rsidR="00EC1F27" w:rsidRPr="00EC1F27">
        <w:t>dementia, and healthy groups</w:t>
      </w:r>
      <w:r w:rsidR="00EC1F27">
        <w:t xml:space="preserve"> from the sleep lab</w:t>
      </w:r>
      <w:bookmarkEnd w:id="7"/>
    </w:p>
    <w:p w14:paraId="33AA4145" w14:textId="7956D682" w:rsidR="009A4B62" w:rsidRDefault="00885DBF" w:rsidP="00EC1F27">
      <w:pPr>
        <w:spacing w:before="240"/>
        <w:jc w:val="both"/>
        <w:rPr>
          <w:sz w:val="20"/>
          <w:szCs w:val="20"/>
        </w:rPr>
      </w:pPr>
      <w:r>
        <w:rPr>
          <w:sz w:val="20"/>
          <w:szCs w:val="20"/>
        </w:rPr>
        <w:t xml:space="preserve">The participant groups that </w:t>
      </w:r>
      <w:r w:rsidRPr="00885DBF">
        <w:rPr>
          <w:sz w:val="20"/>
          <w:szCs w:val="20"/>
        </w:rPr>
        <w:t xml:space="preserve">underwent </w:t>
      </w:r>
      <w:r>
        <w:rPr>
          <w:sz w:val="20"/>
          <w:szCs w:val="20"/>
        </w:rPr>
        <w:t xml:space="preserve">overnight </w:t>
      </w:r>
      <w:r w:rsidRPr="00885DBF">
        <w:rPr>
          <w:sz w:val="20"/>
          <w:szCs w:val="20"/>
        </w:rPr>
        <w:t xml:space="preserve">PSG </w:t>
      </w:r>
      <w:r>
        <w:rPr>
          <w:sz w:val="20"/>
          <w:szCs w:val="20"/>
        </w:rPr>
        <w:t xml:space="preserve">at </w:t>
      </w:r>
      <w:r w:rsidRPr="00885DBF">
        <w:rPr>
          <w:sz w:val="20"/>
          <w:szCs w:val="20"/>
        </w:rPr>
        <w:t xml:space="preserve">MGH were categorized into dementia, MCI, symptomatic, nondementia, and healthy groups. </w:t>
      </w:r>
      <w:r>
        <w:rPr>
          <w:sz w:val="20"/>
          <w:szCs w:val="20"/>
        </w:rPr>
        <w:t>They</w:t>
      </w:r>
      <w:r w:rsidRPr="00885DBF">
        <w:rPr>
          <w:sz w:val="20"/>
          <w:szCs w:val="20"/>
        </w:rPr>
        <w:t xml:space="preserve"> were determined by natural language processing applied to the electronic medical record using custom software.</w:t>
      </w:r>
      <w:r w:rsidR="009A4B62" w:rsidRPr="009A4B62">
        <w:rPr>
          <w:sz w:val="20"/>
          <w:szCs w:val="20"/>
        </w:rPr>
        <w:t xml:space="preserve"> </w:t>
      </w:r>
      <w:r w:rsidR="009A4B62" w:rsidRPr="00885DBF">
        <w:rPr>
          <w:sz w:val="20"/>
          <w:szCs w:val="20"/>
        </w:rPr>
        <w:t xml:space="preserve">Notably, in </w:t>
      </w:r>
      <w:r w:rsidR="009A4B62">
        <w:rPr>
          <w:sz w:val="20"/>
          <w:szCs w:val="20"/>
        </w:rPr>
        <w:t>MGH</w:t>
      </w:r>
      <w:r w:rsidR="009A4B62" w:rsidRPr="00885DBF">
        <w:rPr>
          <w:sz w:val="20"/>
          <w:szCs w:val="20"/>
        </w:rPr>
        <w:t xml:space="preserve"> electronic medical record</w:t>
      </w:r>
      <w:r w:rsidR="009A4B62">
        <w:rPr>
          <w:sz w:val="20"/>
          <w:szCs w:val="20"/>
        </w:rPr>
        <w:t>s</w:t>
      </w:r>
      <w:r w:rsidR="009A4B62" w:rsidRPr="00885DBF">
        <w:rPr>
          <w:sz w:val="20"/>
          <w:szCs w:val="20"/>
        </w:rPr>
        <w:t xml:space="preserve">, problem lists are lists of active, reoccurring medical problems for each patient, whereas encounter diagnoses are often preliminary diagnoses that physicians code for each patient encounter. To ensure the </w:t>
      </w:r>
      <w:r w:rsidR="00370A9D">
        <w:rPr>
          <w:sz w:val="20"/>
          <w:szCs w:val="20"/>
        </w:rPr>
        <w:t>accuracy</w:t>
      </w:r>
      <w:r w:rsidR="009A4B62" w:rsidRPr="00885DBF">
        <w:rPr>
          <w:sz w:val="20"/>
          <w:szCs w:val="20"/>
        </w:rPr>
        <w:t xml:space="preserve"> of our dementia and MCI groups, we used the problem list as a criteri</w:t>
      </w:r>
      <w:r w:rsidR="009A4B62">
        <w:rPr>
          <w:sz w:val="20"/>
          <w:szCs w:val="20"/>
        </w:rPr>
        <w:t>on</w:t>
      </w:r>
      <w:r w:rsidR="009A4B62" w:rsidRPr="00885DBF">
        <w:rPr>
          <w:sz w:val="20"/>
          <w:szCs w:val="20"/>
        </w:rPr>
        <w:t xml:space="preserve"> because it is a more reliable source of diagnosis than only encounter diagnoses.</w:t>
      </w:r>
    </w:p>
    <w:p w14:paraId="5DA080DD" w14:textId="67558CB5" w:rsidR="009A4B62" w:rsidRDefault="0087602C" w:rsidP="00EC1F27">
      <w:pPr>
        <w:spacing w:before="240"/>
        <w:jc w:val="both"/>
        <w:rPr>
          <w:sz w:val="20"/>
          <w:szCs w:val="20"/>
        </w:rPr>
      </w:pPr>
      <w:r>
        <w:rPr>
          <w:sz w:val="20"/>
          <w:szCs w:val="20"/>
        </w:rPr>
        <w:t>The i</w:t>
      </w:r>
      <w:r w:rsidR="009A4B62" w:rsidRPr="00B07AD9">
        <w:rPr>
          <w:sz w:val="20"/>
          <w:szCs w:val="20"/>
        </w:rPr>
        <w:t>nclusion criteria are based on data entered in the medical record before the sleep study or at most 1 year after the sleep study unless otherwise stated. A patient was in a group if they met at least 1 of the inclusion criteria and did not meet any of the exclusion criteria. All groups except the healthy group were mutually exclusive.</w:t>
      </w:r>
    </w:p>
    <w:p w14:paraId="7974644C" w14:textId="7354AA21" w:rsidR="00B07AD9" w:rsidRPr="00B07AD9" w:rsidRDefault="00EF2F84" w:rsidP="00EC1F27">
      <w:pPr>
        <w:spacing w:before="240"/>
        <w:rPr>
          <w:sz w:val="20"/>
          <w:szCs w:val="20"/>
        </w:rPr>
      </w:pPr>
      <w:r>
        <w:rPr>
          <w:sz w:val="20"/>
          <w:szCs w:val="20"/>
        </w:rPr>
        <w:t>The definition of the d</w:t>
      </w:r>
      <w:r w:rsidR="00B07AD9" w:rsidRPr="00B07AD9">
        <w:rPr>
          <w:sz w:val="20"/>
          <w:szCs w:val="20"/>
        </w:rPr>
        <w:t>ementia</w:t>
      </w:r>
      <w:r>
        <w:rPr>
          <w:sz w:val="20"/>
          <w:szCs w:val="20"/>
        </w:rPr>
        <w:t xml:space="preserve"> group is:</w:t>
      </w:r>
    </w:p>
    <w:p w14:paraId="0138A6F5" w14:textId="13D048D4" w:rsidR="00B07AD9" w:rsidRPr="00EF2F84" w:rsidRDefault="00B07AD9" w:rsidP="00EC1F27">
      <w:pPr>
        <w:pStyle w:val="ListParagraph"/>
        <w:numPr>
          <w:ilvl w:val="0"/>
          <w:numId w:val="1"/>
        </w:numPr>
        <w:spacing w:before="240"/>
        <w:rPr>
          <w:sz w:val="20"/>
          <w:szCs w:val="20"/>
        </w:rPr>
      </w:pPr>
      <w:r w:rsidRPr="00EF2F84">
        <w:rPr>
          <w:sz w:val="20"/>
          <w:szCs w:val="20"/>
        </w:rPr>
        <w:t>Using &gt;=1 dementia-related medication with a diagnosis containing any dementia keyword</w:t>
      </w:r>
    </w:p>
    <w:p w14:paraId="7569B57B" w14:textId="77777777" w:rsidR="00B07AD9" w:rsidRPr="00EF2F84" w:rsidRDefault="00B07AD9" w:rsidP="00EC1F27">
      <w:pPr>
        <w:pStyle w:val="ListParagraph"/>
        <w:numPr>
          <w:ilvl w:val="0"/>
          <w:numId w:val="1"/>
        </w:numPr>
        <w:spacing w:before="240"/>
        <w:rPr>
          <w:sz w:val="20"/>
          <w:szCs w:val="20"/>
        </w:rPr>
      </w:pPr>
      <w:r w:rsidRPr="00EF2F84">
        <w:rPr>
          <w:sz w:val="20"/>
          <w:szCs w:val="20"/>
        </w:rPr>
        <w:t>Diagnosis in the problem list containing any dementia keywords</w:t>
      </w:r>
    </w:p>
    <w:p w14:paraId="73641D87" w14:textId="77777777" w:rsidR="00B07AD9" w:rsidRPr="00EF2F84" w:rsidRDefault="00B07AD9" w:rsidP="00EC1F27">
      <w:pPr>
        <w:pStyle w:val="ListParagraph"/>
        <w:numPr>
          <w:ilvl w:val="0"/>
          <w:numId w:val="1"/>
        </w:numPr>
        <w:spacing w:before="240"/>
        <w:rPr>
          <w:sz w:val="20"/>
          <w:szCs w:val="20"/>
        </w:rPr>
      </w:pPr>
      <w:r w:rsidRPr="00EF2F84">
        <w:rPr>
          <w:sz w:val="20"/>
          <w:szCs w:val="20"/>
        </w:rPr>
        <w:t>MoCA score &lt;=19 and no MoCA scores &gt;27 after the sleep study</w:t>
      </w:r>
    </w:p>
    <w:p w14:paraId="62CDB45C" w14:textId="77777777" w:rsidR="00B07AD9" w:rsidRDefault="00B07AD9" w:rsidP="00EC1F27">
      <w:pPr>
        <w:pStyle w:val="ListParagraph"/>
        <w:numPr>
          <w:ilvl w:val="0"/>
          <w:numId w:val="1"/>
        </w:numPr>
        <w:spacing w:before="240"/>
        <w:rPr>
          <w:sz w:val="20"/>
          <w:szCs w:val="20"/>
        </w:rPr>
      </w:pPr>
      <w:r w:rsidRPr="00EF2F84">
        <w:rPr>
          <w:sz w:val="20"/>
          <w:szCs w:val="20"/>
        </w:rPr>
        <w:t>MMSE score &lt;=25</w:t>
      </w:r>
    </w:p>
    <w:p w14:paraId="5F1FDB91" w14:textId="1AF6D0D0" w:rsidR="0087602C" w:rsidRPr="0087602C" w:rsidRDefault="0087602C" w:rsidP="00EC1F27">
      <w:pPr>
        <w:spacing w:before="240"/>
        <w:ind w:left="360"/>
        <w:rPr>
          <w:sz w:val="20"/>
          <w:szCs w:val="20"/>
        </w:rPr>
      </w:pPr>
      <w:r>
        <w:rPr>
          <w:sz w:val="20"/>
          <w:szCs w:val="20"/>
        </w:rPr>
        <w:t>Note:</w:t>
      </w:r>
      <w:r>
        <w:rPr>
          <w:sz w:val="20"/>
          <w:szCs w:val="20"/>
        </w:rPr>
        <w:br/>
      </w:r>
      <w:r w:rsidRPr="0087602C">
        <w:rPr>
          <w:sz w:val="20"/>
          <w:szCs w:val="20"/>
        </w:rPr>
        <w:t xml:space="preserve">Dementia-related medications include </w:t>
      </w:r>
      <w:proofErr w:type="spellStart"/>
      <w:r w:rsidRPr="0087602C">
        <w:rPr>
          <w:sz w:val="20"/>
          <w:szCs w:val="20"/>
        </w:rPr>
        <w:t>aricept</w:t>
      </w:r>
      <w:proofErr w:type="spellEnd"/>
      <w:r w:rsidRPr="0087602C">
        <w:rPr>
          <w:sz w:val="20"/>
          <w:szCs w:val="20"/>
        </w:rPr>
        <w:t xml:space="preserve">, donepezil, </w:t>
      </w:r>
      <w:proofErr w:type="spellStart"/>
      <w:r w:rsidRPr="0087602C">
        <w:rPr>
          <w:sz w:val="20"/>
          <w:szCs w:val="20"/>
        </w:rPr>
        <w:t>exelon</w:t>
      </w:r>
      <w:proofErr w:type="spellEnd"/>
      <w:r w:rsidRPr="0087602C">
        <w:rPr>
          <w:sz w:val="20"/>
          <w:szCs w:val="20"/>
        </w:rPr>
        <w:t xml:space="preserve">, rivastigmine, memantine, </w:t>
      </w:r>
      <w:proofErr w:type="spellStart"/>
      <w:r w:rsidRPr="0087602C">
        <w:rPr>
          <w:sz w:val="20"/>
          <w:szCs w:val="20"/>
        </w:rPr>
        <w:t>namenda</w:t>
      </w:r>
      <w:proofErr w:type="spellEnd"/>
      <w:r w:rsidRPr="0087602C">
        <w:rPr>
          <w:sz w:val="20"/>
          <w:szCs w:val="20"/>
        </w:rPr>
        <w:t xml:space="preserve">, </w:t>
      </w:r>
      <w:proofErr w:type="spellStart"/>
      <w:r w:rsidRPr="0087602C">
        <w:rPr>
          <w:sz w:val="20"/>
          <w:szCs w:val="20"/>
        </w:rPr>
        <w:t>namzaric</w:t>
      </w:r>
      <w:proofErr w:type="spellEnd"/>
      <w:r w:rsidRPr="0087602C">
        <w:rPr>
          <w:sz w:val="20"/>
          <w:szCs w:val="20"/>
        </w:rPr>
        <w:t xml:space="preserve">, </w:t>
      </w:r>
      <w:proofErr w:type="spellStart"/>
      <w:r w:rsidRPr="0087602C">
        <w:rPr>
          <w:sz w:val="20"/>
          <w:szCs w:val="20"/>
        </w:rPr>
        <w:t>razadyne</w:t>
      </w:r>
      <w:proofErr w:type="spellEnd"/>
      <w:r w:rsidRPr="0087602C">
        <w:rPr>
          <w:sz w:val="20"/>
          <w:szCs w:val="20"/>
        </w:rPr>
        <w:t>, and galantamine.</w:t>
      </w:r>
      <w:r>
        <w:rPr>
          <w:sz w:val="20"/>
          <w:szCs w:val="20"/>
        </w:rPr>
        <w:br/>
      </w:r>
      <w:r w:rsidRPr="0087602C">
        <w:rPr>
          <w:sz w:val="20"/>
          <w:szCs w:val="20"/>
        </w:rPr>
        <w:t>Dementia keywords were dementia and Alzheimer</w:t>
      </w:r>
      <w:r w:rsidR="00EC1F27">
        <w:rPr>
          <w:sz w:val="20"/>
          <w:szCs w:val="20"/>
        </w:rPr>
        <w:t>’s</w:t>
      </w:r>
      <w:r w:rsidRPr="0087602C">
        <w:rPr>
          <w:sz w:val="20"/>
          <w:szCs w:val="20"/>
        </w:rPr>
        <w:t>.</w:t>
      </w:r>
    </w:p>
    <w:p w14:paraId="26FA5464" w14:textId="48B4A675" w:rsidR="00B07AD9" w:rsidRPr="00B07AD9" w:rsidRDefault="00EF2F84" w:rsidP="00EC1F27">
      <w:pPr>
        <w:spacing w:before="240"/>
        <w:rPr>
          <w:sz w:val="20"/>
          <w:szCs w:val="20"/>
        </w:rPr>
      </w:pPr>
      <w:r>
        <w:rPr>
          <w:sz w:val="20"/>
          <w:szCs w:val="20"/>
        </w:rPr>
        <w:t xml:space="preserve">The definition of the </w:t>
      </w:r>
      <w:r w:rsidR="00B07AD9" w:rsidRPr="00B07AD9">
        <w:rPr>
          <w:sz w:val="20"/>
          <w:szCs w:val="20"/>
        </w:rPr>
        <w:t>MCI</w:t>
      </w:r>
      <w:r>
        <w:rPr>
          <w:sz w:val="20"/>
          <w:szCs w:val="20"/>
        </w:rPr>
        <w:t xml:space="preserve"> group is</w:t>
      </w:r>
      <w:r w:rsidR="00B07AD9" w:rsidRPr="00B07AD9">
        <w:rPr>
          <w:sz w:val="20"/>
          <w:szCs w:val="20"/>
        </w:rPr>
        <w:t>:</w:t>
      </w:r>
    </w:p>
    <w:p w14:paraId="6C8447BB" w14:textId="46259EAD" w:rsidR="00B07AD9" w:rsidRPr="00EF2F84" w:rsidRDefault="00B07AD9" w:rsidP="00EC1F27">
      <w:pPr>
        <w:pStyle w:val="ListParagraph"/>
        <w:numPr>
          <w:ilvl w:val="0"/>
          <w:numId w:val="2"/>
        </w:numPr>
        <w:spacing w:before="240"/>
        <w:rPr>
          <w:sz w:val="20"/>
          <w:szCs w:val="20"/>
        </w:rPr>
      </w:pPr>
      <w:r w:rsidRPr="00EF2F84">
        <w:rPr>
          <w:sz w:val="20"/>
          <w:szCs w:val="20"/>
        </w:rPr>
        <w:t>Diagnosis in the problem list containing any MCI keyword</w:t>
      </w:r>
    </w:p>
    <w:p w14:paraId="4A14AF66" w14:textId="463F6B21" w:rsidR="00EC1F27" w:rsidRPr="00EC1F27" w:rsidRDefault="00B07AD9" w:rsidP="00EC1F27">
      <w:pPr>
        <w:pStyle w:val="ListParagraph"/>
        <w:numPr>
          <w:ilvl w:val="0"/>
          <w:numId w:val="2"/>
        </w:numPr>
        <w:spacing w:before="240"/>
        <w:rPr>
          <w:sz w:val="20"/>
          <w:szCs w:val="20"/>
        </w:rPr>
      </w:pPr>
      <w:r w:rsidRPr="00EF2F84">
        <w:rPr>
          <w:sz w:val="20"/>
          <w:szCs w:val="20"/>
        </w:rPr>
        <w:t>MoCA score 20-25 and no MoCA scores &gt;27 after the sleep study</w:t>
      </w:r>
    </w:p>
    <w:p w14:paraId="6DF9326E" w14:textId="42A471D2" w:rsidR="00EC1F27" w:rsidRPr="00EC1F27" w:rsidRDefault="00EC1F27" w:rsidP="00EC1F27">
      <w:pPr>
        <w:spacing w:before="240"/>
        <w:ind w:left="360"/>
        <w:rPr>
          <w:sz w:val="20"/>
          <w:szCs w:val="20"/>
        </w:rPr>
      </w:pPr>
      <w:r>
        <w:rPr>
          <w:sz w:val="20"/>
          <w:szCs w:val="20"/>
        </w:rPr>
        <w:t>Note:</w:t>
      </w:r>
      <w:r>
        <w:rPr>
          <w:sz w:val="20"/>
          <w:szCs w:val="20"/>
        </w:rPr>
        <w:br/>
      </w:r>
      <w:r w:rsidRPr="00EC1F27">
        <w:rPr>
          <w:sz w:val="20"/>
          <w:szCs w:val="20"/>
        </w:rPr>
        <w:t>MCI keywords were MCI, mild cognitive impairment, and minimal cognitive impairment.</w:t>
      </w:r>
    </w:p>
    <w:p w14:paraId="05508490" w14:textId="5F716765" w:rsidR="00B07AD9" w:rsidRPr="00B07AD9" w:rsidRDefault="00EF2F84" w:rsidP="00EC1F27">
      <w:pPr>
        <w:spacing w:before="240"/>
        <w:rPr>
          <w:sz w:val="20"/>
          <w:szCs w:val="20"/>
        </w:rPr>
      </w:pPr>
      <w:r>
        <w:rPr>
          <w:sz w:val="20"/>
          <w:szCs w:val="20"/>
        </w:rPr>
        <w:t>The definition of the s</w:t>
      </w:r>
      <w:r w:rsidR="00B07AD9" w:rsidRPr="00B07AD9">
        <w:rPr>
          <w:sz w:val="20"/>
          <w:szCs w:val="20"/>
        </w:rPr>
        <w:t>ymptomatic</w:t>
      </w:r>
      <w:r>
        <w:rPr>
          <w:sz w:val="20"/>
          <w:szCs w:val="20"/>
        </w:rPr>
        <w:t xml:space="preserve"> grou</w:t>
      </w:r>
      <w:r w:rsidR="009A4B62">
        <w:rPr>
          <w:sz w:val="20"/>
          <w:szCs w:val="20"/>
        </w:rPr>
        <w:t>p is</w:t>
      </w:r>
      <w:r w:rsidR="00B07AD9" w:rsidRPr="00B07AD9">
        <w:rPr>
          <w:sz w:val="20"/>
          <w:szCs w:val="20"/>
        </w:rPr>
        <w:t>:</w:t>
      </w:r>
    </w:p>
    <w:p w14:paraId="7CFA4407" w14:textId="3E270BD6" w:rsidR="00B07AD9" w:rsidRDefault="00B07AD9" w:rsidP="00EC1F27">
      <w:pPr>
        <w:pStyle w:val="ListParagraph"/>
        <w:numPr>
          <w:ilvl w:val="0"/>
          <w:numId w:val="2"/>
        </w:numPr>
        <w:spacing w:before="240"/>
        <w:rPr>
          <w:sz w:val="20"/>
          <w:szCs w:val="20"/>
        </w:rPr>
      </w:pPr>
      <w:r w:rsidRPr="009A4B62">
        <w:rPr>
          <w:sz w:val="20"/>
          <w:szCs w:val="20"/>
        </w:rPr>
        <w:t>Diagnosis containing any dementia or dementia-related keyword in the encounter diagnosis, problem list, and/or medical history</w:t>
      </w:r>
    </w:p>
    <w:p w14:paraId="5FB049B9" w14:textId="40F17CBA" w:rsidR="009A4B62" w:rsidRPr="009A4B62" w:rsidRDefault="00EC1F27" w:rsidP="00EC1F27">
      <w:pPr>
        <w:spacing w:before="240"/>
        <w:ind w:left="360"/>
        <w:rPr>
          <w:sz w:val="20"/>
          <w:szCs w:val="20"/>
        </w:rPr>
      </w:pPr>
      <w:r>
        <w:rPr>
          <w:sz w:val="20"/>
          <w:szCs w:val="20"/>
        </w:rPr>
        <w:t>Note:</w:t>
      </w:r>
      <w:r>
        <w:rPr>
          <w:sz w:val="20"/>
          <w:szCs w:val="20"/>
        </w:rPr>
        <w:br/>
      </w:r>
      <w:r w:rsidRPr="00B07AD9">
        <w:rPr>
          <w:sz w:val="20"/>
          <w:szCs w:val="20"/>
        </w:rPr>
        <w:t>Dementia-related keywords were cognitive, memory, amnesia, agnosia, apraxia, aphasia, and mental.</w:t>
      </w:r>
      <w:r>
        <w:rPr>
          <w:sz w:val="20"/>
          <w:szCs w:val="20"/>
        </w:rPr>
        <w:br/>
      </w:r>
      <w:r w:rsidR="009A4B62" w:rsidRPr="009A4B62">
        <w:rPr>
          <w:sz w:val="20"/>
          <w:szCs w:val="20"/>
        </w:rPr>
        <w:t>We used encounter diagnosis as a criterion for the symptomatic group to make the symptomatic group inclusive of any patients with potential cognitive concerns and the nondementia group exclusively asymptomatic (i.e., the nondementia group was obtained by excluding the aforementioned groups).</w:t>
      </w:r>
    </w:p>
    <w:p w14:paraId="24692073" w14:textId="6C634D9F" w:rsidR="00B07AD9" w:rsidRPr="00B07AD9" w:rsidRDefault="009A4B62" w:rsidP="00EC1F27">
      <w:pPr>
        <w:spacing w:before="240"/>
        <w:rPr>
          <w:sz w:val="20"/>
          <w:szCs w:val="20"/>
        </w:rPr>
      </w:pPr>
      <w:r>
        <w:rPr>
          <w:sz w:val="20"/>
          <w:szCs w:val="20"/>
        </w:rPr>
        <w:lastRenderedPageBreak/>
        <w:t>The definition of the n</w:t>
      </w:r>
      <w:r w:rsidR="00B07AD9" w:rsidRPr="00B07AD9">
        <w:rPr>
          <w:sz w:val="20"/>
          <w:szCs w:val="20"/>
        </w:rPr>
        <w:t>o</w:t>
      </w:r>
      <w:r>
        <w:rPr>
          <w:sz w:val="20"/>
          <w:szCs w:val="20"/>
        </w:rPr>
        <w:t xml:space="preserve"> </w:t>
      </w:r>
      <w:r w:rsidR="00B07AD9" w:rsidRPr="00B07AD9">
        <w:rPr>
          <w:sz w:val="20"/>
          <w:szCs w:val="20"/>
        </w:rPr>
        <w:t>dementia</w:t>
      </w:r>
      <w:r>
        <w:rPr>
          <w:sz w:val="20"/>
          <w:szCs w:val="20"/>
        </w:rPr>
        <w:t xml:space="preserve"> group is</w:t>
      </w:r>
      <w:r w:rsidR="00B07AD9" w:rsidRPr="00B07AD9">
        <w:rPr>
          <w:sz w:val="20"/>
          <w:szCs w:val="20"/>
        </w:rPr>
        <w:t>:</w:t>
      </w:r>
    </w:p>
    <w:p w14:paraId="700EACD9" w14:textId="572B446F" w:rsidR="00B07AD9" w:rsidRDefault="00B07AD9" w:rsidP="00EC1F27">
      <w:pPr>
        <w:pStyle w:val="ListParagraph"/>
        <w:numPr>
          <w:ilvl w:val="0"/>
          <w:numId w:val="2"/>
        </w:numPr>
        <w:spacing w:before="240"/>
        <w:rPr>
          <w:sz w:val="20"/>
          <w:szCs w:val="20"/>
        </w:rPr>
      </w:pPr>
      <w:r w:rsidRPr="009A4B62">
        <w:rPr>
          <w:sz w:val="20"/>
          <w:szCs w:val="20"/>
        </w:rPr>
        <w:t>Does not belong to dementia, MCI, or symptomatic group but may have a prior history of neurological or psychiatric disease in an encounter diagnosis, problem list, and/or medical history</w:t>
      </w:r>
    </w:p>
    <w:p w14:paraId="64DAAF7B" w14:textId="599F90C6" w:rsidR="00EC1F27" w:rsidRPr="00EC1F27" w:rsidRDefault="00EC1F27" w:rsidP="00EC1F27">
      <w:pPr>
        <w:spacing w:before="240"/>
        <w:ind w:left="360"/>
        <w:rPr>
          <w:sz w:val="20"/>
          <w:szCs w:val="20"/>
        </w:rPr>
      </w:pPr>
      <w:r>
        <w:rPr>
          <w:sz w:val="20"/>
          <w:szCs w:val="20"/>
        </w:rPr>
        <w:t>Note:</w:t>
      </w:r>
      <w:r>
        <w:rPr>
          <w:sz w:val="20"/>
          <w:szCs w:val="20"/>
        </w:rPr>
        <w:br/>
      </w:r>
      <w:r w:rsidRPr="00EC1F27">
        <w:rPr>
          <w:sz w:val="20"/>
          <w:szCs w:val="20"/>
        </w:rPr>
        <w:t>Neurological or psychiatric disease</w:t>
      </w:r>
      <w:r>
        <w:rPr>
          <w:sz w:val="20"/>
          <w:szCs w:val="20"/>
        </w:rPr>
        <w:t>s</w:t>
      </w:r>
      <w:r w:rsidRPr="00EC1F27">
        <w:rPr>
          <w:sz w:val="20"/>
          <w:szCs w:val="20"/>
        </w:rPr>
        <w:t xml:space="preserve"> included cerebral hemorrhage, Parkinsonism, mood disorder, psychotic disorder, intracranial hypertension, cerebral palsy, epilepsy, hydrocephalus, encephalopathy, multiple sclerosis, and delirium.</w:t>
      </w:r>
    </w:p>
    <w:p w14:paraId="5E2A66CB" w14:textId="063D7943" w:rsidR="00B07AD9" w:rsidRPr="00B07AD9" w:rsidRDefault="009A4B62" w:rsidP="00EC1F27">
      <w:pPr>
        <w:spacing w:before="240"/>
        <w:rPr>
          <w:sz w:val="20"/>
          <w:szCs w:val="20"/>
        </w:rPr>
      </w:pPr>
      <w:r>
        <w:rPr>
          <w:sz w:val="20"/>
          <w:szCs w:val="20"/>
        </w:rPr>
        <w:t>The definition of the h</w:t>
      </w:r>
      <w:r w:rsidR="00B07AD9" w:rsidRPr="00B07AD9">
        <w:rPr>
          <w:sz w:val="20"/>
          <w:szCs w:val="20"/>
        </w:rPr>
        <w:t>ealthy</w:t>
      </w:r>
      <w:r>
        <w:rPr>
          <w:sz w:val="20"/>
          <w:szCs w:val="20"/>
        </w:rPr>
        <w:t xml:space="preserve"> control group is</w:t>
      </w:r>
      <w:r w:rsidR="00B07AD9" w:rsidRPr="00B07AD9">
        <w:rPr>
          <w:sz w:val="20"/>
          <w:szCs w:val="20"/>
        </w:rPr>
        <w:t>:</w:t>
      </w:r>
    </w:p>
    <w:p w14:paraId="6A2C374C" w14:textId="7DFE9477" w:rsidR="00EC1F27" w:rsidRDefault="00B07AD9" w:rsidP="00EC1F27">
      <w:pPr>
        <w:pStyle w:val="ListParagraph"/>
        <w:numPr>
          <w:ilvl w:val="0"/>
          <w:numId w:val="2"/>
        </w:numPr>
        <w:spacing w:before="240"/>
        <w:rPr>
          <w:sz w:val="20"/>
          <w:szCs w:val="20"/>
        </w:rPr>
      </w:pPr>
      <w:r w:rsidRPr="009A4B62">
        <w:rPr>
          <w:sz w:val="20"/>
          <w:szCs w:val="20"/>
        </w:rPr>
        <w:t>Subset of the no</w:t>
      </w:r>
      <w:r w:rsidR="009A4B62">
        <w:rPr>
          <w:sz w:val="20"/>
          <w:szCs w:val="20"/>
        </w:rPr>
        <w:t xml:space="preserve"> </w:t>
      </w:r>
      <w:r w:rsidRPr="009A4B62">
        <w:rPr>
          <w:sz w:val="20"/>
          <w:szCs w:val="20"/>
        </w:rPr>
        <w:t>dementia group with no history of neurological or psychiatric disease in encounter diagnosis, problem list, and/or medical history</w:t>
      </w:r>
    </w:p>
    <w:p w14:paraId="3E87AC03" w14:textId="2BD9A212" w:rsidR="00EC1F27" w:rsidRPr="00EC1F27" w:rsidRDefault="00EC1F27" w:rsidP="00EC1F27">
      <w:pPr>
        <w:spacing w:before="240"/>
        <w:ind w:left="360"/>
        <w:rPr>
          <w:sz w:val="20"/>
          <w:szCs w:val="20"/>
        </w:rPr>
      </w:pPr>
      <w:r w:rsidRPr="00EC1F27">
        <w:rPr>
          <w:sz w:val="20"/>
          <w:szCs w:val="20"/>
        </w:rPr>
        <w:t>Note:</w:t>
      </w:r>
      <w:r w:rsidRPr="00EC1F27">
        <w:rPr>
          <w:sz w:val="20"/>
          <w:szCs w:val="20"/>
        </w:rPr>
        <w:br/>
        <w:t>Neurological or psychiatric disease</w:t>
      </w:r>
      <w:r>
        <w:rPr>
          <w:sz w:val="20"/>
          <w:szCs w:val="20"/>
        </w:rPr>
        <w:t>s</w:t>
      </w:r>
      <w:r w:rsidRPr="00EC1F27">
        <w:rPr>
          <w:sz w:val="20"/>
          <w:szCs w:val="20"/>
        </w:rPr>
        <w:t xml:space="preserve"> included cerebral hemorrhage, Parkinsonism, mood disorder, psychotic disorder, intracranial hypertension, cerebral palsy, epilepsy, hydrocephalus, encephalopathy, multiple sclerosis, and delirium.</w:t>
      </w:r>
    </w:p>
    <w:p w14:paraId="027ED0FF" w14:textId="3955CE57" w:rsidR="00885DBF" w:rsidRPr="001C1B76" w:rsidRDefault="00885DBF" w:rsidP="00885DBF">
      <w:pPr>
        <w:spacing w:before="240"/>
        <w:jc w:val="both"/>
        <w:rPr>
          <w:sz w:val="20"/>
          <w:szCs w:val="20"/>
        </w:rPr>
      </w:pPr>
    </w:p>
    <w:sectPr w:rsidR="00885DBF" w:rsidRPr="001C1B76">
      <w:footerReference w:type="even" r:id="rId19"/>
      <w:footerReference w:type="default" r:id="rId20"/>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FABD7" w14:textId="77777777" w:rsidR="00790657" w:rsidRDefault="00790657">
      <w:r>
        <w:separator/>
      </w:r>
    </w:p>
  </w:endnote>
  <w:endnote w:type="continuationSeparator" w:id="0">
    <w:p w14:paraId="7ED51EFD" w14:textId="77777777" w:rsidR="00790657" w:rsidRDefault="00790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engXian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erriweather">
    <w:panose1 w:val="00000500000000000000"/>
    <w:charset w:val="4D"/>
    <w:family w:val="auto"/>
    <w:pitch w:val="variable"/>
    <w:sig w:usb0="20000207" w:usb1="00000002" w:usb2="00000000" w:usb3="00000000" w:csb0="00000197"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947D7" w14:textId="77777777" w:rsidR="002624A6" w:rsidRDefault="00000000">
    <w:pPr>
      <w:pBdr>
        <w:top w:val="nil"/>
        <w:left w:val="nil"/>
        <w:bottom w:val="nil"/>
        <w:right w:val="nil"/>
        <w:between w:val="nil"/>
      </w:pBdr>
      <w:tabs>
        <w:tab w:val="center" w:pos="4680"/>
        <w:tab w:val="right" w:pos="9360"/>
      </w:tabs>
      <w:jc w:val="right"/>
      <w:rPr>
        <w:rFonts w:ascii="Arial" w:eastAsia="Arial" w:hAnsi="Arial" w:cs="Arial"/>
        <w:color w:val="000000"/>
        <w:sz w:val="22"/>
        <w:szCs w:val="22"/>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Pr>
        <w:rFonts w:ascii="Arial" w:eastAsia="Arial" w:hAnsi="Arial" w:cs="Arial"/>
        <w:color w:val="000000"/>
        <w:sz w:val="22"/>
        <w:szCs w:val="22"/>
      </w:rPr>
      <w:fldChar w:fldCharType="end"/>
    </w:r>
  </w:p>
  <w:p w14:paraId="3335A8CC" w14:textId="77777777" w:rsidR="002624A6" w:rsidRDefault="002624A6">
    <w:pPr>
      <w:pBdr>
        <w:top w:val="nil"/>
        <w:left w:val="nil"/>
        <w:bottom w:val="nil"/>
        <w:right w:val="nil"/>
        <w:between w:val="nil"/>
      </w:pBdr>
      <w:tabs>
        <w:tab w:val="center" w:pos="4680"/>
        <w:tab w:val="right" w:pos="9360"/>
      </w:tabs>
      <w:ind w:right="360"/>
      <w:rPr>
        <w:rFonts w:ascii="Arial" w:eastAsia="Arial" w:hAnsi="Arial" w:cs="Arial"/>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BE3FC" w14:textId="77777777" w:rsidR="002624A6" w:rsidRDefault="00000000">
    <w:pPr>
      <w:pBdr>
        <w:top w:val="nil"/>
        <w:left w:val="nil"/>
        <w:bottom w:val="nil"/>
        <w:right w:val="nil"/>
        <w:between w:val="nil"/>
      </w:pBdr>
      <w:tabs>
        <w:tab w:val="center" w:pos="4680"/>
        <w:tab w:val="right" w:pos="9360"/>
      </w:tabs>
      <w:jc w:val="right"/>
      <w:rPr>
        <w:rFonts w:ascii="Arial" w:eastAsia="Arial" w:hAnsi="Arial" w:cs="Arial"/>
        <w:color w:val="000000"/>
        <w:sz w:val="22"/>
        <w:szCs w:val="22"/>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561768">
      <w:rPr>
        <w:rFonts w:ascii="Arial" w:eastAsia="Arial" w:hAnsi="Arial" w:cs="Arial"/>
        <w:noProof/>
        <w:color w:val="000000"/>
        <w:sz w:val="22"/>
        <w:szCs w:val="22"/>
      </w:rPr>
      <w:t>1</w:t>
    </w:r>
    <w:r>
      <w:rPr>
        <w:rFonts w:ascii="Arial" w:eastAsia="Arial" w:hAnsi="Arial" w:cs="Arial"/>
        <w:color w:val="000000"/>
        <w:sz w:val="22"/>
        <w:szCs w:val="22"/>
      </w:rPr>
      <w:fldChar w:fldCharType="end"/>
    </w:r>
  </w:p>
  <w:p w14:paraId="6A46077F" w14:textId="77777777" w:rsidR="002624A6" w:rsidRDefault="002624A6">
    <w:pPr>
      <w:pBdr>
        <w:top w:val="nil"/>
        <w:left w:val="nil"/>
        <w:bottom w:val="nil"/>
        <w:right w:val="nil"/>
        <w:between w:val="nil"/>
      </w:pBdr>
      <w:tabs>
        <w:tab w:val="center" w:pos="4680"/>
        <w:tab w:val="right" w:pos="9360"/>
      </w:tabs>
      <w:ind w:right="360"/>
      <w:rPr>
        <w:rFonts w:ascii="Arial" w:eastAsia="Arial" w:hAnsi="Arial" w:cs="Arial"/>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ECE61" w14:textId="77777777" w:rsidR="00790657" w:rsidRDefault="00790657">
      <w:r>
        <w:separator/>
      </w:r>
    </w:p>
  </w:footnote>
  <w:footnote w:type="continuationSeparator" w:id="0">
    <w:p w14:paraId="1B4F2BE4" w14:textId="77777777" w:rsidR="00790657" w:rsidRDefault="007906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35349E"/>
    <w:multiLevelType w:val="hybridMultilevel"/>
    <w:tmpl w:val="906C1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44271F4"/>
    <w:multiLevelType w:val="hybridMultilevel"/>
    <w:tmpl w:val="CC0C8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3005510">
    <w:abstractNumId w:val="1"/>
  </w:num>
  <w:num w:numId="2" w16cid:durableId="730006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4A6"/>
    <w:rsid w:val="000E40C7"/>
    <w:rsid w:val="00112C48"/>
    <w:rsid w:val="00172118"/>
    <w:rsid w:val="00177558"/>
    <w:rsid w:val="001C1B76"/>
    <w:rsid w:val="002624A6"/>
    <w:rsid w:val="00281F53"/>
    <w:rsid w:val="00300932"/>
    <w:rsid w:val="00370A9D"/>
    <w:rsid w:val="00430D8F"/>
    <w:rsid w:val="0047264A"/>
    <w:rsid w:val="00561768"/>
    <w:rsid w:val="00790657"/>
    <w:rsid w:val="007F5365"/>
    <w:rsid w:val="0087602C"/>
    <w:rsid w:val="00885DBF"/>
    <w:rsid w:val="00977914"/>
    <w:rsid w:val="009A4B62"/>
    <w:rsid w:val="009A55F4"/>
    <w:rsid w:val="00A07BD8"/>
    <w:rsid w:val="00AA7D09"/>
    <w:rsid w:val="00B07AD9"/>
    <w:rsid w:val="00BC1FDE"/>
    <w:rsid w:val="00BC7FD4"/>
    <w:rsid w:val="00BE3FBB"/>
    <w:rsid w:val="00D67E9C"/>
    <w:rsid w:val="00EC1F27"/>
    <w:rsid w:val="00ED6E66"/>
    <w:rsid w:val="00EF2F84"/>
    <w:rsid w:val="00F120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78E150E"/>
  <w15:docId w15:val="{8F8F9147-F881-9544-BA56-5BB9AD964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B2A"/>
  </w:style>
  <w:style w:type="paragraph" w:styleId="Heading1">
    <w:name w:val="heading 1"/>
    <w:basedOn w:val="Normal"/>
    <w:next w:val="Normal"/>
    <w:link w:val="Heading1Char"/>
    <w:uiPriority w:val="9"/>
    <w:qFormat/>
    <w:rsid w:val="00255B2A"/>
    <w:pPr>
      <w:keepNext/>
      <w:keepLines/>
      <w:spacing w:before="240" w:line="276" w:lineRule="auto"/>
      <w:outlineLvl w:val="0"/>
    </w:pPr>
    <w:rPr>
      <w:rFonts w:eastAsiaTheme="majorEastAsia" w:cstheme="majorBidi"/>
      <w:b/>
      <w:color w:val="000000" w:themeColor="text1"/>
      <w:szCs w:val="32"/>
      <w:lang w:val="en"/>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0B46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4678"/>
    <w:pPr>
      <w:tabs>
        <w:tab w:val="center" w:pos="4680"/>
        <w:tab w:val="right" w:pos="9360"/>
      </w:tabs>
    </w:pPr>
    <w:rPr>
      <w:rFonts w:ascii="Arial" w:eastAsia="Arial" w:hAnsi="Arial" w:cs="Arial"/>
      <w:sz w:val="22"/>
      <w:szCs w:val="22"/>
      <w:lang w:val="en"/>
    </w:rPr>
  </w:style>
  <w:style w:type="character" w:customStyle="1" w:styleId="HeaderChar">
    <w:name w:val="Header Char"/>
    <w:basedOn w:val="DefaultParagraphFont"/>
    <w:link w:val="Header"/>
    <w:uiPriority w:val="99"/>
    <w:rsid w:val="000B4678"/>
    <w:rPr>
      <w:rFonts w:ascii="Arial" w:eastAsia="Arial" w:hAnsi="Arial" w:cs="Arial"/>
      <w:kern w:val="0"/>
      <w:sz w:val="22"/>
      <w:szCs w:val="22"/>
      <w:lang w:val="en"/>
    </w:rPr>
  </w:style>
  <w:style w:type="paragraph" w:styleId="Footer">
    <w:name w:val="footer"/>
    <w:basedOn w:val="Normal"/>
    <w:link w:val="FooterChar"/>
    <w:uiPriority w:val="99"/>
    <w:unhideWhenUsed/>
    <w:rsid w:val="000B4678"/>
    <w:pPr>
      <w:tabs>
        <w:tab w:val="center" w:pos="4680"/>
        <w:tab w:val="right" w:pos="9360"/>
      </w:tabs>
    </w:pPr>
    <w:rPr>
      <w:rFonts w:ascii="Arial" w:eastAsia="Arial" w:hAnsi="Arial" w:cs="Arial"/>
      <w:sz w:val="22"/>
      <w:szCs w:val="22"/>
      <w:lang w:val="en"/>
    </w:rPr>
  </w:style>
  <w:style w:type="character" w:customStyle="1" w:styleId="FooterChar">
    <w:name w:val="Footer Char"/>
    <w:basedOn w:val="DefaultParagraphFont"/>
    <w:link w:val="Footer"/>
    <w:uiPriority w:val="99"/>
    <w:rsid w:val="000B4678"/>
    <w:rPr>
      <w:rFonts w:ascii="Arial" w:eastAsia="Arial" w:hAnsi="Arial" w:cs="Arial"/>
      <w:kern w:val="0"/>
      <w:sz w:val="22"/>
      <w:szCs w:val="22"/>
      <w:lang w:val="en"/>
    </w:rPr>
  </w:style>
  <w:style w:type="character" w:styleId="CommentReference">
    <w:name w:val="annotation reference"/>
    <w:basedOn w:val="DefaultParagraphFont"/>
    <w:uiPriority w:val="99"/>
    <w:semiHidden/>
    <w:unhideWhenUsed/>
    <w:rsid w:val="000B4678"/>
    <w:rPr>
      <w:sz w:val="16"/>
      <w:szCs w:val="16"/>
    </w:rPr>
  </w:style>
  <w:style w:type="paragraph" w:styleId="CommentText">
    <w:name w:val="annotation text"/>
    <w:basedOn w:val="Normal"/>
    <w:link w:val="CommentTextChar"/>
    <w:uiPriority w:val="99"/>
    <w:semiHidden/>
    <w:unhideWhenUsed/>
    <w:rsid w:val="000B4678"/>
    <w:rPr>
      <w:rFonts w:ascii="Arial" w:eastAsia="Arial" w:hAnsi="Arial" w:cs="Arial"/>
      <w:sz w:val="20"/>
      <w:szCs w:val="20"/>
      <w:lang w:val="en"/>
    </w:rPr>
  </w:style>
  <w:style w:type="character" w:customStyle="1" w:styleId="CommentTextChar">
    <w:name w:val="Comment Text Char"/>
    <w:basedOn w:val="DefaultParagraphFont"/>
    <w:link w:val="CommentText"/>
    <w:uiPriority w:val="99"/>
    <w:semiHidden/>
    <w:rsid w:val="000B4678"/>
    <w:rPr>
      <w:rFonts w:ascii="Arial" w:eastAsia="Arial" w:hAnsi="Arial" w:cs="Arial"/>
      <w:kern w:val="0"/>
      <w:sz w:val="20"/>
      <w:szCs w:val="20"/>
      <w:lang w:val="en"/>
    </w:rPr>
  </w:style>
  <w:style w:type="paragraph" w:styleId="CommentSubject">
    <w:name w:val="annotation subject"/>
    <w:basedOn w:val="CommentText"/>
    <w:next w:val="CommentText"/>
    <w:link w:val="CommentSubjectChar"/>
    <w:uiPriority w:val="99"/>
    <w:semiHidden/>
    <w:unhideWhenUsed/>
    <w:rsid w:val="000B4678"/>
    <w:rPr>
      <w:b/>
      <w:bCs/>
    </w:rPr>
  </w:style>
  <w:style w:type="character" w:customStyle="1" w:styleId="CommentSubjectChar">
    <w:name w:val="Comment Subject Char"/>
    <w:basedOn w:val="CommentTextChar"/>
    <w:link w:val="CommentSubject"/>
    <w:uiPriority w:val="99"/>
    <w:semiHidden/>
    <w:rsid w:val="000B4678"/>
    <w:rPr>
      <w:rFonts w:ascii="Arial" w:eastAsia="Arial" w:hAnsi="Arial" w:cs="Arial"/>
      <w:b/>
      <w:bCs/>
      <w:kern w:val="0"/>
      <w:sz w:val="20"/>
      <w:szCs w:val="20"/>
      <w:lang w:val="en"/>
    </w:rPr>
  </w:style>
  <w:style w:type="character" w:styleId="PageNumber">
    <w:name w:val="page number"/>
    <w:basedOn w:val="DefaultParagraphFont"/>
    <w:uiPriority w:val="99"/>
    <w:semiHidden/>
    <w:unhideWhenUsed/>
    <w:rsid w:val="0096699E"/>
  </w:style>
  <w:style w:type="character" w:customStyle="1" w:styleId="Heading1Char">
    <w:name w:val="Heading 1 Char"/>
    <w:basedOn w:val="DefaultParagraphFont"/>
    <w:link w:val="Heading1"/>
    <w:uiPriority w:val="9"/>
    <w:rsid w:val="00255B2A"/>
    <w:rPr>
      <w:rFonts w:ascii="Times New Roman" w:eastAsiaTheme="majorEastAsia" w:hAnsi="Times New Roman" w:cstheme="majorBidi"/>
      <w:b/>
      <w:color w:val="000000" w:themeColor="text1"/>
      <w:kern w:val="0"/>
      <w:szCs w:val="32"/>
      <w:lang w:val="en"/>
    </w:rPr>
  </w:style>
  <w:style w:type="paragraph" w:styleId="TOCHeading">
    <w:name w:val="TOC Heading"/>
    <w:basedOn w:val="Heading1"/>
    <w:next w:val="Normal"/>
    <w:uiPriority w:val="39"/>
    <w:unhideWhenUsed/>
    <w:qFormat/>
    <w:rsid w:val="0096699E"/>
    <w:pPr>
      <w:spacing w:before="480"/>
      <w:outlineLvl w:val="9"/>
    </w:pPr>
    <w:rPr>
      <w:b w:val="0"/>
      <w:bCs/>
      <w:sz w:val="28"/>
      <w:szCs w:val="28"/>
      <w:lang w:val="en-US"/>
    </w:rPr>
  </w:style>
  <w:style w:type="paragraph" w:styleId="TOC1">
    <w:name w:val="toc 1"/>
    <w:basedOn w:val="Normal"/>
    <w:next w:val="Normal"/>
    <w:autoRedefine/>
    <w:uiPriority w:val="39"/>
    <w:unhideWhenUsed/>
    <w:rsid w:val="0096699E"/>
    <w:pPr>
      <w:spacing w:before="120" w:line="276" w:lineRule="auto"/>
    </w:pPr>
    <w:rPr>
      <w:rFonts w:asciiTheme="minorHAnsi" w:eastAsia="Arial" w:hAnsiTheme="minorHAnsi" w:cstheme="minorHAnsi"/>
      <w:b/>
      <w:bCs/>
      <w:i/>
      <w:iCs/>
      <w:lang w:val="en"/>
    </w:rPr>
  </w:style>
  <w:style w:type="paragraph" w:styleId="TOC2">
    <w:name w:val="toc 2"/>
    <w:basedOn w:val="Normal"/>
    <w:next w:val="Normal"/>
    <w:autoRedefine/>
    <w:uiPriority w:val="39"/>
    <w:semiHidden/>
    <w:unhideWhenUsed/>
    <w:rsid w:val="0096699E"/>
    <w:pPr>
      <w:spacing w:before="120" w:line="276" w:lineRule="auto"/>
      <w:ind w:left="220"/>
    </w:pPr>
    <w:rPr>
      <w:rFonts w:asciiTheme="minorHAnsi" w:eastAsia="Arial" w:hAnsiTheme="minorHAnsi" w:cstheme="minorHAnsi"/>
      <w:b/>
      <w:bCs/>
      <w:sz w:val="22"/>
      <w:szCs w:val="22"/>
      <w:lang w:val="en"/>
    </w:rPr>
  </w:style>
  <w:style w:type="paragraph" w:styleId="TOC3">
    <w:name w:val="toc 3"/>
    <w:basedOn w:val="Normal"/>
    <w:next w:val="Normal"/>
    <w:autoRedefine/>
    <w:uiPriority w:val="39"/>
    <w:semiHidden/>
    <w:unhideWhenUsed/>
    <w:rsid w:val="0096699E"/>
    <w:pPr>
      <w:spacing w:line="276" w:lineRule="auto"/>
      <w:ind w:left="440"/>
    </w:pPr>
    <w:rPr>
      <w:rFonts w:asciiTheme="minorHAnsi" w:eastAsia="Arial" w:hAnsiTheme="minorHAnsi" w:cstheme="minorHAnsi"/>
      <w:sz w:val="20"/>
      <w:szCs w:val="20"/>
      <w:lang w:val="en"/>
    </w:rPr>
  </w:style>
  <w:style w:type="paragraph" w:styleId="TOC4">
    <w:name w:val="toc 4"/>
    <w:basedOn w:val="Normal"/>
    <w:next w:val="Normal"/>
    <w:autoRedefine/>
    <w:uiPriority w:val="39"/>
    <w:semiHidden/>
    <w:unhideWhenUsed/>
    <w:rsid w:val="0096699E"/>
    <w:pPr>
      <w:spacing w:line="276" w:lineRule="auto"/>
      <w:ind w:left="660"/>
    </w:pPr>
    <w:rPr>
      <w:rFonts w:asciiTheme="minorHAnsi" w:eastAsia="Arial" w:hAnsiTheme="minorHAnsi" w:cstheme="minorHAnsi"/>
      <w:sz w:val="20"/>
      <w:szCs w:val="20"/>
      <w:lang w:val="en"/>
    </w:rPr>
  </w:style>
  <w:style w:type="paragraph" w:styleId="TOC5">
    <w:name w:val="toc 5"/>
    <w:basedOn w:val="Normal"/>
    <w:next w:val="Normal"/>
    <w:autoRedefine/>
    <w:uiPriority w:val="39"/>
    <w:semiHidden/>
    <w:unhideWhenUsed/>
    <w:rsid w:val="0096699E"/>
    <w:pPr>
      <w:spacing w:line="276" w:lineRule="auto"/>
      <w:ind w:left="880"/>
    </w:pPr>
    <w:rPr>
      <w:rFonts w:asciiTheme="minorHAnsi" w:eastAsia="Arial" w:hAnsiTheme="minorHAnsi" w:cstheme="minorHAnsi"/>
      <w:sz w:val="20"/>
      <w:szCs w:val="20"/>
      <w:lang w:val="en"/>
    </w:rPr>
  </w:style>
  <w:style w:type="paragraph" w:styleId="TOC6">
    <w:name w:val="toc 6"/>
    <w:basedOn w:val="Normal"/>
    <w:next w:val="Normal"/>
    <w:autoRedefine/>
    <w:uiPriority w:val="39"/>
    <w:semiHidden/>
    <w:unhideWhenUsed/>
    <w:rsid w:val="0096699E"/>
    <w:pPr>
      <w:spacing w:line="276" w:lineRule="auto"/>
      <w:ind w:left="1100"/>
    </w:pPr>
    <w:rPr>
      <w:rFonts w:asciiTheme="minorHAnsi" w:eastAsia="Arial" w:hAnsiTheme="minorHAnsi" w:cstheme="minorHAnsi"/>
      <w:sz w:val="20"/>
      <w:szCs w:val="20"/>
      <w:lang w:val="en"/>
    </w:rPr>
  </w:style>
  <w:style w:type="paragraph" w:styleId="TOC7">
    <w:name w:val="toc 7"/>
    <w:basedOn w:val="Normal"/>
    <w:next w:val="Normal"/>
    <w:autoRedefine/>
    <w:uiPriority w:val="39"/>
    <w:semiHidden/>
    <w:unhideWhenUsed/>
    <w:rsid w:val="0096699E"/>
    <w:pPr>
      <w:spacing w:line="276" w:lineRule="auto"/>
      <w:ind w:left="1320"/>
    </w:pPr>
    <w:rPr>
      <w:rFonts w:asciiTheme="minorHAnsi" w:eastAsia="Arial" w:hAnsiTheme="minorHAnsi" w:cstheme="minorHAnsi"/>
      <w:sz w:val="20"/>
      <w:szCs w:val="20"/>
      <w:lang w:val="en"/>
    </w:rPr>
  </w:style>
  <w:style w:type="paragraph" w:styleId="TOC8">
    <w:name w:val="toc 8"/>
    <w:basedOn w:val="Normal"/>
    <w:next w:val="Normal"/>
    <w:autoRedefine/>
    <w:uiPriority w:val="39"/>
    <w:semiHidden/>
    <w:unhideWhenUsed/>
    <w:rsid w:val="0096699E"/>
    <w:pPr>
      <w:spacing w:line="276" w:lineRule="auto"/>
      <w:ind w:left="1540"/>
    </w:pPr>
    <w:rPr>
      <w:rFonts w:asciiTheme="minorHAnsi" w:eastAsia="Arial" w:hAnsiTheme="minorHAnsi" w:cstheme="minorHAnsi"/>
      <w:sz w:val="20"/>
      <w:szCs w:val="20"/>
      <w:lang w:val="en"/>
    </w:rPr>
  </w:style>
  <w:style w:type="paragraph" w:styleId="TOC9">
    <w:name w:val="toc 9"/>
    <w:basedOn w:val="Normal"/>
    <w:next w:val="Normal"/>
    <w:autoRedefine/>
    <w:uiPriority w:val="39"/>
    <w:semiHidden/>
    <w:unhideWhenUsed/>
    <w:rsid w:val="0096699E"/>
    <w:pPr>
      <w:spacing w:line="276" w:lineRule="auto"/>
      <w:ind w:left="1760"/>
    </w:pPr>
    <w:rPr>
      <w:rFonts w:asciiTheme="minorHAnsi" w:eastAsia="Arial" w:hAnsiTheme="minorHAnsi" w:cstheme="minorHAnsi"/>
      <w:sz w:val="20"/>
      <w:szCs w:val="20"/>
      <w:lang w:val="en"/>
    </w:rPr>
  </w:style>
  <w:style w:type="character" w:styleId="Hyperlink">
    <w:name w:val="Hyperlink"/>
    <w:basedOn w:val="DefaultParagraphFont"/>
    <w:uiPriority w:val="99"/>
    <w:unhideWhenUsed/>
    <w:rsid w:val="0096699E"/>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paragraph" w:styleId="Revision">
    <w:name w:val="Revision"/>
    <w:hidden/>
    <w:uiPriority w:val="99"/>
    <w:semiHidden/>
    <w:rsid w:val="00561768"/>
  </w:style>
  <w:style w:type="paragraph" w:styleId="ListParagraph">
    <w:name w:val="List Paragraph"/>
    <w:basedOn w:val="Normal"/>
    <w:uiPriority w:val="34"/>
    <w:qFormat/>
    <w:rsid w:val="00EF2F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jvN2fz1WL7lSJXMN96Q/Jopbfg==">CgMxLjAyCWguMzBqMHpsbDIJaC4xZm9iOXRlMgloLjN6bnlzaDcyCWguMmV0OTJwMDIIaC50eWpjd3Q4AHIhMWs0SE9maW9JLVdWUlNMVkViWGJVTl9lWHFITjNwbXEt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14</Pages>
  <Words>2410</Words>
  <Characters>13738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Banks, Jayme C.</dc:creator>
  <cp:lastModifiedBy>Westover, M Brandon (HMFP - Neurology)</cp:lastModifiedBy>
  <cp:revision>10</cp:revision>
  <dcterms:created xsi:type="dcterms:W3CDTF">2024-10-20T22:55:00Z</dcterms:created>
  <dcterms:modified xsi:type="dcterms:W3CDTF">2025-04-05T20:16:00Z</dcterms:modified>
</cp:coreProperties>
</file>