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7DED1" w14:textId="77777777" w:rsidR="00287DF4" w:rsidRPr="00287DF4" w:rsidRDefault="00287DF4" w:rsidP="00287DF4">
      <w:pPr>
        <w:spacing w:after="0" w:line="480" w:lineRule="auto"/>
        <w:jc w:val="both"/>
        <w:rPr>
          <w:rFonts w:ascii="Times New Roman" w:hAnsi="Times New Roman" w:cs="Times New Roman"/>
          <w:b/>
          <w:bCs/>
          <w:sz w:val="24"/>
          <w:szCs w:val="24"/>
          <w:lang w:val="en-US"/>
        </w:rPr>
      </w:pPr>
      <w:r w:rsidRPr="00E32ED7">
        <w:rPr>
          <w:rFonts w:ascii="Times New Roman" w:hAnsi="Times New Roman" w:cs="Times New Roman"/>
          <w:b/>
          <w:bCs/>
          <w:sz w:val="24"/>
          <w:szCs w:val="24"/>
          <w:lang w:val="en-US"/>
        </w:rPr>
        <w:t>Supplementary</w:t>
      </w:r>
      <w:r w:rsidRPr="00287DF4">
        <w:rPr>
          <w:rFonts w:ascii="Times New Roman" w:hAnsi="Times New Roman" w:cs="Times New Roman"/>
          <w:b/>
          <w:bCs/>
          <w:sz w:val="24"/>
          <w:szCs w:val="24"/>
          <w:lang w:val="en-US"/>
        </w:rPr>
        <w:t xml:space="preserve"> Information</w:t>
      </w:r>
    </w:p>
    <w:p w14:paraId="2B5BA350" w14:textId="77777777" w:rsidR="00287DF4" w:rsidRPr="003D1B19" w:rsidRDefault="00287DF4" w:rsidP="00287DF4">
      <w:pPr>
        <w:spacing w:after="0" w:line="480" w:lineRule="auto"/>
        <w:jc w:val="both"/>
        <w:rPr>
          <w:rFonts w:ascii="Times New Roman" w:hAnsi="Times New Roman" w:cs="Times New Roman"/>
          <w:b/>
          <w:bCs/>
          <w:sz w:val="24"/>
          <w:szCs w:val="24"/>
          <w:lang w:val="en-US"/>
        </w:rPr>
      </w:pPr>
      <w:r w:rsidRPr="003D1B19">
        <w:rPr>
          <w:rStyle w:val="lev"/>
          <w:rFonts w:ascii="Times New Roman" w:hAnsi="Times New Roman" w:cs="Times New Roman"/>
          <w:sz w:val="24"/>
          <w:szCs w:val="24"/>
          <w:lang w:val="en-US"/>
        </w:rPr>
        <w:t>Exploratory Within-Group Analyses for Mediator and Outcome Variables</w:t>
      </w:r>
    </w:p>
    <w:p w14:paraId="7594EE0E" w14:textId="77777777" w:rsidR="00287DF4" w:rsidRPr="003D1B19" w:rsidRDefault="00287DF4" w:rsidP="00287DF4">
      <w:pPr>
        <w:pStyle w:val="NormalWeb"/>
        <w:spacing w:before="0" w:beforeAutospacing="0" w:after="0" w:afterAutospacing="0" w:line="480" w:lineRule="auto"/>
        <w:jc w:val="both"/>
        <w:rPr>
          <w:lang w:val="en-US"/>
        </w:rPr>
      </w:pPr>
      <w:r w:rsidRPr="003D1B19">
        <w:rPr>
          <w:lang w:val="en-US"/>
        </w:rPr>
        <w:t xml:space="preserve">To complement the main analyses, we conducted exploratory within-group comparisons using paired-samples </w:t>
      </w:r>
      <w:r w:rsidRPr="003D1B19">
        <w:rPr>
          <w:rStyle w:val="Accentuation"/>
          <w:lang w:val="en-US"/>
        </w:rPr>
        <w:t>t</w:t>
      </w:r>
      <w:r w:rsidRPr="003D1B19">
        <w:rPr>
          <w:i/>
          <w:iCs/>
          <w:lang w:val="en-US"/>
        </w:rPr>
        <w:t>-tests</w:t>
      </w:r>
      <w:r w:rsidRPr="003D1B19">
        <w:rPr>
          <w:lang w:val="en-US"/>
        </w:rPr>
        <w:t xml:space="preserve"> to assess pre-post changes for each condition separately on all outcome and mediator variables. As shown in Table 1, the </w:t>
      </w:r>
      <w:r w:rsidRPr="003D1B19">
        <w:rPr>
          <w:rStyle w:val="lev"/>
          <w:b w:val="0"/>
          <w:bCs w:val="0"/>
          <w:lang w:val="en-US"/>
        </w:rPr>
        <w:t>SI group exhibited significant improvements</w:t>
      </w:r>
      <w:r w:rsidRPr="003D1B19">
        <w:rPr>
          <w:lang w:val="en-US"/>
        </w:rPr>
        <w:t xml:space="preserve"> from pre- to post-intervention in all outcome measures, including </w:t>
      </w:r>
      <w:r w:rsidRPr="003D1B19">
        <w:rPr>
          <w:rStyle w:val="lev"/>
          <w:b w:val="0"/>
          <w:bCs w:val="0"/>
          <w:lang w:val="en-US"/>
        </w:rPr>
        <w:t>identity threat</w:t>
      </w:r>
      <w:r w:rsidRPr="003D1B19">
        <w:rPr>
          <w:lang w:val="en-US"/>
        </w:rPr>
        <w:t xml:space="preserve"> (</w:t>
      </w:r>
      <w:r w:rsidRPr="003D1B19">
        <w:rPr>
          <w:rStyle w:val="Accentuation"/>
          <w:lang w:val="en-US"/>
        </w:rPr>
        <w:t>d</w:t>
      </w:r>
      <w:r w:rsidRPr="003D1B19">
        <w:rPr>
          <w:lang w:val="en-US"/>
        </w:rPr>
        <w:t xml:space="preserve"> = 0.75, **</w:t>
      </w:r>
      <w:r w:rsidRPr="003D1B19">
        <w:rPr>
          <w:rStyle w:val="Accentuation"/>
          <w:lang w:val="en-US"/>
        </w:rPr>
        <w:t>p</w:t>
      </w:r>
      <w:r w:rsidRPr="003D1B19">
        <w:rPr>
          <w:lang w:val="en-US"/>
        </w:rPr>
        <w:t xml:space="preserve"> &lt; 0.001), </w:t>
      </w:r>
      <w:r w:rsidRPr="003D1B19">
        <w:rPr>
          <w:rStyle w:val="lev"/>
          <w:b w:val="0"/>
          <w:bCs w:val="0"/>
          <w:lang w:val="en-US"/>
        </w:rPr>
        <w:t>depressive symptoms</w:t>
      </w:r>
      <w:r w:rsidRPr="003D1B19">
        <w:rPr>
          <w:lang w:val="en-US"/>
        </w:rPr>
        <w:t xml:space="preserve"> (</w:t>
      </w:r>
      <w:r w:rsidRPr="003D1B19">
        <w:rPr>
          <w:rStyle w:val="Accentuation"/>
          <w:lang w:val="en-US"/>
        </w:rPr>
        <w:t>d</w:t>
      </w:r>
      <w:r w:rsidRPr="003D1B19">
        <w:rPr>
          <w:lang w:val="en-US"/>
        </w:rPr>
        <w:t xml:space="preserve"> = 0.88, **</w:t>
      </w:r>
      <w:r w:rsidRPr="003D1B19">
        <w:rPr>
          <w:rStyle w:val="Accentuation"/>
          <w:lang w:val="en-US"/>
        </w:rPr>
        <w:t>p</w:t>
      </w:r>
      <w:r w:rsidRPr="003D1B19">
        <w:rPr>
          <w:lang w:val="en-US"/>
        </w:rPr>
        <w:t xml:space="preserve"> &lt; 0.001), and in the mediators </w:t>
      </w:r>
      <w:r w:rsidRPr="003D1B19">
        <w:rPr>
          <w:rStyle w:val="lev"/>
          <w:b w:val="0"/>
          <w:bCs w:val="0"/>
          <w:lang w:val="en-US"/>
        </w:rPr>
        <w:t>connectedness to humanity</w:t>
      </w:r>
      <w:r w:rsidRPr="003D1B19">
        <w:rPr>
          <w:lang w:val="en-US"/>
        </w:rPr>
        <w:t xml:space="preserve"> (</w:t>
      </w:r>
      <w:r w:rsidRPr="003D1B19">
        <w:rPr>
          <w:rStyle w:val="Accentuation"/>
          <w:lang w:val="en-US"/>
        </w:rPr>
        <w:t>d</w:t>
      </w:r>
      <w:r w:rsidRPr="003D1B19">
        <w:rPr>
          <w:lang w:val="en-US"/>
        </w:rPr>
        <w:t xml:space="preserve"> = 0.52, **</w:t>
      </w:r>
      <w:r w:rsidRPr="003D1B19">
        <w:rPr>
          <w:rStyle w:val="Accentuation"/>
          <w:lang w:val="en-US"/>
        </w:rPr>
        <w:t>p</w:t>
      </w:r>
      <w:r w:rsidRPr="003D1B19">
        <w:rPr>
          <w:lang w:val="en-US"/>
        </w:rPr>
        <w:t xml:space="preserve"> &lt; .001), </w:t>
      </w:r>
      <w:r w:rsidRPr="003D1B19">
        <w:rPr>
          <w:rStyle w:val="lev"/>
          <w:b w:val="0"/>
          <w:bCs w:val="0"/>
          <w:lang w:val="en-US"/>
        </w:rPr>
        <w:t>connectedness to nature</w:t>
      </w:r>
      <w:r w:rsidRPr="003D1B19">
        <w:rPr>
          <w:lang w:val="en-US"/>
        </w:rPr>
        <w:t xml:space="preserve"> (</w:t>
      </w:r>
      <w:r w:rsidRPr="003D1B19">
        <w:rPr>
          <w:rStyle w:val="Accentuation"/>
          <w:lang w:val="en-US"/>
        </w:rPr>
        <w:t>d</w:t>
      </w:r>
      <w:r w:rsidRPr="003D1B19">
        <w:rPr>
          <w:lang w:val="en-US"/>
        </w:rPr>
        <w:t xml:space="preserve"> = 0.43, *</w:t>
      </w:r>
      <w:r w:rsidRPr="003D1B19">
        <w:rPr>
          <w:rStyle w:val="Accentuation"/>
          <w:lang w:val="en-US"/>
        </w:rPr>
        <w:t>p</w:t>
      </w:r>
      <w:r w:rsidRPr="003D1B19">
        <w:rPr>
          <w:lang w:val="en-US"/>
        </w:rPr>
        <w:t xml:space="preserve"> &lt; 0.01), and </w:t>
      </w:r>
      <w:r w:rsidRPr="003D1B19">
        <w:rPr>
          <w:rStyle w:val="lev"/>
          <w:b w:val="0"/>
          <w:bCs w:val="0"/>
          <w:lang w:val="en-US"/>
        </w:rPr>
        <w:t>cognitive decentering</w:t>
      </w:r>
      <w:r w:rsidRPr="003D1B19">
        <w:rPr>
          <w:lang w:val="en-US"/>
        </w:rPr>
        <w:t xml:space="preserve"> (</w:t>
      </w:r>
      <w:r w:rsidRPr="003D1B19">
        <w:rPr>
          <w:rStyle w:val="Accentuation"/>
          <w:lang w:val="en-US"/>
        </w:rPr>
        <w:t>d</w:t>
      </w:r>
      <w:r w:rsidRPr="003D1B19">
        <w:rPr>
          <w:lang w:val="en-US"/>
        </w:rPr>
        <w:t xml:space="preserve"> = 0.86, **</w:t>
      </w:r>
      <w:r w:rsidRPr="003D1B19">
        <w:rPr>
          <w:rStyle w:val="Accentuation"/>
          <w:lang w:val="en-US"/>
        </w:rPr>
        <w:t>p</w:t>
      </w:r>
      <w:r w:rsidRPr="003D1B19">
        <w:rPr>
          <w:lang w:val="en-US"/>
        </w:rPr>
        <w:t xml:space="preserve"> &lt; 0.001). The </w:t>
      </w:r>
      <w:r w:rsidRPr="003D1B19">
        <w:rPr>
          <w:rStyle w:val="lev"/>
          <w:b w:val="0"/>
          <w:bCs w:val="0"/>
          <w:lang w:val="en-US"/>
        </w:rPr>
        <w:t>FA group</w:t>
      </w:r>
      <w:r w:rsidRPr="003D1B19">
        <w:rPr>
          <w:lang w:val="en-US"/>
        </w:rPr>
        <w:t xml:space="preserve"> also showed significant improvements in </w:t>
      </w:r>
      <w:r w:rsidRPr="003D1B19">
        <w:rPr>
          <w:rStyle w:val="lev"/>
          <w:b w:val="0"/>
          <w:bCs w:val="0"/>
          <w:lang w:val="en-US"/>
        </w:rPr>
        <w:t>dysfunctional attitudes</w:t>
      </w:r>
      <w:r w:rsidRPr="003D1B19">
        <w:rPr>
          <w:lang w:val="en-US"/>
        </w:rPr>
        <w:t xml:space="preserve"> (</w:t>
      </w:r>
      <w:r w:rsidRPr="003D1B19">
        <w:rPr>
          <w:rStyle w:val="Accentuation"/>
          <w:lang w:val="en-US"/>
        </w:rPr>
        <w:t>d</w:t>
      </w:r>
      <w:r w:rsidRPr="003D1B19">
        <w:rPr>
          <w:lang w:val="en-US"/>
        </w:rPr>
        <w:t xml:space="preserve"> = 0.56, **</w:t>
      </w:r>
      <w:r w:rsidRPr="003D1B19">
        <w:rPr>
          <w:rStyle w:val="Accentuation"/>
          <w:lang w:val="en-US"/>
        </w:rPr>
        <w:t>p</w:t>
      </w:r>
      <w:r w:rsidRPr="003D1B19">
        <w:rPr>
          <w:lang w:val="en-US"/>
        </w:rPr>
        <w:t xml:space="preserve"> &lt; 0.001), </w:t>
      </w:r>
      <w:r w:rsidRPr="003D1B19">
        <w:rPr>
          <w:rStyle w:val="lev"/>
          <w:b w:val="0"/>
          <w:bCs w:val="0"/>
          <w:lang w:val="en-US"/>
        </w:rPr>
        <w:t>identity threat</w:t>
      </w:r>
      <w:r w:rsidRPr="003D1B19">
        <w:rPr>
          <w:lang w:val="en-US"/>
        </w:rPr>
        <w:t xml:space="preserve"> (</w:t>
      </w:r>
      <w:r w:rsidRPr="003D1B19">
        <w:rPr>
          <w:rStyle w:val="Accentuation"/>
          <w:lang w:val="en-US"/>
        </w:rPr>
        <w:t>d</w:t>
      </w:r>
      <w:r w:rsidRPr="003D1B19">
        <w:rPr>
          <w:lang w:val="en-US"/>
        </w:rPr>
        <w:t xml:space="preserve"> = 0.47, *</w:t>
      </w:r>
      <w:r w:rsidRPr="003D1B19">
        <w:rPr>
          <w:rStyle w:val="Accentuation"/>
          <w:lang w:val="en-US"/>
        </w:rPr>
        <w:t>p</w:t>
      </w:r>
      <w:r w:rsidRPr="003D1B19">
        <w:rPr>
          <w:lang w:val="en-US"/>
        </w:rPr>
        <w:t xml:space="preserve"> &lt; 0.01), </w:t>
      </w:r>
      <w:r w:rsidRPr="003D1B19">
        <w:rPr>
          <w:rStyle w:val="lev"/>
          <w:b w:val="0"/>
          <w:bCs w:val="0"/>
          <w:lang w:val="en-US"/>
        </w:rPr>
        <w:t>depressive symptoms</w:t>
      </w:r>
      <w:r w:rsidRPr="003D1B19">
        <w:rPr>
          <w:lang w:val="en-US"/>
        </w:rPr>
        <w:t xml:space="preserve"> (</w:t>
      </w:r>
      <w:r w:rsidRPr="003D1B19">
        <w:rPr>
          <w:rStyle w:val="Accentuation"/>
          <w:lang w:val="en-US"/>
        </w:rPr>
        <w:t>d</w:t>
      </w:r>
      <w:r w:rsidRPr="003D1B19">
        <w:rPr>
          <w:lang w:val="en-US"/>
        </w:rPr>
        <w:t xml:space="preserve"> = 0.45, *</w:t>
      </w:r>
      <w:r w:rsidRPr="003D1B19">
        <w:rPr>
          <w:rStyle w:val="Accentuation"/>
          <w:lang w:val="en-US"/>
        </w:rPr>
        <w:t>p</w:t>
      </w:r>
      <w:r w:rsidRPr="003D1B19">
        <w:rPr>
          <w:lang w:val="en-US"/>
        </w:rPr>
        <w:t xml:space="preserve"> &lt; 0.01), and </w:t>
      </w:r>
      <w:r w:rsidRPr="003D1B19">
        <w:rPr>
          <w:rStyle w:val="lev"/>
          <w:b w:val="0"/>
          <w:bCs w:val="0"/>
          <w:lang w:val="en-US"/>
        </w:rPr>
        <w:t>cognitive decentering</w:t>
      </w:r>
      <w:r w:rsidRPr="003D1B19">
        <w:rPr>
          <w:lang w:val="en-US"/>
        </w:rPr>
        <w:t xml:space="preserve"> (</w:t>
      </w:r>
      <w:r w:rsidRPr="003D1B19">
        <w:rPr>
          <w:rStyle w:val="Accentuation"/>
          <w:lang w:val="en-US"/>
        </w:rPr>
        <w:t>d</w:t>
      </w:r>
      <w:r w:rsidRPr="003D1B19">
        <w:rPr>
          <w:lang w:val="en-US"/>
        </w:rPr>
        <w:t xml:space="preserve"> = 0.68, **</w:t>
      </w:r>
      <w:r w:rsidRPr="003D1B19">
        <w:rPr>
          <w:rStyle w:val="Accentuation"/>
          <w:lang w:val="en-US"/>
        </w:rPr>
        <w:t>p</w:t>
      </w:r>
      <w:r w:rsidRPr="003D1B19">
        <w:rPr>
          <w:lang w:val="en-US"/>
        </w:rPr>
        <w:t xml:space="preserve"> &lt; 0.001), but did not show meaningful change in the connectedness variables. In the </w:t>
      </w:r>
      <w:r w:rsidRPr="003D1B19">
        <w:rPr>
          <w:rStyle w:val="lev"/>
          <w:b w:val="0"/>
          <w:bCs w:val="0"/>
          <w:lang w:val="en-US"/>
        </w:rPr>
        <w:t>wait-list</w:t>
      </w:r>
      <w:r w:rsidRPr="003D1B19">
        <w:rPr>
          <w:rStyle w:val="lev"/>
          <w:lang w:val="en-US"/>
        </w:rPr>
        <w:t xml:space="preserve"> </w:t>
      </w:r>
      <w:r w:rsidRPr="003D1B19">
        <w:rPr>
          <w:rStyle w:val="lev"/>
          <w:b w:val="0"/>
          <w:bCs w:val="0"/>
          <w:lang w:val="en-US"/>
        </w:rPr>
        <w:t>group</w:t>
      </w:r>
      <w:r w:rsidRPr="003D1B19">
        <w:rPr>
          <w:lang w:val="en-US"/>
        </w:rPr>
        <w:t xml:space="preserve">, no significant changes were observed for any variable. These within-group findings reinforce the condition × time interaction effects reported in the main results and highlight the specificity of the SI intervention in enhancing interdependent self-related processes. </w:t>
      </w:r>
    </w:p>
    <w:p w14:paraId="6D7D7F8D" w14:textId="77777777" w:rsidR="00287DF4" w:rsidRPr="003D1B19" w:rsidRDefault="00287DF4" w:rsidP="00287DF4">
      <w:pPr>
        <w:pStyle w:val="NormalWeb"/>
        <w:spacing w:before="0" w:beforeAutospacing="0" w:after="0" w:afterAutospacing="0" w:line="480" w:lineRule="auto"/>
        <w:jc w:val="both"/>
        <w:rPr>
          <w:lang w:val="en-US"/>
        </w:rPr>
        <w:sectPr w:rsidR="00287DF4" w:rsidRPr="003D1B19" w:rsidSect="003E0D66">
          <w:pgSz w:w="11906" w:h="16838"/>
          <w:pgMar w:top="567" w:right="567" w:bottom="567" w:left="567" w:header="709" w:footer="709" w:gutter="0"/>
          <w:cols w:space="708"/>
          <w:docGrid w:linePitch="360"/>
        </w:sectPr>
      </w:pPr>
    </w:p>
    <w:p w14:paraId="029336CB" w14:textId="77777777" w:rsidR="00287DF4" w:rsidRPr="003D1B19" w:rsidRDefault="00287DF4" w:rsidP="00287DF4">
      <w:pPr>
        <w:pStyle w:val="NormalWeb"/>
        <w:spacing w:before="0" w:beforeAutospacing="0" w:after="0" w:afterAutospacing="0" w:line="480" w:lineRule="auto"/>
        <w:jc w:val="both"/>
        <w:rPr>
          <w:lang w:val="en-US"/>
        </w:rPr>
      </w:pPr>
    </w:p>
    <w:p w14:paraId="64A9B2E1" w14:textId="77777777" w:rsidR="00287DF4" w:rsidRPr="003D1B19" w:rsidRDefault="00287DF4" w:rsidP="00287DF4">
      <w:pPr>
        <w:pStyle w:val="NormalWeb"/>
        <w:spacing w:before="0" w:beforeAutospacing="0" w:after="0" w:afterAutospacing="0" w:line="480" w:lineRule="auto"/>
        <w:jc w:val="both"/>
        <w:rPr>
          <w:lang w:val="en-US"/>
        </w:rPr>
      </w:pPr>
    </w:p>
    <w:p w14:paraId="5D40573A" w14:textId="77777777" w:rsidR="00287DF4" w:rsidRPr="003D1B19" w:rsidRDefault="00287DF4" w:rsidP="00287DF4">
      <w:pPr>
        <w:pStyle w:val="NormalWeb"/>
        <w:spacing w:before="0" w:beforeAutospacing="0" w:after="0" w:afterAutospacing="0" w:line="480" w:lineRule="auto"/>
        <w:jc w:val="both"/>
        <w:rPr>
          <w:lang w:val="en-US"/>
        </w:rPr>
      </w:pPr>
    </w:p>
    <w:tbl>
      <w:tblPr>
        <w:tblW w:w="5000" w:type="pct"/>
        <w:tblLook w:val="04A0" w:firstRow="1" w:lastRow="0" w:firstColumn="1" w:lastColumn="0" w:noHBand="0" w:noVBand="1"/>
      </w:tblPr>
      <w:tblGrid>
        <w:gridCol w:w="2574"/>
        <w:gridCol w:w="1445"/>
        <w:gridCol w:w="1212"/>
        <w:gridCol w:w="1530"/>
        <w:gridCol w:w="1542"/>
        <w:gridCol w:w="1558"/>
        <w:gridCol w:w="1530"/>
        <w:gridCol w:w="1395"/>
        <w:gridCol w:w="1395"/>
        <w:gridCol w:w="1523"/>
      </w:tblGrid>
      <w:tr w:rsidR="00287DF4" w:rsidRPr="003D1B19" w14:paraId="479CB207" w14:textId="77777777" w:rsidTr="00731C1C">
        <w:trPr>
          <w:trHeight w:val="454"/>
        </w:trPr>
        <w:tc>
          <w:tcPr>
            <w:tcW w:w="5000" w:type="pct"/>
            <w:gridSpan w:val="10"/>
            <w:tcBorders>
              <w:bottom w:val="single" w:sz="4" w:space="0" w:color="auto"/>
            </w:tcBorders>
            <w:vAlign w:val="center"/>
          </w:tcPr>
          <w:p w14:paraId="085F35B9" w14:textId="77777777" w:rsidR="00287DF4" w:rsidRPr="003D1B19" w:rsidRDefault="00287DF4" w:rsidP="00731C1C">
            <w:pPr>
              <w:spacing w:after="120"/>
              <w:jc w:val="both"/>
              <w:rPr>
                <w:rFonts w:ascii="Times New Roman" w:hAnsi="Times New Roman" w:cs="Times New Roman"/>
                <w:sz w:val="24"/>
                <w:szCs w:val="24"/>
                <w:lang w:val="en-US"/>
              </w:rPr>
            </w:pPr>
            <w:bookmarkStart w:id="0" w:name="_Ref179987889"/>
            <w:bookmarkStart w:id="1" w:name="_Toc180204426"/>
            <w:r w:rsidRPr="003D1B19">
              <w:rPr>
                <w:rFonts w:ascii="Times New Roman" w:hAnsi="Times New Roman" w:cs="Times New Roman"/>
                <w:b/>
                <w:bCs/>
                <w:lang w:val="en-US"/>
              </w:rPr>
              <w:t>T</w:t>
            </w:r>
            <w:bookmarkEnd w:id="0"/>
            <w:r w:rsidRPr="003D1B19">
              <w:rPr>
                <w:rFonts w:ascii="Times New Roman" w:hAnsi="Times New Roman" w:cs="Times New Roman"/>
                <w:b/>
                <w:bCs/>
                <w:lang w:val="en-US"/>
              </w:rPr>
              <w:t>able 1.</w:t>
            </w:r>
            <w:r w:rsidRPr="003D1B19">
              <w:rPr>
                <w:rFonts w:ascii="Times New Roman" w:hAnsi="Times New Roman" w:cs="Times New Roman"/>
                <w:lang w:val="en-US"/>
              </w:rPr>
              <w:t xml:space="preserve"> Means, Standard Deviations at Both Time Points (T1 and T2), and Cohen's d representing intra-subject differences between time 1 and time 2 for Mediators and Outcome Variables</w:t>
            </w:r>
            <w:bookmarkEnd w:id="1"/>
            <w:r w:rsidRPr="003D1B19">
              <w:rPr>
                <w:rFonts w:ascii="Times New Roman" w:hAnsi="Times New Roman" w:cs="Times New Roman"/>
                <w:lang w:val="en-US"/>
              </w:rPr>
              <w:t xml:space="preserve"> </w:t>
            </w:r>
          </w:p>
        </w:tc>
      </w:tr>
      <w:tr w:rsidR="00287DF4" w:rsidRPr="003D1B19" w14:paraId="1C126C98" w14:textId="77777777" w:rsidTr="00731C1C">
        <w:trPr>
          <w:trHeight w:val="454"/>
        </w:trPr>
        <w:tc>
          <w:tcPr>
            <w:tcW w:w="820" w:type="pct"/>
            <w:tcBorders>
              <w:top w:val="single" w:sz="4" w:space="0" w:color="auto"/>
            </w:tcBorders>
            <w:vAlign w:val="center"/>
          </w:tcPr>
          <w:p w14:paraId="61669CBE" w14:textId="77777777" w:rsidR="00287DF4" w:rsidRPr="003D1B19" w:rsidRDefault="00287DF4" w:rsidP="00731C1C">
            <w:pPr>
              <w:spacing w:after="0"/>
              <w:jc w:val="center"/>
              <w:rPr>
                <w:rFonts w:ascii="Times New Roman" w:hAnsi="Times New Roman" w:cs="Times New Roman"/>
                <w:sz w:val="18"/>
                <w:szCs w:val="18"/>
                <w:lang w:val="en-US"/>
              </w:rPr>
            </w:pPr>
          </w:p>
        </w:tc>
        <w:tc>
          <w:tcPr>
            <w:tcW w:w="1333" w:type="pct"/>
            <w:gridSpan w:val="3"/>
            <w:tcBorders>
              <w:top w:val="single" w:sz="4" w:space="0" w:color="auto"/>
              <w:bottom w:val="single" w:sz="4" w:space="0" w:color="auto"/>
            </w:tcBorders>
            <w:vAlign w:val="center"/>
          </w:tcPr>
          <w:p w14:paraId="38981BEF" w14:textId="77777777" w:rsidR="00287DF4" w:rsidRPr="003D1B19" w:rsidRDefault="00287DF4" w:rsidP="00731C1C">
            <w:pPr>
              <w:spacing w:after="0"/>
              <w:jc w:val="center"/>
              <w:rPr>
                <w:rFonts w:ascii="Times New Roman" w:hAnsi="Times New Roman" w:cs="Times New Roman"/>
                <w:b/>
                <w:bCs/>
                <w:sz w:val="20"/>
                <w:szCs w:val="20"/>
                <w:lang w:val="en-US"/>
              </w:rPr>
            </w:pPr>
            <w:r w:rsidRPr="003D1B19">
              <w:rPr>
                <w:rFonts w:ascii="Times New Roman" w:hAnsi="Times New Roman" w:cs="Times New Roman"/>
                <w:b/>
                <w:bCs/>
                <w:sz w:val="20"/>
                <w:szCs w:val="20"/>
                <w:lang w:val="en-US"/>
              </w:rPr>
              <w:t>Wait-list condition (N=49)</w:t>
            </w:r>
          </w:p>
        </w:tc>
        <w:tc>
          <w:tcPr>
            <w:tcW w:w="1473" w:type="pct"/>
            <w:gridSpan w:val="3"/>
            <w:tcBorders>
              <w:top w:val="single" w:sz="4" w:space="0" w:color="auto"/>
              <w:bottom w:val="single" w:sz="4" w:space="0" w:color="auto"/>
            </w:tcBorders>
            <w:vAlign w:val="center"/>
          </w:tcPr>
          <w:p w14:paraId="3E7483C7" w14:textId="77777777" w:rsidR="00287DF4" w:rsidRPr="003D1B19" w:rsidRDefault="00287DF4" w:rsidP="00731C1C">
            <w:pPr>
              <w:spacing w:after="0"/>
              <w:jc w:val="center"/>
              <w:rPr>
                <w:rFonts w:ascii="Times New Roman" w:hAnsi="Times New Roman" w:cs="Times New Roman"/>
                <w:b/>
                <w:bCs/>
                <w:sz w:val="20"/>
                <w:szCs w:val="20"/>
                <w:lang w:val="en-US"/>
              </w:rPr>
            </w:pPr>
            <w:r w:rsidRPr="003D1B19">
              <w:rPr>
                <w:rFonts w:ascii="Times New Roman" w:hAnsi="Times New Roman" w:cs="Times New Roman"/>
                <w:b/>
                <w:bCs/>
                <w:sz w:val="20"/>
                <w:szCs w:val="20"/>
                <w:lang w:val="en-US"/>
              </w:rPr>
              <w:t>FA condition (N=49)</w:t>
            </w:r>
          </w:p>
        </w:tc>
        <w:tc>
          <w:tcPr>
            <w:tcW w:w="1374" w:type="pct"/>
            <w:gridSpan w:val="3"/>
            <w:tcBorders>
              <w:top w:val="single" w:sz="4" w:space="0" w:color="auto"/>
              <w:bottom w:val="single" w:sz="4" w:space="0" w:color="auto"/>
            </w:tcBorders>
            <w:vAlign w:val="center"/>
          </w:tcPr>
          <w:p w14:paraId="16F04EF9" w14:textId="77777777" w:rsidR="00287DF4" w:rsidRPr="003D1B19" w:rsidRDefault="00287DF4" w:rsidP="00731C1C">
            <w:pPr>
              <w:spacing w:after="0"/>
              <w:jc w:val="center"/>
              <w:rPr>
                <w:rFonts w:ascii="Times New Roman" w:hAnsi="Times New Roman" w:cs="Times New Roman"/>
                <w:b/>
                <w:bCs/>
                <w:sz w:val="20"/>
                <w:szCs w:val="20"/>
                <w:lang w:val="en-US"/>
              </w:rPr>
            </w:pPr>
            <w:r w:rsidRPr="003D1B19">
              <w:rPr>
                <w:rFonts w:ascii="Times New Roman" w:hAnsi="Times New Roman" w:cs="Times New Roman"/>
                <w:b/>
                <w:bCs/>
                <w:sz w:val="20"/>
                <w:szCs w:val="20"/>
                <w:lang w:val="en-US"/>
              </w:rPr>
              <w:t>SI condition (N=49)</w:t>
            </w:r>
          </w:p>
        </w:tc>
      </w:tr>
      <w:tr w:rsidR="00287DF4" w:rsidRPr="003D1B19" w14:paraId="25EFA4E5" w14:textId="77777777" w:rsidTr="00731C1C">
        <w:trPr>
          <w:trHeight w:val="624"/>
        </w:trPr>
        <w:tc>
          <w:tcPr>
            <w:tcW w:w="820" w:type="pct"/>
            <w:tcBorders>
              <w:bottom w:val="single" w:sz="4" w:space="0" w:color="auto"/>
            </w:tcBorders>
            <w:vAlign w:val="center"/>
          </w:tcPr>
          <w:p w14:paraId="09DCB74C" w14:textId="77777777" w:rsidR="00287DF4" w:rsidRPr="003D1B19" w:rsidRDefault="00287DF4" w:rsidP="00731C1C">
            <w:pPr>
              <w:spacing w:after="0"/>
              <w:jc w:val="both"/>
              <w:rPr>
                <w:rFonts w:ascii="Times New Roman" w:hAnsi="Times New Roman" w:cs="Times New Roman"/>
                <w:sz w:val="18"/>
                <w:szCs w:val="18"/>
                <w:lang w:val="en-US"/>
              </w:rPr>
            </w:pPr>
          </w:p>
        </w:tc>
        <w:tc>
          <w:tcPr>
            <w:tcW w:w="460" w:type="pct"/>
            <w:tcBorders>
              <w:bottom w:val="single" w:sz="4" w:space="0" w:color="auto"/>
            </w:tcBorders>
            <w:vAlign w:val="center"/>
          </w:tcPr>
          <w:p w14:paraId="73709B4C"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Time 1</w:t>
            </w:r>
            <w:r w:rsidRPr="003D1B19">
              <w:rPr>
                <w:rFonts w:ascii="Times New Roman" w:hAnsi="Times New Roman" w:cs="Times New Roman"/>
                <w:sz w:val="20"/>
                <w:szCs w:val="20"/>
                <w:lang w:val="en-US"/>
              </w:rPr>
              <w:br/>
              <w:t>M (</w:t>
            </w:r>
            <w:r w:rsidRPr="003D1B19">
              <w:rPr>
                <w:rFonts w:ascii="Times New Roman" w:hAnsi="Times New Roman" w:cs="Times New Roman"/>
                <w:i/>
                <w:iCs/>
                <w:sz w:val="20"/>
                <w:szCs w:val="20"/>
                <w:lang w:val="en-US"/>
              </w:rPr>
              <w:t>SD</w:t>
            </w:r>
            <w:r w:rsidRPr="003D1B19">
              <w:rPr>
                <w:rFonts w:ascii="Times New Roman" w:hAnsi="Times New Roman" w:cs="Times New Roman"/>
                <w:sz w:val="20"/>
                <w:szCs w:val="20"/>
                <w:lang w:val="en-US"/>
              </w:rPr>
              <w:t>)</w:t>
            </w:r>
          </w:p>
        </w:tc>
        <w:tc>
          <w:tcPr>
            <w:tcW w:w="386" w:type="pct"/>
            <w:tcBorders>
              <w:bottom w:val="single" w:sz="4" w:space="0" w:color="auto"/>
            </w:tcBorders>
            <w:vAlign w:val="center"/>
          </w:tcPr>
          <w:p w14:paraId="4202B7C2"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Time 2</w:t>
            </w:r>
            <w:r w:rsidRPr="003D1B19">
              <w:rPr>
                <w:rFonts w:ascii="Times New Roman" w:hAnsi="Times New Roman" w:cs="Times New Roman"/>
                <w:sz w:val="20"/>
                <w:szCs w:val="20"/>
                <w:lang w:val="en-US"/>
              </w:rPr>
              <w:br/>
              <w:t>M (</w:t>
            </w:r>
            <w:r w:rsidRPr="003D1B19">
              <w:rPr>
                <w:rFonts w:ascii="Times New Roman" w:hAnsi="Times New Roman" w:cs="Times New Roman"/>
                <w:i/>
                <w:iCs/>
                <w:sz w:val="20"/>
                <w:szCs w:val="20"/>
                <w:lang w:val="en-US"/>
              </w:rPr>
              <w:t>SD</w:t>
            </w:r>
            <w:r w:rsidRPr="003D1B19">
              <w:rPr>
                <w:rFonts w:ascii="Times New Roman" w:hAnsi="Times New Roman" w:cs="Times New Roman"/>
                <w:sz w:val="20"/>
                <w:szCs w:val="20"/>
                <w:lang w:val="en-US"/>
              </w:rPr>
              <w:t>)</w:t>
            </w:r>
          </w:p>
        </w:tc>
        <w:tc>
          <w:tcPr>
            <w:tcW w:w="487" w:type="pct"/>
            <w:tcBorders>
              <w:bottom w:val="single" w:sz="4" w:space="0" w:color="auto"/>
              <w:right w:val="single" w:sz="4" w:space="0" w:color="auto"/>
            </w:tcBorders>
            <w:vAlign w:val="center"/>
          </w:tcPr>
          <w:p w14:paraId="7D505EC5" w14:textId="77777777" w:rsidR="00287DF4" w:rsidRPr="003D1B19" w:rsidRDefault="00287DF4" w:rsidP="00731C1C">
            <w:pPr>
              <w:spacing w:after="0"/>
              <w:jc w:val="center"/>
              <w:rPr>
                <w:rFonts w:ascii="Times New Roman" w:hAnsi="Times New Roman" w:cs="Times New Roman"/>
                <w:i/>
                <w:iCs/>
                <w:sz w:val="20"/>
                <w:szCs w:val="20"/>
                <w:lang w:val="en-US"/>
              </w:rPr>
            </w:pPr>
            <w:r w:rsidRPr="003D1B19">
              <w:rPr>
                <w:rFonts w:ascii="Times New Roman" w:hAnsi="Times New Roman" w:cs="Times New Roman"/>
                <w:i/>
                <w:iCs/>
                <w:sz w:val="20"/>
                <w:szCs w:val="20"/>
                <w:lang w:val="en-US"/>
              </w:rPr>
              <w:t>Cohen’s d t2-t1</w:t>
            </w:r>
          </w:p>
        </w:tc>
        <w:tc>
          <w:tcPr>
            <w:tcW w:w="491" w:type="pct"/>
            <w:tcBorders>
              <w:left w:val="single" w:sz="4" w:space="0" w:color="auto"/>
              <w:bottom w:val="single" w:sz="4" w:space="0" w:color="auto"/>
            </w:tcBorders>
            <w:vAlign w:val="center"/>
          </w:tcPr>
          <w:p w14:paraId="0F50AED8"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Time 1</w:t>
            </w:r>
            <w:r w:rsidRPr="003D1B19">
              <w:rPr>
                <w:rFonts w:ascii="Times New Roman" w:hAnsi="Times New Roman" w:cs="Times New Roman"/>
                <w:sz w:val="20"/>
                <w:szCs w:val="20"/>
                <w:lang w:val="en-US"/>
              </w:rPr>
              <w:br/>
              <w:t>M (</w:t>
            </w:r>
            <w:r w:rsidRPr="003D1B19">
              <w:rPr>
                <w:rFonts w:ascii="Times New Roman" w:hAnsi="Times New Roman" w:cs="Times New Roman"/>
                <w:i/>
                <w:iCs/>
                <w:sz w:val="20"/>
                <w:szCs w:val="20"/>
                <w:lang w:val="en-US"/>
              </w:rPr>
              <w:t>SD</w:t>
            </w:r>
            <w:r w:rsidRPr="003D1B19">
              <w:rPr>
                <w:rFonts w:ascii="Times New Roman" w:hAnsi="Times New Roman" w:cs="Times New Roman"/>
                <w:sz w:val="20"/>
                <w:szCs w:val="20"/>
                <w:lang w:val="en-US"/>
              </w:rPr>
              <w:t>)</w:t>
            </w:r>
          </w:p>
        </w:tc>
        <w:tc>
          <w:tcPr>
            <w:tcW w:w="496" w:type="pct"/>
            <w:tcBorders>
              <w:bottom w:val="single" w:sz="4" w:space="0" w:color="auto"/>
            </w:tcBorders>
            <w:vAlign w:val="center"/>
          </w:tcPr>
          <w:p w14:paraId="255050F0"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Time 2</w:t>
            </w:r>
            <w:r w:rsidRPr="003D1B19">
              <w:rPr>
                <w:rFonts w:ascii="Times New Roman" w:hAnsi="Times New Roman" w:cs="Times New Roman"/>
                <w:sz w:val="20"/>
                <w:szCs w:val="20"/>
                <w:lang w:val="en-US"/>
              </w:rPr>
              <w:br/>
              <w:t>M (</w:t>
            </w:r>
            <w:r w:rsidRPr="003D1B19">
              <w:rPr>
                <w:rFonts w:ascii="Times New Roman" w:hAnsi="Times New Roman" w:cs="Times New Roman"/>
                <w:i/>
                <w:iCs/>
                <w:sz w:val="20"/>
                <w:szCs w:val="20"/>
                <w:lang w:val="en-US"/>
              </w:rPr>
              <w:t>SD</w:t>
            </w:r>
            <w:r w:rsidRPr="003D1B19">
              <w:rPr>
                <w:rFonts w:ascii="Times New Roman" w:hAnsi="Times New Roman" w:cs="Times New Roman"/>
                <w:sz w:val="20"/>
                <w:szCs w:val="20"/>
                <w:lang w:val="en-US"/>
              </w:rPr>
              <w:t>)</w:t>
            </w:r>
          </w:p>
        </w:tc>
        <w:tc>
          <w:tcPr>
            <w:tcW w:w="487" w:type="pct"/>
            <w:tcBorders>
              <w:bottom w:val="single" w:sz="4" w:space="0" w:color="auto"/>
              <w:right w:val="single" w:sz="4" w:space="0" w:color="auto"/>
            </w:tcBorders>
            <w:vAlign w:val="center"/>
          </w:tcPr>
          <w:p w14:paraId="153DD112"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i/>
                <w:iCs/>
                <w:sz w:val="20"/>
                <w:szCs w:val="20"/>
                <w:lang w:val="en-US"/>
              </w:rPr>
              <w:t>Cohen’s d t2-t1</w:t>
            </w:r>
          </w:p>
        </w:tc>
        <w:tc>
          <w:tcPr>
            <w:tcW w:w="444" w:type="pct"/>
            <w:tcBorders>
              <w:left w:val="single" w:sz="4" w:space="0" w:color="auto"/>
              <w:bottom w:val="single" w:sz="4" w:space="0" w:color="auto"/>
            </w:tcBorders>
            <w:vAlign w:val="center"/>
          </w:tcPr>
          <w:p w14:paraId="7F8A56C2"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Time 1</w:t>
            </w:r>
            <w:r w:rsidRPr="003D1B19">
              <w:rPr>
                <w:rFonts w:ascii="Times New Roman" w:hAnsi="Times New Roman" w:cs="Times New Roman"/>
                <w:sz w:val="20"/>
                <w:szCs w:val="20"/>
                <w:lang w:val="en-US"/>
              </w:rPr>
              <w:br/>
              <w:t>M (</w:t>
            </w:r>
            <w:r w:rsidRPr="003D1B19">
              <w:rPr>
                <w:rFonts w:ascii="Times New Roman" w:hAnsi="Times New Roman" w:cs="Times New Roman"/>
                <w:i/>
                <w:iCs/>
                <w:sz w:val="20"/>
                <w:szCs w:val="20"/>
                <w:lang w:val="en-US"/>
              </w:rPr>
              <w:t>SD</w:t>
            </w:r>
            <w:r w:rsidRPr="003D1B19">
              <w:rPr>
                <w:rFonts w:ascii="Times New Roman" w:hAnsi="Times New Roman" w:cs="Times New Roman"/>
                <w:sz w:val="20"/>
                <w:szCs w:val="20"/>
                <w:lang w:val="en-US"/>
              </w:rPr>
              <w:t>)</w:t>
            </w:r>
          </w:p>
        </w:tc>
        <w:tc>
          <w:tcPr>
            <w:tcW w:w="444" w:type="pct"/>
            <w:tcBorders>
              <w:bottom w:val="single" w:sz="4" w:space="0" w:color="auto"/>
            </w:tcBorders>
            <w:vAlign w:val="center"/>
          </w:tcPr>
          <w:p w14:paraId="792F4BA8"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Time 2</w:t>
            </w:r>
            <w:r w:rsidRPr="003D1B19">
              <w:rPr>
                <w:rFonts w:ascii="Times New Roman" w:hAnsi="Times New Roman" w:cs="Times New Roman"/>
                <w:sz w:val="20"/>
                <w:szCs w:val="20"/>
                <w:lang w:val="en-US"/>
              </w:rPr>
              <w:br/>
              <w:t>M (</w:t>
            </w:r>
            <w:r w:rsidRPr="003D1B19">
              <w:rPr>
                <w:rFonts w:ascii="Times New Roman" w:hAnsi="Times New Roman" w:cs="Times New Roman"/>
                <w:i/>
                <w:iCs/>
                <w:sz w:val="20"/>
                <w:szCs w:val="20"/>
                <w:lang w:val="en-US"/>
              </w:rPr>
              <w:t>SD</w:t>
            </w:r>
            <w:r w:rsidRPr="003D1B19">
              <w:rPr>
                <w:rFonts w:ascii="Times New Roman" w:hAnsi="Times New Roman" w:cs="Times New Roman"/>
                <w:sz w:val="20"/>
                <w:szCs w:val="20"/>
                <w:lang w:val="en-US"/>
              </w:rPr>
              <w:t>)</w:t>
            </w:r>
          </w:p>
        </w:tc>
        <w:tc>
          <w:tcPr>
            <w:tcW w:w="487" w:type="pct"/>
            <w:tcBorders>
              <w:bottom w:val="single" w:sz="4" w:space="0" w:color="auto"/>
            </w:tcBorders>
            <w:vAlign w:val="center"/>
          </w:tcPr>
          <w:p w14:paraId="26765D8D"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i/>
                <w:iCs/>
                <w:sz w:val="20"/>
                <w:szCs w:val="20"/>
                <w:lang w:val="en-US"/>
              </w:rPr>
              <w:t>Cohen’s d t2-t1</w:t>
            </w:r>
          </w:p>
        </w:tc>
      </w:tr>
      <w:tr w:rsidR="00287DF4" w:rsidRPr="003D1B19" w14:paraId="08593AED" w14:textId="77777777" w:rsidTr="00731C1C">
        <w:trPr>
          <w:trHeight w:val="354"/>
        </w:trPr>
        <w:tc>
          <w:tcPr>
            <w:tcW w:w="5000" w:type="pct"/>
            <w:gridSpan w:val="10"/>
            <w:shd w:val="clear" w:color="auto" w:fill="D9D9D9" w:themeFill="background1" w:themeFillShade="D9"/>
            <w:vAlign w:val="center"/>
          </w:tcPr>
          <w:p w14:paraId="7595A148" w14:textId="77777777" w:rsidR="00287DF4" w:rsidRPr="003D1B19" w:rsidRDefault="00287DF4" w:rsidP="00731C1C">
            <w:pPr>
              <w:spacing w:after="0"/>
              <w:rPr>
                <w:rFonts w:ascii="Times New Roman" w:hAnsi="Times New Roman" w:cs="Times New Roman"/>
                <w:i/>
                <w:iCs/>
                <w:sz w:val="20"/>
                <w:szCs w:val="20"/>
                <w:lang w:val="en-US"/>
              </w:rPr>
            </w:pPr>
            <w:r w:rsidRPr="003D1B19">
              <w:rPr>
                <w:rFonts w:ascii="Times New Roman" w:hAnsi="Times New Roman" w:cs="Times New Roman"/>
                <w:i/>
                <w:iCs/>
                <w:sz w:val="20"/>
                <w:szCs w:val="20"/>
                <w:lang w:val="en-US"/>
              </w:rPr>
              <w:t>Outcome Variables</w:t>
            </w:r>
          </w:p>
        </w:tc>
      </w:tr>
      <w:tr w:rsidR="00287DF4" w:rsidRPr="003D1B19" w14:paraId="75BA35DB" w14:textId="77777777" w:rsidTr="00731C1C">
        <w:trPr>
          <w:trHeight w:val="354"/>
        </w:trPr>
        <w:tc>
          <w:tcPr>
            <w:tcW w:w="820" w:type="pct"/>
            <w:vAlign w:val="center"/>
          </w:tcPr>
          <w:p w14:paraId="62363BA3" w14:textId="77777777" w:rsidR="00287DF4" w:rsidRPr="003D1B19" w:rsidRDefault="00287DF4" w:rsidP="00731C1C">
            <w:pPr>
              <w:spacing w:after="0"/>
              <w:jc w:val="center"/>
              <w:rPr>
                <w:rFonts w:ascii="Times New Roman" w:hAnsi="Times New Roman" w:cs="Times New Roman"/>
                <w:b/>
                <w:bCs/>
                <w:sz w:val="20"/>
                <w:szCs w:val="20"/>
                <w:lang w:val="en-US"/>
              </w:rPr>
            </w:pPr>
            <w:r w:rsidRPr="003D1B19">
              <w:rPr>
                <w:rFonts w:ascii="Times New Roman" w:hAnsi="Times New Roman" w:cs="Times New Roman"/>
                <w:b/>
                <w:bCs/>
                <w:sz w:val="20"/>
                <w:szCs w:val="20"/>
                <w:lang w:val="en-US"/>
              </w:rPr>
              <w:t>Dysfunctional Attitudes</w:t>
            </w:r>
          </w:p>
        </w:tc>
        <w:tc>
          <w:tcPr>
            <w:tcW w:w="460" w:type="pct"/>
            <w:vAlign w:val="center"/>
          </w:tcPr>
          <w:p w14:paraId="559AB621"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1.94 (0.57)</w:t>
            </w:r>
          </w:p>
        </w:tc>
        <w:tc>
          <w:tcPr>
            <w:tcW w:w="386" w:type="pct"/>
            <w:vAlign w:val="center"/>
          </w:tcPr>
          <w:p w14:paraId="2B49E8A1"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1.96 (0.55)</w:t>
            </w:r>
          </w:p>
        </w:tc>
        <w:tc>
          <w:tcPr>
            <w:tcW w:w="487" w:type="pct"/>
            <w:tcBorders>
              <w:right w:val="single" w:sz="4" w:space="0" w:color="auto"/>
            </w:tcBorders>
            <w:vAlign w:val="center"/>
          </w:tcPr>
          <w:p w14:paraId="4D6E3DC2"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0.06</w:t>
            </w:r>
          </w:p>
        </w:tc>
        <w:tc>
          <w:tcPr>
            <w:tcW w:w="491" w:type="pct"/>
            <w:tcBorders>
              <w:left w:val="single" w:sz="4" w:space="0" w:color="auto"/>
            </w:tcBorders>
            <w:vAlign w:val="center"/>
          </w:tcPr>
          <w:p w14:paraId="19440A14"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2.08 (0.55)</w:t>
            </w:r>
          </w:p>
        </w:tc>
        <w:tc>
          <w:tcPr>
            <w:tcW w:w="496" w:type="pct"/>
            <w:vAlign w:val="center"/>
          </w:tcPr>
          <w:p w14:paraId="6243697F"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1.69 (0.44)</w:t>
            </w:r>
          </w:p>
        </w:tc>
        <w:tc>
          <w:tcPr>
            <w:tcW w:w="487" w:type="pct"/>
            <w:tcBorders>
              <w:right w:val="single" w:sz="4" w:space="0" w:color="auto"/>
            </w:tcBorders>
            <w:vAlign w:val="center"/>
          </w:tcPr>
          <w:p w14:paraId="4F330ADF"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0.56***</w:t>
            </w:r>
          </w:p>
        </w:tc>
        <w:tc>
          <w:tcPr>
            <w:tcW w:w="444" w:type="pct"/>
            <w:tcBorders>
              <w:left w:val="single" w:sz="4" w:space="0" w:color="auto"/>
            </w:tcBorders>
            <w:vAlign w:val="center"/>
          </w:tcPr>
          <w:p w14:paraId="7434EFC4"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2 (0.58)</w:t>
            </w:r>
          </w:p>
        </w:tc>
        <w:tc>
          <w:tcPr>
            <w:tcW w:w="444" w:type="pct"/>
            <w:vAlign w:val="center"/>
          </w:tcPr>
          <w:p w14:paraId="2DDF1B7B"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2 (0.44)</w:t>
            </w:r>
          </w:p>
        </w:tc>
        <w:tc>
          <w:tcPr>
            <w:tcW w:w="487" w:type="pct"/>
            <w:vAlign w:val="center"/>
          </w:tcPr>
          <w:p w14:paraId="632DF91A"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0.01</w:t>
            </w:r>
          </w:p>
        </w:tc>
      </w:tr>
      <w:tr w:rsidR="00287DF4" w:rsidRPr="003D1B19" w14:paraId="64CBF50A" w14:textId="77777777" w:rsidTr="00731C1C">
        <w:trPr>
          <w:trHeight w:val="354"/>
        </w:trPr>
        <w:tc>
          <w:tcPr>
            <w:tcW w:w="820" w:type="pct"/>
            <w:vAlign w:val="center"/>
          </w:tcPr>
          <w:p w14:paraId="03B1037B" w14:textId="77777777" w:rsidR="00287DF4" w:rsidRPr="003D1B19" w:rsidRDefault="00287DF4" w:rsidP="00731C1C">
            <w:pPr>
              <w:spacing w:after="0"/>
              <w:jc w:val="center"/>
              <w:rPr>
                <w:rFonts w:ascii="Times New Roman" w:hAnsi="Times New Roman" w:cs="Times New Roman"/>
                <w:b/>
                <w:bCs/>
                <w:sz w:val="20"/>
                <w:szCs w:val="20"/>
                <w:lang w:val="en-US"/>
              </w:rPr>
            </w:pPr>
            <w:r w:rsidRPr="003D1B19">
              <w:rPr>
                <w:rFonts w:ascii="Times New Roman" w:hAnsi="Times New Roman" w:cs="Times New Roman"/>
                <w:b/>
                <w:bCs/>
                <w:sz w:val="20"/>
                <w:szCs w:val="20"/>
                <w:lang w:val="en-US"/>
              </w:rPr>
              <w:t>Identity Threat</w:t>
            </w:r>
          </w:p>
        </w:tc>
        <w:tc>
          <w:tcPr>
            <w:tcW w:w="460" w:type="pct"/>
            <w:vAlign w:val="center"/>
          </w:tcPr>
          <w:p w14:paraId="38DF2EF8"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3.56 (1.23)</w:t>
            </w:r>
          </w:p>
        </w:tc>
        <w:tc>
          <w:tcPr>
            <w:tcW w:w="386" w:type="pct"/>
            <w:vAlign w:val="center"/>
          </w:tcPr>
          <w:p w14:paraId="6519BD27"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3.46 (1.36)</w:t>
            </w:r>
          </w:p>
        </w:tc>
        <w:tc>
          <w:tcPr>
            <w:tcW w:w="487" w:type="pct"/>
            <w:tcBorders>
              <w:right w:val="single" w:sz="4" w:space="0" w:color="auto"/>
            </w:tcBorders>
            <w:vAlign w:val="center"/>
          </w:tcPr>
          <w:p w14:paraId="277A71F0"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0.14</w:t>
            </w:r>
          </w:p>
        </w:tc>
        <w:tc>
          <w:tcPr>
            <w:tcW w:w="491" w:type="pct"/>
            <w:tcBorders>
              <w:left w:val="single" w:sz="4" w:space="0" w:color="auto"/>
            </w:tcBorders>
            <w:vAlign w:val="center"/>
          </w:tcPr>
          <w:p w14:paraId="1F71C5D4"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3.55 (1.18)</w:t>
            </w:r>
          </w:p>
        </w:tc>
        <w:tc>
          <w:tcPr>
            <w:tcW w:w="496" w:type="pct"/>
            <w:vAlign w:val="center"/>
          </w:tcPr>
          <w:p w14:paraId="6ABF0DFC"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2.98 (0.86)</w:t>
            </w:r>
          </w:p>
        </w:tc>
        <w:tc>
          <w:tcPr>
            <w:tcW w:w="487" w:type="pct"/>
            <w:tcBorders>
              <w:right w:val="single" w:sz="4" w:space="0" w:color="auto"/>
            </w:tcBorders>
            <w:vAlign w:val="center"/>
          </w:tcPr>
          <w:p w14:paraId="3E8870B0"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0.47**</w:t>
            </w:r>
          </w:p>
        </w:tc>
        <w:tc>
          <w:tcPr>
            <w:tcW w:w="444" w:type="pct"/>
            <w:tcBorders>
              <w:left w:val="single" w:sz="4" w:space="0" w:color="auto"/>
            </w:tcBorders>
            <w:vAlign w:val="center"/>
          </w:tcPr>
          <w:p w14:paraId="1357D83F"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3.46 (1.07)</w:t>
            </w:r>
          </w:p>
        </w:tc>
        <w:tc>
          <w:tcPr>
            <w:tcW w:w="444" w:type="pct"/>
            <w:vAlign w:val="center"/>
          </w:tcPr>
          <w:p w14:paraId="2C0FA73B"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2.97 (1.05)</w:t>
            </w:r>
          </w:p>
        </w:tc>
        <w:tc>
          <w:tcPr>
            <w:tcW w:w="487" w:type="pct"/>
            <w:vAlign w:val="center"/>
          </w:tcPr>
          <w:p w14:paraId="6F8F3AB4"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0.75***</w:t>
            </w:r>
          </w:p>
        </w:tc>
      </w:tr>
      <w:tr w:rsidR="00287DF4" w:rsidRPr="003D1B19" w14:paraId="3FF79D15" w14:textId="77777777" w:rsidTr="00731C1C">
        <w:trPr>
          <w:trHeight w:val="354"/>
        </w:trPr>
        <w:tc>
          <w:tcPr>
            <w:tcW w:w="820" w:type="pct"/>
            <w:vAlign w:val="center"/>
          </w:tcPr>
          <w:p w14:paraId="7F845EF7" w14:textId="77777777" w:rsidR="00287DF4" w:rsidRPr="003D1B19" w:rsidRDefault="00287DF4" w:rsidP="00731C1C">
            <w:pPr>
              <w:spacing w:after="0"/>
              <w:jc w:val="center"/>
              <w:rPr>
                <w:rFonts w:ascii="Times New Roman" w:hAnsi="Times New Roman" w:cs="Times New Roman"/>
                <w:b/>
                <w:bCs/>
                <w:sz w:val="20"/>
                <w:szCs w:val="20"/>
                <w:lang w:val="en-US"/>
              </w:rPr>
            </w:pPr>
            <w:r w:rsidRPr="003D1B19">
              <w:rPr>
                <w:rFonts w:ascii="Times New Roman" w:hAnsi="Times New Roman" w:cs="Times New Roman"/>
                <w:b/>
                <w:bCs/>
                <w:sz w:val="20"/>
                <w:szCs w:val="20"/>
                <w:lang w:val="en-US"/>
              </w:rPr>
              <w:t>Depressive Symptoms</w:t>
            </w:r>
          </w:p>
        </w:tc>
        <w:tc>
          <w:tcPr>
            <w:tcW w:w="460" w:type="pct"/>
            <w:vAlign w:val="center"/>
          </w:tcPr>
          <w:p w14:paraId="143C1DDF"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0.96 (0.49)</w:t>
            </w:r>
          </w:p>
        </w:tc>
        <w:tc>
          <w:tcPr>
            <w:tcW w:w="386" w:type="pct"/>
            <w:vAlign w:val="center"/>
          </w:tcPr>
          <w:p w14:paraId="6152BC77"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0.92 (0.61)</w:t>
            </w:r>
          </w:p>
        </w:tc>
        <w:tc>
          <w:tcPr>
            <w:tcW w:w="487" w:type="pct"/>
            <w:tcBorders>
              <w:right w:val="single" w:sz="4" w:space="0" w:color="auto"/>
            </w:tcBorders>
            <w:vAlign w:val="center"/>
          </w:tcPr>
          <w:p w14:paraId="3E1513DF"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0.08</w:t>
            </w:r>
          </w:p>
        </w:tc>
        <w:tc>
          <w:tcPr>
            <w:tcW w:w="491" w:type="pct"/>
            <w:tcBorders>
              <w:left w:val="single" w:sz="4" w:space="0" w:color="auto"/>
            </w:tcBorders>
            <w:vAlign w:val="center"/>
          </w:tcPr>
          <w:p w14:paraId="49A82867"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0.73 (0.45)</w:t>
            </w:r>
          </w:p>
        </w:tc>
        <w:tc>
          <w:tcPr>
            <w:tcW w:w="496" w:type="pct"/>
            <w:vAlign w:val="center"/>
          </w:tcPr>
          <w:p w14:paraId="5322E1D1"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0.46 (0.32)</w:t>
            </w:r>
          </w:p>
        </w:tc>
        <w:tc>
          <w:tcPr>
            <w:tcW w:w="487" w:type="pct"/>
            <w:tcBorders>
              <w:right w:val="single" w:sz="4" w:space="0" w:color="auto"/>
            </w:tcBorders>
            <w:vAlign w:val="center"/>
          </w:tcPr>
          <w:p w14:paraId="7C3DE610"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0.45**</w:t>
            </w:r>
          </w:p>
        </w:tc>
        <w:tc>
          <w:tcPr>
            <w:tcW w:w="444" w:type="pct"/>
            <w:tcBorders>
              <w:left w:val="single" w:sz="4" w:space="0" w:color="auto"/>
            </w:tcBorders>
            <w:vAlign w:val="center"/>
          </w:tcPr>
          <w:p w14:paraId="6DAFFD87"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0.81 (0.51)</w:t>
            </w:r>
          </w:p>
        </w:tc>
        <w:tc>
          <w:tcPr>
            <w:tcW w:w="444" w:type="pct"/>
            <w:vAlign w:val="center"/>
          </w:tcPr>
          <w:p w14:paraId="139E1EDA"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0.44 (0.38)</w:t>
            </w:r>
          </w:p>
        </w:tc>
        <w:tc>
          <w:tcPr>
            <w:tcW w:w="487" w:type="pct"/>
            <w:vAlign w:val="center"/>
          </w:tcPr>
          <w:p w14:paraId="34125FF2"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0.88***</w:t>
            </w:r>
          </w:p>
        </w:tc>
      </w:tr>
      <w:tr w:rsidR="00287DF4" w:rsidRPr="003D1B19" w14:paraId="7A74FCC3" w14:textId="77777777" w:rsidTr="00731C1C">
        <w:trPr>
          <w:trHeight w:val="354"/>
        </w:trPr>
        <w:tc>
          <w:tcPr>
            <w:tcW w:w="5000" w:type="pct"/>
            <w:gridSpan w:val="10"/>
            <w:shd w:val="clear" w:color="auto" w:fill="D9D9D9" w:themeFill="background1" w:themeFillShade="D9"/>
            <w:vAlign w:val="center"/>
          </w:tcPr>
          <w:p w14:paraId="19520420" w14:textId="77777777" w:rsidR="00287DF4" w:rsidRPr="003D1B19" w:rsidRDefault="00287DF4" w:rsidP="00731C1C">
            <w:pPr>
              <w:spacing w:after="0"/>
              <w:rPr>
                <w:rFonts w:ascii="Times New Roman" w:hAnsi="Times New Roman" w:cs="Times New Roman"/>
                <w:i/>
                <w:iCs/>
                <w:sz w:val="20"/>
                <w:szCs w:val="20"/>
                <w:lang w:val="en-US"/>
              </w:rPr>
            </w:pPr>
            <w:r w:rsidRPr="003D1B19">
              <w:rPr>
                <w:rFonts w:ascii="Times New Roman" w:hAnsi="Times New Roman" w:cs="Times New Roman"/>
                <w:i/>
                <w:iCs/>
                <w:sz w:val="20"/>
                <w:szCs w:val="20"/>
                <w:lang w:val="en-US"/>
              </w:rPr>
              <w:t>Mediator Variables</w:t>
            </w:r>
          </w:p>
        </w:tc>
      </w:tr>
      <w:tr w:rsidR="00287DF4" w:rsidRPr="003D1B19" w14:paraId="7D2E304E" w14:textId="77777777" w:rsidTr="00731C1C">
        <w:trPr>
          <w:trHeight w:val="354"/>
        </w:trPr>
        <w:tc>
          <w:tcPr>
            <w:tcW w:w="820" w:type="pct"/>
            <w:vAlign w:val="center"/>
          </w:tcPr>
          <w:p w14:paraId="7511CD6E" w14:textId="77777777" w:rsidR="00287DF4" w:rsidRPr="003D1B19" w:rsidRDefault="00287DF4" w:rsidP="00731C1C">
            <w:pPr>
              <w:spacing w:after="0"/>
              <w:jc w:val="center"/>
              <w:rPr>
                <w:rFonts w:ascii="Times New Roman" w:hAnsi="Times New Roman" w:cs="Times New Roman"/>
                <w:b/>
                <w:bCs/>
                <w:sz w:val="20"/>
                <w:szCs w:val="20"/>
                <w:lang w:val="en-US"/>
              </w:rPr>
            </w:pPr>
            <w:r w:rsidRPr="003D1B19">
              <w:rPr>
                <w:rFonts w:ascii="Times New Roman" w:hAnsi="Times New Roman" w:cs="Times New Roman"/>
                <w:b/>
                <w:bCs/>
                <w:sz w:val="20"/>
                <w:szCs w:val="20"/>
                <w:lang w:val="en-US"/>
              </w:rPr>
              <w:t>Connectedness Humanity</w:t>
            </w:r>
          </w:p>
        </w:tc>
        <w:tc>
          <w:tcPr>
            <w:tcW w:w="460" w:type="pct"/>
            <w:vAlign w:val="center"/>
          </w:tcPr>
          <w:p w14:paraId="4702FA42"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3.24 (0.7</w:t>
            </w:r>
            <w:r>
              <w:rPr>
                <w:rFonts w:ascii="Times New Roman" w:hAnsi="Times New Roman" w:cs="Times New Roman"/>
                <w:sz w:val="20"/>
                <w:szCs w:val="20"/>
                <w:lang w:val="en-US"/>
              </w:rPr>
              <w:t>0</w:t>
            </w:r>
            <w:r w:rsidRPr="003D1B19">
              <w:rPr>
                <w:rFonts w:ascii="Times New Roman" w:hAnsi="Times New Roman" w:cs="Times New Roman"/>
                <w:sz w:val="20"/>
                <w:szCs w:val="20"/>
                <w:lang w:val="en-US"/>
              </w:rPr>
              <w:t>)</w:t>
            </w:r>
          </w:p>
        </w:tc>
        <w:tc>
          <w:tcPr>
            <w:tcW w:w="386" w:type="pct"/>
            <w:vAlign w:val="center"/>
          </w:tcPr>
          <w:p w14:paraId="58479536"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3.21 (0.77)</w:t>
            </w:r>
          </w:p>
        </w:tc>
        <w:tc>
          <w:tcPr>
            <w:tcW w:w="487" w:type="pct"/>
            <w:tcBorders>
              <w:right w:val="single" w:sz="4" w:space="0" w:color="auto"/>
            </w:tcBorders>
            <w:vAlign w:val="center"/>
          </w:tcPr>
          <w:p w14:paraId="4D340D49"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0.07</w:t>
            </w:r>
          </w:p>
        </w:tc>
        <w:tc>
          <w:tcPr>
            <w:tcW w:w="491" w:type="pct"/>
            <w:tcBorders>
              <w:left w:val="single" w:sz="4" w:space="0" w:color="auto"/>
            </w:tcBorders>
            <w:vAlign w:val="center"/>
          </w:tcPr>
          <w:p w14:paraId="60EE8D19"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3.58 (0.68)</w:t>
            </w:r>
          </w:p>
        </w:tc>
        <w:tc>
          <w:tcPr>
            <w:tcW w:w="496" w:type="pct"/>
            <w:vAlign w:val="center"/>
          </w:tcPr>
          <w:p w14:paraId="3AA7E148"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3.79 (0.7</w:t>
            </w:r>
            <w:r>
              <w:rPr>
                <w:rFonts w:ascii="Times New Roman" w:hAnsi="Times New Roman" w:cs="Times New Roman"/>
                <w:sz w:val="20"/>
                <w:szCs w:val="20"/>
                <w:lang w:val="en-US"/>
              </w:rPr>
              <w:t>0</w:t>
            </w:r>
            <w:r w:rsidRPr="003D1B19">
              <w:rPr>
                <w:rFonts w:ascii="Times New Roman" w:hAnsi="Times New Roman" w:cs="Times New Roman"/>
                <w:sz w:val="20"/>
                <w:szCs w:val="20"/>
                <w:lang w:val="en-US"/>
              </w:rPr>
              <w:t>)</w:t>
            </w:r>
          </w:p>
        </w:tc>
        <w:tc>
          <w:tcPr>
            <w:tcW w:w="487" w:type="pct"/>
            <w:tcBorders>
              <w:right w:val="single" w:sz="4" w:space="0" w:color="auto"/>
            </w:tcBorders>
            <w:vAlign w:val="center"/>
          </w:tcPr>
          <w:p w14:paraId="557A61E5"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0.2</w:t>
            </w:r>
            <w:r>
              <w:rPr>
                <w:rFonts w:ascii="Times New Roman" w:hAnsi="Times New Roman" w:cs="Times New Roman"/>
                <w:sz w:val="20"/>
                <w:szCs w:val="20"/>
                <w:lang w:val="en-US"/>
              </w:rPr>
              <w:t>0</w:t>
            </w:r>
          </w:p>
        </w:tc>
        <w:tc>
          <w:tcPr>
            <w:tcW w:w="444" w:type="pct"/>
            <w:tcBorders>
              <w:left w:val="single" w:sz="4" w:space="0" w:color="auto"/>
            </w:tcBorders>
            <w:vAlign w:val="center"/>
          </w:tcPr>
          <w:p w14:paraId="530A66C1"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3.43 (0.85)</w:t>
            </w:r>
          </w:p>
        </w:tc>
        <w:tc>
          <w:tcPr>
            <w:tcW w:w="444" w:type="pct"/>
            <w:vAlign w:val="center"/>
          </w:tcPr>
          <w:p w14:paraId="5114EEC7"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3.71 (0.88)</w:t>
            </w:r>
          </w:p>
        </w:tc>
        <w:tc>
          <w:tcPr>
            <w:tcW w:w="487" w:type="pct"/>
            <w:vAlign w:val="center"/>
          </w:tcPr>
          <w:p w14:paraId="2B191B04"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0.52***</w:t>
            </w:r>
          </w:p>
        </w:tc>
      </w:tr>
      <w:tr w:rsidR="00287DF4" w:rsidRPr="003D1B19" w14:paraId="629D0C1A" w14:textId="77777777" w:rsidTr="00731C1C">
        <w:trPr>
          <w:trHeight w:val="354"/>
        </w:trPr>
        <w:tc>
          <w:tcPr>
            <w:tcW w:w="820" w:type="pct"/>
            <w:vAlign w:val="center"/>
          </w:tcPr>
          <w:p w14:paraId="700027F4" w14:textId="77777777" w:rsidR="00287DF4" w:rsidRPr="003D1B19" w:rsidRDefault="00287DF4" w:rsidP="00731C1C">
            <w:pPr>
              <w:spacing w:after="0"/>
              <w:jc w:val="center"/>
              <w:rPr>
                <w:rFonts w:ascii="Times New Roman" w:hAnsi="Times New Roman" w:cs="Times New Roman"/>
                <w:b/>
                <w:bCs/>
                <w:sz w:val="20"/>
                <w:szCs w:val="20"/>
                <w:lang w:val="en-US"/>
              </w:rPr>
            </w:pPr>
            <w:r w:rsidRPr="003D1B19">
              <w:rPr>
                <w:rFonts w:ascii="Times New Roman" w:hAnsi="Times New Roman" w:cs="Times New Roman"/>
                <w:b/>
                <w:bCs/>
                <w:sz w:val="20"/>
                <w:szCs w:val="20"/>
                <w:lang w:val="en-US"/>
              </w:rPr>
              <w:t>Connectedness to Nature</w:t>
            </w:r>
          </w:p>
        </w:tc>
        <w:tc>
          <w:tcPr>
            <w:tcW w:w="460" w:type="pct"/>
            <w:vAlign w:val="center"/>
          </w:tcPr>
          <w:p w14:paraId="5109B327"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3.53 (0.72)</w:t>
            </w:r>
          </w:p>
        </w:tc>
        <w:tc>
          <w:tcPr>
            <w:tcW w:w="386" w:type="pct"/>
            <w:vAlign w:val="center"/>
          </w:tcPr>
          <w:p w14:paraId="7C2AAE37"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3.41 (0.8</w:t>
            </w:r>
            <w:r>
              <w:rPr>
                <w:rFonts w:ascii="Times New Roman" w:hAnsi="Times New Roman" w:cs="Times New Roman"/>
                <w:sz w:val="20"/>
                <w:szCs w:val="20"/>
                <w:lang w:val="en-US"/>
              </w:rPr>
              <w:t>0</w:t>
            </w:r>
            <w:r w:rsidRPr="003D1B19">
              <w:rPr>
                <w:rFonts w:ascii="Times New Roman" w:hAnsi="Times New Roman" w:cs="Times New Roman"/>
                <w:sz w:val="20"/>
                <w:szCs w:val="20"/>
                <w:lang w:val="en-US"/>
              </w:rPr>
              <w:t>)</w:t>
            </w:r>
          </w:p>
        </w:tc>
        <w:tc>
          <w:tcPr>
            <w:tcW w:w="487" w:type="pct"/>
            <w:tcBorders>
              <w:right w:val="single" w:sz="4" w:space="0" w:color="auto"/>
            </w:tcBorders>
            <w:vAlign w:val="center"/>
          </w:tcPr>
          <w:p w14:paraId="0C6A6606"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0.23</w:t>
            </w:r>
          </w:p>
        </w:tc>
        <w:tc>
          <w:tcPr>
            <w:tcW w:w="491" w:type="pct"/>
            <w:tcBorders>
              <w:left w:val="single" w:sz="4" w:space="0" w:color="auto"/>
            </w:tcBorders>
            <w:vAlign w:val="center"/>
          </w:tcPr>
          <w:p w14:paraId="68D8B956"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3.85 (0.85)</w:t>
            </w:r>
          </w:p>
        </w:tc>
        <w:tc>
          <w:tcPr>
            <w:tcW w:w="496" w:type="pct"/>
            <w:vAlign w:val="center"/>
          </w:tcPr>
          <w:p w14:paraId="5D4B0B2E"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3.93 (0.83)</w:t>
            </w:r>
          </w:p>
        </w:tc>
        <w:tc>
          <w:tcPr>
            <w:tcW w:w="487" w:type="pct"/>
            <w:tcBorders>
              <w:right w:val="single" w:sz="4" w:space="0" w:color="auto"/>
            </w:tcBorders>
            <w:vAlign w:val="center"/>
          </w:tcPr>
          <w:p w14:paraId="22F8D5FB"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0.06</w:t>
            </w:r>
          </w:p>
        </w:tc>
        <w:tc>
          <w:tcPr>
            <w:tcW w:w="444" w:type="pct"/>
            <w:tcBorders>
              <w:left w:val="single" w:sz="4" w:space="0" w:color="auto"/>
            </w:tcBorders>
            <w:vAlign w:val="center"/>
          </w:tcPr>
          <w:p w14:paraId="3F35B1BC"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3.85 (0.86)</w:t>
            </w:r>
          </w:p>
        </w:tc>
        <w:tc>
          <w:tcPr>
            <w:tcW w:w="444" w:type="pct"/>
            <w:vAlign w:val="center"/>
          </w:tcPr>
          <w:p w14:paraId="09F051F1"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4.05 (0.82)</w:t>
            </w:r>
          </w:p>
        </w:tc>
        <w:tc>
          <w:tcPr>
            <w:tcW w:w="487" w:type="pct"/>
            <w:vAlign w:val="center"/>
          </w:tcPr>
          <w:p w14:paraId="63843974"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0.43**</w:t>
            </w:r>
          </w:p>
        </w:tc>
      </w:tr>
      <w:tr w:rsidR="00287DF4" w:rsidRPr="003D1B19" w14:paraId="73E6E118" w14:textId="77777777" w:rsidTr="00731C1C">
        <w:trPr>
          <w:trHeight w:val="354"/>
        </w:trPr>
        <w:tc>
          <w:tcPr>
            <w:tcW w:w="820" w:type="pct"/>
            <w:tcBorders>
              <w:bottom w:val="single" w:sz="4" w:space="0" w:color="auto"/>
            </w:tcBorders>
            <w:vAlign w:val="center"/>
          </w:tcPr>
          <w:p w14:paraId="3DE6300A" w14:textId="77777777" w:rsidR="00287DF4" w:rsidRPr="003D1B19" w:rsidRDefault="00287DF4" w:rsidP="00731C1C">
            <w:pPr>
              <w:spacing w:after="0"/>
              <w:jc w:val="center"/>
              <w:rPr>
                <w:rFonts w:ascii="Times New Roman" w:hAnsi="Times New Roman" w:cs="Times New Roman"/>
                <w:b/>
                <w:bCs/>
                <w:sz w:val="20"/>
                <w:szCs w:val="20"/>
                <w:lang w:val="en-US"/>
              </w:rPr>
            </w:pPr>
            <w:r w:rsidRPr="003D1B19">
              <w:rPr>
                <w:rFonts w:ascii="Times New Roman" w:hAnsi="Times New Roman" w:cs="Times New Roman"/>
                <w:b/>
                <w:bCs/>
                <w:sz w:val="20"/>
                <w:szCs w:val="20"/>
                <w:lang w:val="en-US"/>
              </w:rPr>
              <w:t>Cognitive decentering</w:t>
            </w:r>
          </w:p>
        </w:tc>
        <w:tc>
          <w:tcPr>
            <w:tcW w:w="460" w:type="pct"/>
            <w:tcBorders>
              <w:bottom w:val="single" w:sz="4" w:space="0" w:color="auto"/>
            </w:tcBorders>
            <w:vAlign w:val="center"/>
          </w:tcPr>
          <w:p w14:paraId="42CDCD5E"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2.85 (0.85)</w:t>
            </w:r>
          </w:p>
        </w:tc>
        <w:tc>
          <w:tcPr>
            <w:tcW w:w="386" w:type="pct"/>
            <w:tcBorders>
              <w:bottom w:val="single" w:sz="4" w:space="0" w:color="auto"/>
            </w:tcBorders>
            <w:vAlign w:val="center"/>
          </w:tcPr>
          <w:p w14:paraId="6C4C71E7"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2.97 (0.89)</w:t>
            </w:r>
          </w:p>
        </w:tc>
        <w:tc>
          <w:tcPr>
            <w:tcW w:w="487" w:type="pct"/>
            <w:tcBorders>
              <w:bottom w:val="single" w:sz="4" w:space="0" w:color="auto"/>
              <w:right w:val="single" w:sz="4" w:space="0" w:color="auto"/>
            </w:tcBorders>
            <w:vAlign w:val="center"/>
          </w:tcPr>
          <w:p w14:paraId="4BBA9431"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0.2</w:t>
            </w:r>
            <w:r>
              <w:rPr>
                <w:rFonts w:ascii="Times New Roman" w:hAnsi="Times New Roman" w:cs="Times New Roman"/>
                <w:sz w:val="20"/>
                <w:szCs w:val="20"/>
                <w:lang w:val="en-US"/>
              </w:rPr>
              <w:t>0</w:t>
            </w:r>
          </w:p>
        </w:tc>
        <w:tc>
          <w:tcPr>
            <w:tcW w:w="491" w:type="pct"/>
            <w:tcBorders>
              <w:left w:val="single" w:sz="4" w:space="0" w:color="auto"/>
              <w:bottom w:val="single" w:sz="4" w:space="0" w:color="auto"/>
            </w:tcBorders>
            <w:vAlign w:val="center"/>
          </w:tcPr>
          <w:p w14:paraId="4FD3FD95"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2.78 (0.8</w:t>
            </w:r>
            <w:r>
              <w:rPr>
                <w:rFonts w:ascii="Times New Roman" w:hAnsi="Times New Roman" w:cs="Times New Roman"/>
                <w:sz w:val="20"/>
                <w:szCs w:val="20"/>
                <w:lang w:val="en-US"/>
              </w:rPr>
              <w:t>0</w:t>
            </w:r>
            <w:r w:rsidRPr="003D1B19">
              <w:rPr>
                <w:rFonts w:ascii="Times New Roman" w:hAnsi="Times New Roman" w:cs="Times New Roman"/>
                <w:sz w:val="20"/>
                <w:szCs w:val="20"/>
                <w:lang w:val="en-US"/>
              </w:rPr>
              <w:t>)</w:t>
            </w:r>
          </w:p>
        </w:tc>
        <w:tc>
          <w:tcPr>
            <w:tcW w:w="496" w:type="pct"/>
            <w:tcBorders>
              <w:bottom w:val="single" w:sz="4" w:space="0" w:color="auto"/>
            </w:tcBorders>
            <w:vAlign w:val="center"/>
          </w:tcPr>
          <w:p w14:paraId="12B4188B"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3.52 (0.72)</w:t>
            </w:r>
          </w:p>
        </w:tc>
        <w:tc>
          <w:tcPr>
            <w:tcW w:w="487" w:type="pct"/>
            <w:tcBorders>
              <w:bottom w:val="single" w:sz="4" w:space="0" w:color="auto"/>
              <w:right w:val="single" w:sz="4" w:space="0" w:color="auto"/>
            </w:tcBorders>
            <w:vAlign w:val="center"/>
          </w:tcPr>
          <w:p w14:paraId="221E570D"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0.68***</w:t>
            </w:r>
          </w:p>
        </w:tc>
        <w:tc>
          <w:tcPr>
            <w:tcW w:w="444" w:type="pct"/>
            <w:tcBorders>
              <w:left w:val="single" w:sz="4" w:space="0" w:color="auto"/>
              <w:bottom w:val="single" w:sz="4" w:space="0" w:color="auto"/>
            </w:tcBorders>
            <w:vAlign w:val="center"/>
          </w:tcPr>
          <w:p w14:paraId="00FE5D4D"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2.87 (0.81)</w:t>
            </w:r>
          </w:p>
        </w:tc>
        <w:tc>
          <w:tcPr>
            <w:tcW w:w="444" w:type="pct"/>
            <w:tcBorders>
              <w:bottom w:val="single" w:sz="4" w:space="0" w:color="auto"/>
            </w:tcBorders>
            <w:vAlign w:val="center"/>
          </w:tcPr>
          <w:p w14:paraId="394E02B4"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3.42 (0.7</w:t>
            </w:r>
            <w:r>
              <w:rPr>
                <w:rFonts w:ascii="Times New Roman" w:hAnsi="Times New Roman" w:cs="Times New Roman"/>
                <w:sz w:val="20"/>
                <w:szCs w:val="20"/>
                <w:lang w:val="en-US"/>
              </w:rPr>
              <w:t>0</w:t>
            </w:r>
            <w:r w:rsidRPr="003D1B19">
              <w:rPr>
                <w:rFonts w:ascii="Times New Roman" w:hAnsi="Times New Roman" w:cs="Times New Roman"/>
                <w:sz w:val="20"/>
                <w:szCs w:val="20"/>
                <w:lang w:val="en-US"/>
              </w:rPr>
              <w:t>)</w:t>
            </w:r>
          </w:p>
        </w:tc>
        <w:tc>
          <w:tcPr>
            <w:tcW w:w="487" w:type="pct"/>
            <w:tcBorders>
              <w:bottom w:val="single" w:sz="4" w:space="0" w:color="auto"/>
            </w:tcBorders>
            <w:vAlign w:val="center"/>
          </w:tcPr>
          <w:p w14:paraId="00CA81EC" w14:textId="77777777" w:rsidR="00287DF4" w:rsidRPr="003D1B19" w:rsidRDefault="00287DF4" w:rsidP="00731C1C">
            <w:pPr>
              <w:spacing w:after="0"/>
              <w:jc w:val="center"/>
              <w:rPr>
                <w:rFonts w:ascii="Times New Roman" w:hAnsi="Times New Roman" w:cs="Times New Roman"/>
                <w:sz w:val="20"/>
                <w:szCs w:val="20"/>
                <w:lang w:val="en-US"/>
              </w:rPr>
            </w:pPr>
            <w:r w:rsidRPr="003D1B19">
              <w:rPr>
                <w:rFonts w:ascii="Times New Roman" w:hAnsi="Times New Roman" w:cs="Times New Roman"/>
                <w:sz w:val="20"/>
                <w:szCs w:val="20"/>
                <w:lang w:val="en-US"/>
              </w:rPr>
              <w:t>0.86***</w:t>
            </w:r>
          </w:p>
        </w:tc>
      </w:tr>
      <w:tr w:rsidR="00287DF4" w:rsidRPr="003D1B19" w14:paraId="3A2B1C05" w14:textId="77777777" w:rsidTr="00731C1C">
        <w:trPr>
          <w:trHeight w:val="510"/>
        </w:trPr>
        <w:tc>
          <w:tcPr>
            <w:tcW w:w="5000" w:type="pct"/>
            <w:gridSpan w:val="10"/>
            <w:tcBorders>
              <w:top w:val="single" w:sz="4" w:space="0" w:color="auto"/>
            </w:tcBorders>
            <w:vAlign w:val="center"/>
          </w:tcPr>
          <w:p w14:paraId="7B5655EB" w14:textId="77777777" w:rsidR="00287DF4" w:rsidRPr="003D1B19" w:rsidRDefault="00287DF4" w:rsidP="00731C1C">
            <w:pPr>
              <w:spacing w:before="80" w:after="0"/>
              <w:jc w:val="both"/>
              <w:rPr>
                <w:rFonts w:ascii="Times New Roman" w:hAnsi="Times New Roman" w:cs="Times New Roman"/>
                <w:sz w:val="20"/>
                <w:szCs w:val="20"/>
                <w:lang w:val="en-US"/>
              </w:rPr>
            </w:pPr>
            <w:r w:rsidRPr="003D1B19">
              <w:rPr>
                <w:rFonts w:ascii="Times New Roman" w:hAnsi="Times New Roman" w:cs="Times New Roman"/>
                <w:b/>
                <w:bCs/>
                <w:sz w:val="20"/>
                <w:szCs w:val="20"/>
                <w:lang w:val="en-US"/>
              </w:rPr>
              <w:t>Note.</w:t>
            </w:r>
            <w:r w:rsidRPr="003D1B19">
              <w:rPr>
                <w:rFonts w:ascii="Times New Roman" w:hAnsi="Times New Roman" w:cs="Times New Roman"/>
                <w:sz w:val="20"/>
                <w:szCs w:val="20"/>
                <w:lang w:val="en-US"/>
              </w:rPr>
              <w:t xml:space="preserve"> Items of Connectedness to Nature Scale, Connectedness to Humanity Scale, Cognitive decentering Scale are rated on a 5-point Likert scale, Items of Dysfunctional Attitudes Scale are rated on a 4-point Likert scale; Items of Identity Threat Scale are rated on a 6-point Likert scale; Items of Depressive Symptoms subscale are rated on a scale ranging from 0 to 3. </w:t>
            </w:r>
            <w:r w:rsidRPr="003D1B19">
              <w:rPr>
                <w:rFonts w:ascii="Times New Roman" w:hAnsi="Times New Roman" w:cs="Times New Roman"/>
                <w:i/>
                <w:iCs/>
                <w:sz w:val="20"/>
                <w:szCs w:val="20"/>
                <w:lang w:val="en-US"/>
              </w:rPr>
              <w:t xml:space="preserve">d </w:t>
            </w:r>
            <w:r w:rsidRPr="003D1B19">
              <w:rPr>
                <w:rFonts w:ascii="Times New Roman" w:hAnsi="Times New Roman" w:cs="Times New Roman"/>
                <w:sz w:val="20"/>
                <w:szCs w:val="20"/>
                <w:lang w:val="en-US"/>
              </w:rPr>
              <w:t xml:space="preserve">&lt; 0.2 = small effect size, </w:t>
            </w:r>
            <w:r w:rsidRPr="003D1B19">
              <w:rPr>
                <w:rFonts w:ascii="Times New Roman" w:hAnsi="Times New Roman" w:cs="Times New Roman"/>
                <w:i/>
                <w:iCs/>
                <w:sz w:val="20"/>
                <w:szCs w:val="20"/>
                <w:lang w:val="en-US"/>
              </w:rPr>
              <w:t>d</w:t>
            </w:r>
            <w:r w:rsidRPr="003D1B19">
              <w:rPr>
                <w:rFonts w:ascii="Times New Roman" w:hAnsi="Times New Roman" w:cs="Times New Roman"/>
                <w:sz w:val="20"/>
                <w:szCs w:val="20"/>
                <w:lang w:val="en-US"/>
              </w:rPr>
              <w:t xml:space="preserve"> &lt; 0.5 = medium effect size, </w:t>
            </w:r>
            <w:r w:rsidRPr="003D1B19">
              <w:rPr>
                <w:rFonts w:ascii="Times New Roman" w:hAnsi="Times New Roman" w:cs="Times New Roman"/>
                <w:i/>
                <w:iCs/>
                <w:sz w:val="20"/>
                <w:szCs w:val="20"/>
                <w:lang w:val="en-US"/>
              </w:rPr>
              <w:t>d</w:t>
            </w:r>
            <w:r w:rsidRPr="003D1B19">
              <w:rPr>
                <w:rFonts w:ascii="Times New Roman" w:hAnsi="Times New Roman" w:cs="Times New Roman"/>
                <w:sz w:val="20"/>
                <w:szCs w:val="20"/>
                <w:lang w:val="en-US"/>
              </w:rPr>
              <w:t xml:space="preserve"> &lt; 0.8 = large  effect size; ***</w:t>
            </w:r>
            <w:r w:rsidRPr="003D1B19">
              <w:rPr>
                <w:rFonts w:ascii="Times New Roman" w:hAnsi="Times New Roman" w:cs="Times New Roman"/>
                <w:i/>
                <w:iCs/>
                <w:sz w:val="20"/>
                <w:szCs w:val="20"/>
                <w:lang w:val="en-US"/>
              </w:rPr>
              <w:t>p</w:t>
            </w:r>
            <w:r>
              <w:rPr>
                <w:rFonts w:ascii="Times New Roman" w:hAnsi="Times New Roman" w:cs="Times New Roman"/>
                <w:sz w:val="20"/>
                <w:szCs w:val="20"/>
                <w:lang w:val="en-US"/>
              </w:rPr>
              <w:t xml:space="preserve"> </w:t>
            </w:r>
            <w:r w:rsidRPr="003D1B19">
              <w:rPr>
                <w:rFonts w:ascii="Times New Roman" w:hAnsi="Times New Roman" w:cs="Times New Roman"/>
                <w:sz w:val="20"/>
                <w:szCs w:val="20"/>
                <w:lang w:val="en-US"/>
              </w:rPr>
              <w:t>&lt; 0.001, **</w:t>
            </w:r>
            <w:r w:rsidRPr="003D1B19">
              <w:rPr>
                <w:rFonts w:ascii="Times New Roman" w:hAnsi="Times New Roman" w:cs="Times New Roman"/>
                <w:i/>
                <w:iCs/>
                <w:sz w:val="20"/>
                <w:szCs w:val="20"/>
                <w:lang w:val="en-US"/>
              </w:rPr>
              <w:t>p</w:t>
            </w:r>
            <w:r>
              <w:rPr>
                <w:rFonts w:ascii="Times New Roman" w:hAnsi="Times New Roman" w:cs="Times New Roman"/>
                <w:i/>
                <w:iCs/>
                <w:sz w:val="20"/>
                <w:szCs w:val="20"/>
                <w:lang w:val="en-US"/>
              </w:rPr>
              <w:t xml:space="preserve"> </w:t>
            </w:r>
            <w:r w:rsidRPr="003D1B19">
              <w:rPr>
                <w:rFonts w:ascii="Times New Roman" w:hAnsi="Times New Roman" w:cs="Times New Roman"/>
                <w:sz w:val="20"/>
                <w:szCs w:val="20"/>
                <w:lang w:val="en-US"/>
              </w:rPr>
              <w:t>&lt;</w:t>
            </w:r>
            <w:r>
              <w:rPr>
                <w:rFonts w:ascii="Times New Roman" w:hAnsi="Times New Roman" w:cs="Times New Roman"/>
                <w:sz w:val="20"/>
                <w:szCs w:val="20"/>
                <w:lang w:val="en-US"/>
              </w:rPr>
              <w:t xml:space="preserve"> </w:t>
            </w:r>
            <w:r w:rsidRPr="003D1B19">
              <w:rPr>
                <w:rFonts w:ascii="Times New Roman" w:hAnsi="Times New Roman" w:cs="Times New Roman"/>
                <w:sz w:val="20"/>
                <w:szCs w:val="20"/>
                <w:lang w:val="en-US"/>
              </w:rPr>
              <w:t>0.01, *</w:t>
            </w:r>
            <w:r w:rsidRPr="003D1B19">
              <w:rPr>
                <w:rFonts w:ascii="Times New Roman" w:hAnsi="Times New Roman" w:cs="Times New Roman"/>
                <w:i/>
                <w:iCs/>
                <w:sz w:val="20"/>
                <w:szCs w:val="20"/>
                <w:lang w:val="en-US"/>
              </w:rPr>
              <w:t>p</w:t>
            </w:r>
            <w:r>
              <w:rPr>
                <w:rFonts w:ascii="Times New Roman" w:hAnsi="Times New Roman" w:cs="Times New Roman"/>
                <w:i/>
                <w:iCs/>
                <w:sz w:val="20"/>
                <w:szCs w:val="20"/>
                <w:lang w:val="en-US"/>
              </w:rPr>
              <w:t xml:space="preserve"> </w:t>
            </w:r>
            <w:r w:rsidRPr="003D1B19">
              <w:rPr>
                <w:rFonts w:ascii="Times New Roman" w:hAnsi="Times New Roman" w:cs="Times New Roman"/>
                <w:sz w:val="20"/>
                <w:szCs w:val="20"/>
                <w:lang w:val="en-US"/>
              </w:rPr>
              <w:t>&lt;</w:t>
            </w:r>
            <w:r>
              <w:rPr>
                <w:rFonts w:ascii="Times New Roman" w:hAnsi="Times New Roman" w:cs="Times New Roman"/>
                <w:sz w:val="20"/>
                <w:szCs w:val="20"/>
                <w:lang w:val="en-US"/>
              </w:rPr>
              <w:t xml:space="preserve"> </w:t>
            </w:r>
            <w:r w:rsidRPr="003D1B19">
              <w:rPr>
                <w:rFonts w:ascii="Times New Roman" w:hAnsi="Times New Roman" w:cs="Times New Roman"/>
                <w:sz w:val="20"/>
                <w:szCs w:val="20"/>
                <w:lang w:val="en-US"/>
              </w:rPr>
              <w:t>0.05.</w:t>
            </w:r>
          </w:p>
        </w:tc>
      </w:tr>
    </w:tbl>
    <w:p w14:paraId="22DECB34" w14:textId="77777777" w:rsidR="00287DF4" w:rsidRPr="003D1B19" w:rsidRDefault="00287DF4" w:rsidP="00287DF4">
      <w:pPr>
        <w:spacing w:line="360" w:lineRule="auto"/>
        <w:jc w:val="both"/>
        <w:rPr>
          <w:rFonts w:ascii="Times New Roman" w:hAnsi="Times New Roman" w:cs="Times New Roman"/>
          <w:sz w:val="24"/>
          <w:szCs w:val="24"/>
          <w:lang w:val="en-US"/>
        </w:rPr>
        <w:sectPr w:rsidR="00287DF4" w:rsidRPr="003D1B19" w:rsidSect="0022661B">
          <w:pgSz w:w="16838" w:h="11906" w:orient="landscape"/>
          <w:pgMar w:top="567" w:right="567" w:bottom="567" w:left="567" w:header="709" w:footer="709" w:gutter="0"/>
          <w:cols w:space="708"/>
          <w:docGrid w:linePitch="360"/>
        </w:sectPr>
      </w:pPr>
    </w:p>
    <w:p w14:paraId="58264622" w14:textId="77777777" w:rsidR="00287DF4" w:rsidRPr="003D1B19" w:rsidRDefault="00287DF4" w:rsidP="00287DF4">
      <w:pPr>
        <w:pStyle w:val="NormalWeb"/>
        <w:spacing w:before="0" w:beforeAutospacing="0" w:after="0" w:afterAutospacing="0" w:line="480" w:lineRule="auto"/>
        <w:jc w:val="both"/>
        <w:rPr>
          <w:b/>
          <w:bCs/>
          <w:lang w:val="en-US"/>
        </w:rPr>
      </w:pPr>
      <w:r w:rsidRPr="003D1B19">
        <w:rPr>
          <w:b/>
          <w:bCs/>
          <w:lang w:val="en-US"/>
        </w:rPr>
        <w:lastRenderedPageBreak/>
        <w:t>Between-Group Mediation Models</w:t>
      </w:r>
    </w:p>
    <w:p w14:paraId="4F5D61B0" w14:textId="77777777" w:rsidR="00287DF4" w:rsidRPr="003D1B19" w:rsidRDefault="00287DF4" w:rsidP="00287DF4">
      <w:pPr>
        <w:pStyle w:val="NormalWeb"/>
        <w:spacing w:before="0" w:beforeAutospacing="0" w:after="0" w:afterAutospacing="0" w:line="480" w:lineRule="auto"/>
        <w:jc w:val="both"/>
        <w:rPr>
          <w:lang w:val="en-US"/>
        </w:rPr>
      </w:pPr>
      <w:r w:rsidRPr="003D1B19">
        <w:rPr>
          <w:lang w:val="en-US"/>
        </w:rPr>
        <w:t xml:space="preserve">In response to reviewer suggestions, we conducted complementary between-group mediation analyses to examine whether group differences were mediated by changes in selflessness components. Condition was entered as the independent variable using dummy-coded contrasts comparing each active meditation condition (Focused Attention [FA] or Self-Inquiry [SI]) to the waitlist control group (WL). Pre–post change scores were computed for all mediator and outcome variables. For each outcome (dysfunctional attitudes, depressive symptoms, and identity threat), parallel mediation models were estimated with connectedness to humanity, connectedness to nature, and cognitive decentering as mediators. All models were estimated using generalized linear mediation models using </w:t>
      </w:r>
      <w:proofErr w:type="spellStart"/>
      <w:r w:rsidRPr="003D1B19">
        <w:rPr>
          <w:lang w:val="en-US"/>
        </w:rPr>
        <w:t>Jamovi</w:t>
      </w:r>
      <w:proofErr w:type="spellEnd"/>
      <w:r w:rsidRPr="003D1B19">
        <w:rPr>
          <w:lang w:val="en-US"/>
        </w:rPr>
        <w:t xml:space="preserve"> (2.6.44).</w:t>
      </w:r>
    </w:p>
    <w:p w14:paraId="4C7986E3" w14:textId="77777777" w:rsidR="00287DF4" w:rsidRPr="003D1B19" w:rsidRDefault="00287DF4" w:rsidP="00287DF4">
      <w:pPr>
        <w:pStyle w:val="NormalWeb"/>
        <w:spacing w:before="0" w:beforeAutospacing="0" w:after="0" w:afterAutospacing="0" w:line="480" w:lineRule="auto"/>
        <w:jc w:val="both"/>
        <w:rPr>
          <w:lang w:val="en-US"/>
        </w:rPr>
      </w:pPr>
      <w:r w:rsidRPr="003D1B19">
        <w:rPr>
          <w:i/>
          <w:iCs/>
          <w:lang w:val="en-US"/>
        </w:rPr>
        <w:t xml:space="preserve">Dysfunctional attitudes – </w:t>
      </w:r>
      <w:r w:rsidRPr="003D1B19">
        <w:rPr>
          <w:lang w:val="en-US"/>
        </w:rPr>
        <w:t>In the SI vs. WL comparison, none of the indirect effects through connectedness to humanity, connectedness to nature, or cognitive decentering reached statistical significance. However, changes in cognitive decentering were strongly associated with reductions in dysfunctional attitudes (</w:t>
      </w:r>
      <w:r w:rsidRPr="003D1B19">
        <w:rPr>
          <w:i/>
          <w:iCs/>
        </w:rPr>
        <w:t>β</w:t>
      </w:r>
      <w:r w:rsidRPr="003D1B19">
        <w:rPr>
          <w:lang w:val="en-US"/>
        </w:rPr>
        <w:t xml:space="preserve"> = −0.39, </w:t>
      </w:r>
      <w:r w:rsidRPr="003D1B19">
        <w:rPr>
          <w:i/>
          <w:iCs/>
          <w:lang w:val="en-US"/>
        </w:rPr>
        <w:t>p</w:t>
      </w:r>
      <w:r w:rsidRPr="003D1B19">
        <w:rPr>
          <w:lang w:val="en-US"/>
        </w:rPr>
        <w:t xml:space="preserve"> &lt; </w:t>
      </w:r>
      <w:r>
        <w:rPr>
          <w:lang w:val="en-US"/>
        </w:rPr>
        <w:t>0</w:t>
      </w:r>
      <w:r w:rsidRPr="003D1B19">
        <w:rPr>
          <w:lang w:val="en-US"/>
        </w:rPr>
        <w:t>.001). The total and direct effects of SI relative to WL were not statistically significant. In the FA vs. WL comparison, a significant indirect effect was observed through cognitive decentering (</w:t>
      </w:r>
      <w:r w:rsidRPr="003D1B19">
        <w:rPr>
          <w:i/>
          <w:iCs/>
        </w:rPr>
        <w:t>β</w:t>
      </w:r>
      <w:r w:rsidRPr="003D1B19">
        <w:rPr>
          <w:lang w:val="en-US"/>
        </w:rPr>
        <w:t xml:space="preserve"> = −0.07, </w:t>
      </w:r>
      <w:r w:rsidRPr="003D1B19">
        <w:rPr>
          <w:i/>
          <w:iCs/>
          <w:lang w:val="en-US"/>
        </w:rPr>
        <w:t>p</w:t>
      </w:r>
      <w:r w:rsidRPr="003D1B19">
        <w:rPr>
          <w:lang w:val="en-US"/>
        </w:rPr>
        <w:t xml:space="preserve"> = </w:t>
      </w:r>
      <w:r>
        <w:rPr>
          <w:lang w:val="en-US"/>
        </w:rPr>
        <w:t>0</w:t>
      </w:r>
      <w:r w:rsidRPr="003D1B19">
        <w:rPr>
          <w:lang w:val="en-US"/>
        </w:rPr>
        <w:t>.022), while indirect effects through connectedness variables were non-significant. FA also showed a significant total effect on dysfunctional attitudes relative to WL (</w:t>
      </w:r>
      <w:r w:rsidRPr="003D1B19">
        <w:rPr>
          <w:i/>
          <w:iCs/>
        </w:rPr>
        <w:t>β</w:t>
      </w:r>
      <w:r w:rsidRPr="003D1B19">
        <w:rPr>
          <w:lang w:val="en-US"/>
        </w:rPr>
        <w:t xml:space="preserve"> = −0.33, </w:t>
      </w:r>
      <w:r w:rsidRPr="003D1B19">
        <w:rPr>
          <w:i/>
          <w:iCs/>
          <w:lang w:val="en-US"/>
        </w:rPr>
        <w:t>p</w:t>
      </w:r>
      <w:r w:rsidRPr="003D1B19">
        <w:rPr>
          <w:lang w:val="en-US"/>
        </w:rPr>
        <w:t xml:space="preserve"> &lt; </w:t>
      </w:r>
      <w:r>
        <w:rPr>
          <w:lang w:val="en-US"/>
        </w:rPr>
        <w:t>0</w:t>
      </w:r>
      <w:r w:rsidRPr="003D1B19">
        <w:rPr>
          <w:lang w:val="en-US"/>
        </w:rPr>
        <w:t>.001), with a remaining direct effect after accounting for mediators.</w:t>
      </w:r>
    </w:p>
    <w:p w14:paraId="6D388628" w14:textId="77777777" w:rsidR="00287DF4" w:rsidRPr="003D1B19" w:rsidRDefault="00287DF4" w:rsidP="00287DF4">
      <w:pPr>
        <w:pStyle w:val="NormalWeb"/>
        <w:spacing w:before="0" w:beforeAutospacing="0" w:after="0" w:afterAutospacing="0" w:line="480" w:lineRule="auto"/>
        <w:jc w:val="both"/>
        <w:rPr>
          <w:lang w:val="en-US"/>
        </w:rPr>
      </w:pPr>
      <w:r w:rsidRPr="003D1B19">
        <w:rPr>
          <w:i/>
          <w:iCs/>
          <w:lang w:val="en-US"/>
        </w:rPr>
        <w:t xml:space="preserve">Depressive symptoms – </w:t>
      </w:r>
      <w:r w:rsidRPr="003D1B19">
        <w:rPr>
          <w:lang w:val="en-US"/>
        </w:rPr>
        <w:t>For the SI vs. WL comparison, indirect effects through selflessness components were non-significant. Nevertheless, changes in cognitive decentering were strongly associated with reductions in depressive symptoms (</w:t>
      </w:r>
      <w:r w:rsidRPr="003D1B19">
        <w:rPr>
          <w:i/>
          <w:iCs/>
        </w:rPr>
        <w:t>β</w:t>
      </w:r>
      <w:r w:rsidRPr="003D1B19">
        <w:rPr>
          <w:lang w:val="en-US"/>
        </w:rPr>
        <w:t xml:space="preserve"> = −0.30, </w:t>
      </w:r>
      <w:r w:rsidRPr="003D1B19">
        <w:rPr>
          <w:i/>
          <w:iCs/>
          <w:lang w:val="en-US"/>
        </w:rPr>
        <w:t>p</w:t>
      </w:r>
      <w:r w:rsidRPr="003D1B19">
        <w:rPr>
          <w:lang w:val="en-US"/>
        </w:rPr>
        <w:t xml:space="preserve"> &lt; </w:t>
      </w:r>
      <w:r>
        <w:rPr>
          <w:lang w:val="en-US"/>
        </w:rPr>
        <w:t>0</w:t>
      </w:r>
      <w:r w:rsidRPr="003D1B19">
        <w:rPr>
          <w:lang w:val="en-US"/>
        </w:rPr>
        <w:t>.001), and SI showed a significant total effect on depressive symptoms relative to WL (</w:t>
      </w:r>
      <w:r w:rsidRPr="003D1B19">
        <w:rPr>
          <w:i/>
          <w:iCs/>
        </w:rPr>
        <w:t>β</w:t>
      </w:r>
      <w:r w:rsidRPr="003D1B19">
        <w:rPr>
          <w:i/>
          <w:iCs/>
          <w:lang w:val="en-US"/>
        </w:rPr>
        <w:t xml:space="preserve"> </w:t>
      </w:r>
      <w:r w:rsidRPr="003D1B19">
        <w:rPr>
          <w:lang w:val="en-US"/>
        </w:rPr>
        <w:t xml:space="preserve">= −0.20, </w:t>
      </w:r>
      <w:r w:rsidRPr="003D1B19">
        <w:rPr>
          <w:i/>
          <w:iCs/>
          <w:lang w:val="en-US"/>
        </w:rPr>
        <w:t>p</w:t>
      </w:r>
      <w:r w:rsidRPr="003D1B19">
        <w:rPr>
          <w:lang w:val="en-US"/>
        </w:rPr>
        <w:t xml:space="preserve"> = </w:t>
      </w:r>
      <w:r>
        <w:rPr>
          <w:lang w:val="en-US"/>
        </w:rPr>
        <w:t>0</w:t>
      </w:r>
      <w:r w:rsidRPr="003D1B19">
        <w:rPr>
          <w:lang w:val="en-US"/>
        </w:rPr>
        <w:t xml:space="preserve">.013). In the FA vs. WL comparison, a significant indirect effect through cognitive decentering was observed </w:t>
      </w:r>
      <w:r w:rsidRPr="003D1B19">
        <w:rPr>
          <w:lang w:val="en-US"/>
        </w:rPr>
        <w:lastRenderedPageBreak/>
        <w:t>(</w:t>
      </w:r>
      <w:r w:rsidRPr="003D1B19">
        <w:rPr>
          <w:i/>
          <w:iCs/>
        </w:rPr>
        <w:t>β</w:t>
      </w:r>
      <w:r w:rsidRPr="003D1B19">
        <w:rPr>
          <w:lang w:val="en-US"/>
        </w:rPr>
        <w:t xml:space="preserve"> = −0.07, </w:t>
      </w:r>
      <w:r w:rsidRPr="003D1B19">
        <w:rPr>
          <w:i/>
          <w:iCs/>
          <w:lang w:val="en-US"/>
        </w:rPr>
        <w:t>p</w:t>
      </w:r>
      <w:r w:rsidRPr="003D1B19">
        <w:rPr>
          <w:lang w:val="en-US"/>
        </w:rPr>
        <w:t xml:space="preserve"> = </w:t>
      </w:r>
      <w:r>
        <w:rPr>
          <w:lang w:val="en-US"/>
        </w:rPr>
        <w:t>0</w:t>
      </w:r>
      <w:r w:rsidRPr="003D1B19">
        <w:rPr>
          <w:lang w:val="en-US"/>
        </w:rPr>
        <w:t>.028), whereas indirect effects through connectedness variables were non-significant. The total effect of FA relative to WL was not statistically significant.</w:t>
      </w:r>
    </w:p>
    <w:p w14:paraId="2C7FA89D" w14:textId="77777777" w:rsidR="00287DF4" w:rsidRPr="003D1B19" w:rsidRDefault="00287DF4" w:rsidP="00287DF4">
      <w:pPr>
        <w:pStyle w:val="NormalWeb"/>
        <w:spacing w:before="0" w:beforeAutospacing="0" w:after="0" w:afterAutospacing="0" w:line="480" w:lineRule="auto"/>
        <w:jc w:val="both"/>
        <w:rPr>
          <w:lang w:val="en-US"/>
        </w:rPr>
      </w:pPr>
      <w:r w:rsidRPr="003D1B19">
        <w:rPr>
          <w:i/>
          <w:iCs/>
          <w:lang w:val="en-US"/>
        </w:rPr>
        <w:t xml:space="preserve">Identity threat – </w:t>
      </w:r>
      <w:r w:rsidRPr="003D1B19">
        <w:rPr>
          <w:lang w:val="en-US"/>
        </w:rPr>
        <w:t xml:space="preserve">In both SI vs. WL and FA vs. WL comparisons, indirect effects through selflessness components did not reach statistical significance. However, in all models, changes in cognitive decentering were significantly associated with reductions in identity threat (SI: </w:t>
      </w:r>
      <w:r w:rsidRPr="003D1B19">
        <w:rPr>
          <w:i/>
          <w:iCs/>
        </w:rPr>
        <w:t>β</w:t>
      </w:r>
      <w:r w:rsidRPr="003D1B19">
        <w:rPr>
          <w:lang w:val="en-US"/>
        </w:rPr>
        <w:t xml:space="preserve"> = −0.26, </w:t>
      </w:r>
      <w:r w:rsidRPr="003D1B19">
        <w:rPr>
          <w:i/>
          <w:iCs/>
          <w:lang w:val="en-US"/>
        </w:rPr>
        <w:t>p</w:t>
      </w:r>
      <w:r w:rsidRPr="003D1B19">
        <w:rPr>
          <w:lang w:val="en-US"/>
        </w:rPr>
        <w:t xml:space="preserve"> = </w:t>
      </w:r>
      <w:r>
        <w:rPr>
          <w:lang w:val="en-US"/>
        </w:rPr>
        <w:t>0</w:t>
      </w:r>
      <w:r w:rsidRPr="003D1B19">
        <w:rPr>
          <w:lang w:val="en-US"/>
        </w:rPr>
        <w:t xml:space="preserve">.003; FA: </w:t>
      </w:r>
      <w:r w:rsidRPr="003D1B19">
        <w:rPr>
          <w:i/>
          <w:iCs/>
        </w:rPr>
        <w:t>β</w:t>
      </w:r>
      <w:r w:rsidRPr="003D1B19">
        <w:rPr>
          <w:lang w:val="en-US"/>
        </w:rPr>
        <w:t xml:space="preserve"> = −0.23, </w:t>
      </w:r>
      <w:r w:rsidRPr="003D1B19">
        <w:rPr>
          <w:i/>
          <w:iCs/>
          <w:lang w:val="en-US"/>
        </w:rPr>
        <w:t>p</w:t>
      </w:r>
      <w:r w:rsidRPr="003D1B19">
        <w:rPr>
          <w:lang w:val="en-US"/>
        </w:rPr>
        <w:t xml:space="preserve"> = </w:t>
      </w:r>
      <w:r>
        <w:rPr>
          <w:lang w:val="en-US"/>
        </w:rPr>
        <w:t>0</w:t>
      </w:r>
      <w:r w:rsidRPr="003D1B19">
        <w:rPr>
          <w:lang w:val="en-US"/>
        </w:rPr>
        <w:t>.008). Neither contrast showed a significant total effect on identity threat at the between-group level.</w:t>
      </w:r>
    </w:p>
    <w:p w14:paraId="38746115" w14:textId="77777777" w:rsidR="00287DF4" w:rsidRPr="00CD2F9A" w:rsidRDefault="00287DF4" w:rsidP="00287DF4">
      <w:pPr>
        <w:pStyle w:val="NormalWeb"/>
        <w:spacing w:before="0" w:beforeAutospacing="0" w:after="0" w:afterAutospacing="0" w:line="480" w:lineRule="auto"/>
        <w:jc w:val="both"/>
        <w:rPr>
          <w:lang w:val="en-US"/>
        </w:rPr>
      </w:pPr>
      <w:r w:rsidRPr="003D1B19">
        <w:rPr>
          <w:lang w:val="en-US"/>
        </w:rPr>
        <w:t>Overall, these complementary between-group mediation analyses yielded limited evidence for indirect effects at the group level. However, across all outcomes and contrasts, cognitive decentering consistently emerged as a key process associated with symptom improvement. These findings are consistent with the primary within-condition mediation analyses, which indicated that mechanisms of change are best captured by practice-specific, within-person processes rather than by average group differences.</w:t>
      </w:r>
    </w:p>
    <w:p w14:paraId="5AACE517" w14:textId="77777777" w:rsidR="00287DF4" w:rsidRPr="00287DF4" w:rsidRDefault="00287DF4">
      <w:pPr>
        <w:rPr>
          <w:lang w:val="en-US"/>
        </w:rPr>
      </w:pPr>
    </w:p>
    <w:sectPr w:rsidR="00287DF4" w:rsidRPr="00287D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DF4"/>
    <w:rsid w:val="00287D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C243"/>
  <w15:chartTrackingRefBased/>
  <w15:docId w15:val="{50C17123-DB75-421F-AD5D-4201BF3F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DF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87DF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87DF4"/>
    <w:rPr>
      <w:i/>
      <w:iCs/>
    </w:rPr>
  </w:style>
  <w:style w:type="character" w:styleId="lev">
    <w:name w:val="Strong"/>
    <w:basedOn w:val="Policepardfaut"/>
    <w:uiPriority w:val="22"/>
    <w:qFormat/>
    <w:rsid w:val="00287D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933</Words>
  <Characters>5135</Characters>
  <Application>Microsoft Office Word</Application>
  <DocSecurity>0</DocSecurity>
  <Lines>42</Lines>
  <Paragraphs>12</Paragraphs>
  <ScaleCrop>false</ScaleCrop>
  <Company>URCA</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Stinus</dc:creator>
  <cp:keywords/>
  <dc:description/>
  <cp:lastModifiedBy>Celine Stinus</cp:lastModifiedBy>
  <cp:revision>1</cp:revision>
  <dcterms:created xsi:type="dcterms:W3CDTF">2026-03-03T11:16:00Z</dcterms:created>
  <dcterms:modified xsi:type="dcterms:W3CDTF">2026-03-03T11:16:00Z</dcterms:modified>
</cp:coreProperties>
</file>