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A676" w14:textId="1009CC09" w:rsidR="00185B32" w:rsidRPr="008F275D" w:rsidRDefault="00185B32" w:rsidP="00185B32">
      <w:pPr>
        <w:pStyle w:val="Heading1"/>
        <w:jc w:val="center"/>
        <w:rPr>
          <w:rFonts w:cs="Arial"/>
          <w:sz w:val="22"/>
          <w:szCs w:val="22"/>
        </w:rPr>
      </w:pPr>
      <w:bookmarkStart w:id="0" w:name="_Hlk214197217"/>
      <w:r w:rsidRPr="008F275D">
        <w:rPr>
          <w:rFonts w:cs="Arial"/>
          <w:sz w:val="22"/>
          <w:szCs w:val="22"/>
        </w:rPr>
        <w:t>Supplement A</w:t>
      </w:r>
    </w:p>
    <w:p w14:paraId="032B3091" w14:textId="186E04D9" w:rsidR="00185B32" w:rsidRPr="008F275D" w:rsidRDefault="00185B32" w:rsidP="00185B32">
      <w:pPr>
        <w:pStyle w:val="Heading1"/>
        <w:jc w:val="center"/>
        <w:rPr>
          <w:rFonts w:cs="Arial"/>
          <w:sz w:val="22"/>
          <w:szCs w:val="22"/>
        </w:rPr>
      </w:pPr>
      <w:r w:rsidRPr="008F275D">
        <w:rPr>
          <w:rFonts w:cs="Arial"/>
          <w:sz w:val="22"/>
          <w:szCs w:val="22"/>
        </w:rPr>
        <w:t>METHODS AND ANALYSIS</w:t>
      </w:r>
    </w:p>
    <w:bookmarkEnd w:id="0"/>
    <w:p w14:paraId="2AF2CFC4" w14:textId="48355904" w:rsidR="00185B32" w:rsidRPr="008F275D" w:rsidRDefault="00185B32" w:rsidP="00185B32">
      <w:pPr>
        <w:pStyle w:val="Heading2"/>
        <w:rPr>
          <w:rFonts w:cs="Arial"/>
          <w:sz w:val="22"/>
          <w:szCs w:val="22"/>
        </w:rPr>
      </w:pPr>
      <w:r w:rsidRPr="008F275D">
        <w:rPr>
          <w:rFonts w:cs="Arial"/>
          <w:sz w:val="22"/>
          <w:szCs w:val="22"/>
        </w:rPr>
        <w:t xml:space="preserve">Study </w:t>
      </w:r>
      <w:r w:rsidR="004711B1" w:rsidRPr="008F275D">
        <w:rPr>
          <w:rFonts w:cs="Arial"/>
          <w:sz w:val="22"/>
          <w:szCs w:val="22"/>
        </w:rPr>
        <w:t>D</w:t>
      </w:r>
      <w:r w:rsidRPr="008F275D">
        <w:rPr>
          <w:rFonts w:cs="Arial"/>
          <w:sz w:val="22"/>
          <w:szCs w:val="22"/>
        </w:rPr>
        <w:t xml:space="preserve">esign and </w:t>
      </w:r>
      <w:r w:rsidR="004711B1" w:rsidRPr="008F275D">
        <w:rPr>
          <w:rFonts w:cs="Arial"/>
          <w:sz w:val="22"/>
          <w:szCs w:val="22"/>
        </w:rPr>
        <w:t>Q</w:t>
      </w:r>
      <w:r w:rsidRPr="008F275D">
        <w:rPr>
          <w:rFonts w:cs="Arial"/>
          <w:sz w:val="22"/>
          <w:szCs w:val="22"/>
        </w:rPr>
        <w:t xml:space="preserve">ualitative </w:t>
      </w:r>
      <w:r w:rsidR="004711B1" w:rsidRPr="008F275D">
        <w:rPr>
          <w:rFonts w:cs="Arial"/>
          <w:sz w:val="22"/>
          <w:szCs w:val="22"/>
        </w:rPr>
        <w:t>A</w:t>
      </w:r>
      <w:r w:rsidRPr="008F275D">
        <w:rPr>
          <w:rFonts w:cs="Arial"/>
          <w:sz w:val="22"/>
          <w:szCs w:val="22"/>
        </w:rPr>
        <w:t>pproach</w:t>
      </w:r>
    </w:p>
    <w:p w14:paraId="18BD1204" w14:textId="74CA04DF" w:rsidR="00185B32" w:rsidRPr="008F275D" w:rsidRDefault="00A457CF" w:rsidP="00D22C8E">
      <w:pPr>
        <w:spacing w:line="480" w:lineRule="auto"/>
        <w:ind w:firstLine="720"/>
        <w:rPr>
          <w:rFonts w:ascii="Arial" w:hAnsi="Arial" w:cs="Arial"/>
          <w:sz w:val="22"/>
          <w:szCs w:val="22"/>
        </w:rPr>
      </w:pPr>
      <w:r w:rsidRPr="008F275D">
        <w:rPr>
          <w:rFonts w:ascii="Arial" w:hAnsi="Arial" w:cs="Arial"/>
          <w:sz w:val="22"/>
          <w:szCs w:val="22"/>
        </w:rPr>
        <w:t>No additional information.</w:t>
      </w:r>
    </w:p>
    <w:p w14:paraId="33B84378" w14:textId="77777777" w:rsidR="00A457CF" w:rsidRPr="008F275D" w:rsidRDefault="00A457CF" w:rsidP="00185B32">
      <w:pPr>
        <w:spacing w:line="480" w:lineRule="auto"/>
        <w:ind w:firstLine="720"/>
        <w:rPr>
          <w:rFonts w:ascii="Arial" w:hAnsi="Arial" w:cs="Arial"/>
          <w:sz w:val="22"/>
          <w:szCs w:val="22"/>
        </w:rPr>
      </w:pPr>
    </w:p>
    <w:p w14:paraId="55BD53FA" w14:textId="43D841EE" w:rsidR="00185B32" w:rsidRPr="008F275D" w:rsidRDefault="00185B32" w:rsidP="00185B32">
      <w:pPr>
        <w:pStyle w:val="Heading2"/>
        <w:rPr>
          <w:rFonts w:cs="Arial"/>
          <w:sz w:val="22"/>
          <w:szCs w:val="22"/>
        </w:rPr>
      </w:pPr>
      <w:r w:rsidRPr="008F275D">
        <w:rPr>
          <w:rFonts w:cs="Arial"/>
          <w:sz w:val="22"/>
          <w:szCs w:val="22"/>
        </w:rPr>
        <w:t xml:space="preserve">Participant </w:t>
      </w:r>
      <w:r w:rsidR="004711B1" w:rsidRPr="008F275D">
        <w:rPr>
          <w:rFonts w:cs="Arial"/>
          <w:sz w:val="22"/>
          <w:szCs w:val="22"/>
        </w:rPr>
        <w:t>R</w:t>
      </w:r>
      <w:r w:rsidRPr="008F275D">
        <w:rPr>
          <w:rFonts w:cs="Arial"/>
          <w:sz w:val="22"/>
          <w:szCs w:val="22"/>
        </w:rPr>
        <w:t xml:space="preserve">ecruitment and </w:t>
      </w:r>
      <w:r w:rsidR="004711B1" w:rsidRPr="008F275D">
        <w:rPr>
          <w:rFonts w:cs="Arial"/>
          <w:sz w:val="22"/>
          <w:szCs w:val="22"/>
        </w:rPr>
        <w:t>S</w:t>
      </w:r>
      <w:r w:rsidRPr="008F275D">
        <w:rPr>
          <w:rFonts w:cs="Arial"/>
          <w:sz w:val="22"/>
          <w:szCs w:val="22"/>
        </w:rPr>
        <w:t>election</w:t>
      </w:r>
    </w:p>
    <w:p w14:paraId="5B4B92C8" w14:textId="0FE5AF8E" w:rsidR="00185B32" w:rsidRPr="008F275D" w:rsidRDefault="00185B32" w:rsidP="00185B32">
      <w:pPr>
        <w:spacing w:line="480" w:lineRule="auto"/>
        <w:ind w:firstLine="720"/>
        <w:rPr>
          <w:rFonts w:ascii="Arial" w:hAnsi="Arial" w:cs="Arial"/>
          <w:sz w:val="22"/>
          <w:szCs w:val="22"/>
        </w:rPr>
      </w:pPr>
      <w:r w:rsidRPr="008F275D">
        <w:rPr>
          <w:rFonts w:ascii="Arial" w:hAnsi="Arial" w:cs="Arial"/>
          <w:sz w:val="22"/>
          <w:szCs w:val="22"/>
        </w:rPr>
        <w:t xml:space="preserve">Participants were recruited using snowball sampling due to the limited availability of advanced meditators who met strict expertise criteria in the general population. To mitigate selection bias, recruitment efforts targeted individuals from diverse traditions, backgrounds, and geographical locations. Enrolled participants and meditation community contacts referred potential candidates, who were then invited to participate via email or phone. Interested individuals completed an online screening form assessing their meditation practice and experience, with particular focus on proficiency in ACAM and AIIM. Advanced meditators were defined as those who could reliably access, sustain, and emerge from ACAM or AIIM. Additional inclusion criteria required participants to be over the age of 18, fluent in both written and spoken English, and interested in the investigation of their own lived experience. </w:t>
      </w:r>
      <w:r w:rsidR="0063184C" w:rsidRPr="008F275D">
        <w:rPr>
          <w:rFonts w:ascii="Arial" w:hAnsi="Arial" w:cs="Arial"/>
          <w:sz w:val="22"/>
          <w:szCs w:val="22"/>
        </w:rPr>
        <w:t>The sample was diverse with respect to ethnicity, gender, and geographical background.</w:t>
      </w:r>
    </w:p>
    <w:p w14:paraId="7D4AF13F" w14:textId="77777777" w:rsidR="00185B32" w:rsidRPr="008F275D" w:rsidRDefault="00185B32" w:rsidP="00185B32">
      <w:pPr>
        <w:spacing w:line="480" w:lineRule="auto"/>
        <w:ind w:firstLine="720"/>
        <w:rPr>
          <w:rFonts w:ascii="Arial" w:hAnsi="Arial" w:cs="Arial"/>
          <w:sz w:val="22"/>
          <w:szCs w:val="22"/>
        </w:rPr>
      </w:pPr>
      <w:r w:rsidRPr="008F275D">
        <w:rPr>
          <w:rFonts w:ascii="Arial" w:hAnsi="Arial" w:cs="Arial"/>
          <w:sz w:val="22"/>
          <w:szCs w:val="22"/>
        </w:rPr>
        <w:t>After completing the online screening form, eligible participants underwent a virtual phone screening to confirm eligibility. Upon approval, research staff obtained digital informed consent before enrolling participants in the study. A separate consent form was required for participation in the meditative phenomenology interview, ensuring that participants agreed to privately and confidentially describe their meditation-related experiences.</w:t>
      </w:r>
    </w:p>
    <w:p w14:paraId="5C6B7334" w14:textId="77777777" w:rsidR="00185B32" w:rsidRPr="008F275D" w:rsidRDefault="00185B32" w:rsidP="00185B32">
      <w:pPr>
        <w:spacing w:line="480" w:lineRule="auto"/>
        <w:ind w:firstLine="720"/>
        <w:rPr>
          <w:rFonts w:ascii="Arial" w:hAnsi="Arial" w:cs="Arial"/>
          <w:sz w:val="22"/>
          <w:szCs w:val="22"/>
        </w:rPr>
      </w:pPr>
    </w:p>
    <w:p w14:paraId="15E9A68C" w14:textId="483BF6B6" w:rsidR="003006F8" w:rsidRPr="008F275D" w:rsidRDefault="003006F8" w:rsidP="003006F8">
      <w:pPr>
        <w:pStyle w:val="Heading2"/>
        <w:rPr>
          <w:rFonts w:cs="Arial"/>
          <w:sz w:val="22"/>
          <w:szCs w:val="22"/>
        </w:rPr>
      </w:pPr>
      <w:r w:rsidRPr="008F275D">
        <w:rPr>
          <w:rFonts w:cs="Arial"/>
          <w:sz w:val="22"/>
          <w:szCs w:val="22"/>
        </w:rPr>
        <w:t xml:space="preserve">Researcher </w:t>
      </w:r>
      <w:r w:rsidR="004711B1" w:rsidRPr="008F275D">
        <w:rPr>
          <w:rFonts w:cs="Arial"/>
          <w:sz w:val="22"/>
          <w:szCs w:val="22"/>
        </w:rPr>
        <w:t>C</w:t>
      </w:r>
      <w:r w:rsidRPr="008F275D">
        <w:rPr>
          <w:rFonts w:cs="Arial"/>
          <w:sz w:val="22"/>
          <w:szCs w:val="22"/>
        </w:rPr>
        <w:t xml:space="preserve">haracteristics and </w:t>
      </w:r>
      <w:r w:rsidR="004711B1" w:rsidRPr="008F275D">
        <w:rPr>
          <w:rFonts w:cs="Arial"/>
          <w:sz w:val="22"/>
          <w:szCs w:val="22"/>
        </w:rPr>
        <w:t>R</w:t>
      </w:r>
      <w:r w:rsidRPr="008F275D">
        <w:rPr>
          <w:rFonts w:cs="Arial"/>
          <w:sz w:val="22"/>
          <w:szCs w:val="22"/>
        </w:rPr>
        <w:t>eflexivity</w:t>
      </w:r>
    </w:p>
    <w:p w14:paraId="18F376E0" w14:textId="77777777" w:rsidR="00D22C8E" w:rsidRPr="008F275D" w:rsidRDefault="00D22C8E" w:rsidP="00D22C8E">
      <w:pPr>
        <w:spacing w:line="480" w:lineRule="auto"/>
        <w:ind w:firstLine="720"/>
        <w:rPr>
          <w:rFonts w:ascii="Arial" w:hAnsi="Arial" w:cs="Arial"/>
          <w:sz w:val="22"/>
          <w:szCs w:val="22"/>
        </w:rPr>
      </w:pPr>
      <w:r w:rsidRPr="008F275D">
        <w:rPr>
          <w:rFonts w:ascii="Arial" w:hAnsi="Arial" w:cs="Arial"/>
          <w:sz w:val="22"/>
          <w:szCs w:val="22"/>
        </w:rPr>
        <w:t>No additional information.</w:t>
      </w:r>
    </w:p>
    <w:p w14:paraId="0F37B523" w14:textId="77777777" w:rsidR="002262E2" w:rsidRPr="008F275D" w:rsidRDefault="002262E2" w:rsidP="002262E2">
      <w:pPr>
        <w:spacing w:line="480" w:lineRule="auto"/>
        <w:ind w:firstLine="720"/>
        <w:rPr>
          <w:rFonts w:ascii="Arial" w:hAnsi="Arial" w:cs="Arial"/>
          <w:sz w:val="22"/>
          <w:szCs w:val="22"/>
        </w:rPr>
      </w:pPr>
    </w:p>
    <w:p w14:paraId="61855FBF" w14:textId="7594D4B4" w:rsidR="002262E2" w:rsidRPr="008F275D" w:rsidRDefault="002262E2" w:rsidP="002262E2">
      <w:pPr>
        <w:pStyle w:val="Heading2"/>
        <w:rPr>
          <w:rFonts w:cs="Arial"/>
          <w:sz w:val="22"/>
          <w:szCs w:val="22"/>
        </w:rPr>
      </w:pPr>
      <w:r w:rsidRPr="008F275D">
        <w:rPr>
          <w:rFonts w:cs="Arial"/>
          <w:sz w:val="22"/>
          <w:szCs w:val="22"/>
        </w:rPr>
        <w:t xml:space="preserve">Data </w:t>
      </w:r>
      <w:r w:rsidR="004711B1" w:rsidRPr="008F275D">
        <w:rPr>
          <w:rFonts w:cs="Arial"/>
          <w:sz w:val="22"/>
          <w:szCs w:val="22"/>
        </w:rPr>
        <w:t>C</w:t>
      </w:r>
      <w:r w:rsidRPr="008F275D">
        <w:rPr>
          <w:rFonts w:cs="Arial"/>
          <w:sz w:val="22"/>
          <w:szCs w:val="22"/>
        </w:rPr>
        <w:t>ollection</w:t>
      </w:r>
    </w:p>
    <w:p w14:paraId="54B70524" w14:textId="77777777" w:rsidR="002262E2" w:rsidRPr="008F275D" w:rsidRDefault="002262E2" w:rsidP="002262E2">
      <w:pPr>
        <w:spacing w:line="480" w:lineRule="auto"/>
        <w:ind w:firstLine="720"/>
        <w:rPr>
          <w:rFonts w:ascii="Arial" w:hAnsi="Arial" w:cs="Arial"/>
          <w:sz w:val="22"/>
          <w:szCs w:val="22"/>
        </w:rPr>
      </w:pPr>
      <w:r w:rsidRPr="008F275D">
        <w:rPr>
          <w:rFonts w:ascii="Arial" w:hAnsi="Arial" w:cs="Arial"/>
          <w:sz w:val="22"/>
          <w:szCs w:val="22"/>
        </w:rPr>
        <w:t xml:space="preserve">Interviews were conducted via Zoom, a secure online platform, between June 2022 and March 2025. All interviews were conducted exclusively by TS in English, except for several initially, during which the study’s principal investigator and a postdoctoral researcher were present. 6 participants completed one, 15 completed two, 4 completed three, and 3 completed four interviews for a total of 60 interviews, with each session typically lasting between 60 and 120 minutes. Multiple sessions were completed in order not to strain participants </w:t>
      </w:r>
      <w:proofErr w:type="gramStart"/>
      <w:r w:rsidRPr="008F275D">
        <w:rPr>
          <w:rFonts w:ascii="Arial" w:hAnsi="Arial" w:cs="Arial"/>
          <w:sz w:val="22"/>
          <w:szCs w:val="22"/>
        </w:rPr>
        <w:t>and also</w:t>
      </w:r>
      <w:proofErr w:type="gramEnd"/>
      <w:r w:rsidRPr="008F275D">
        <w:rPr>
          <w:rFonts w:ascii="Arial" w:hAnsi="Arial" w:cs="Arial"/>
          <w:sz w:val="22"/>
          <w:szCs w:val="22"/>
        </w:rPr>
        <w:t xml:space="preserve"> because some participants had more to report than others. Of the 60 interviews conducted across 28 individuals, only 55 were used in the current analysis, as five interviews did not contain information relevant to mental health and well-being. No participant declined participation, withdrew, or failed to complete the study. No field notes were collected.</w:t>
      </w:r>
    </w:p>
    <w:p w14:paraId="373403DF" w14:textId="77777777" w:rsidR="002262E2" w:rsidRPr="008F275D" w:rsidRDefault="002262E2" w:rsidP="002262E2">
      <w:pPr>
        <w:spacing w:line="480" w:lineRule="auto"/>
        <w:ind w:firstLine="720"/>
        <w:rPr>
          <w:rFonts w:ascii="Arial" w:hAnsi="Arial" w:cs="Arial"/>
          <w:sz w:val="22"/>
          <w:szCs w:val="22"/>
        </w:rPr>
      </w:pPr>
    </w:p>
    <w:p w14:paraId="6F88E7A7" w14:textId="459046E1" w:rsidR="004D6CDA" w:rsidRPr="008F275D" w:rsidRDefault="004D6CDA" w:rsidP="004D6CDA">
      <w:pPr>
        <w:pStyle w:val="Heading2"/>
        <w:rPr>
          <w:rFonts w:cs="Arial"/>
          <w:sz w:val="22"/>
          <w:szCs w:val="22"/>
        </w:rPr>
      </w:pPr>
      <w:r w:rsidRPr="008F275D">
        <w:rPr>
          <w:rFonts w:cs="Arial"/>
          <w:sz w:val="22"/>
          <w:szCs w:val="22"/>
        </w:rPr>
        <w:t xml:space="preserve">Interview </w:t>
      </w:r>
      <w:r w:rsidR="004711B1" w:rsidRPr="008F275D">
        <w:rPr>
          <w:rFonts w:cs="Arial"/>
          <w:sz w:val="22"/>
          <w:szCs w:val="22"/>
        </w:rPr>
        <w:t>P</w:t>
      </w:r>
      <w:r w:rsidRPr="008F275D">
        <w:rPr>
          <w:rFonts w:cs="Arial"/>
          <w:sz w:val="22"/>
          <w:szCs w:val="22"/>
        </w:rPr>
        <w:t>rotocol</w:t>
      </w:r>
    </w:p>
    <w:p w14:paraId="722BDD90" w14:textId="7A299CA3" w:rsidR="004D6CDA" w:rsidRPr="008F275D" w:rsidRDefault="0063184C" w:rsidP="004D6CDA">
      <w:pPr>
        <w:spacing w:line="480" w:lineRule="auto"/>
        <w:ind w:firstLine="720"/>
        <w:rPr>
          <w:rFonts w:ascii="Arial" w:hAnsi="Arial" w:cs="Arial"/>
          <w:sz w:val="22"/>
          <w:szCs w:val="22"/>
        </w:rPr>
      </w:pPr>
      <w:r w:rsidRPr="008F275D">
        <w:rPr>
          <w:rFonts w:ascii="Arial" w:hAnsi="Arial" w:cs="Arial"/>
          <w:sz w:val="22"/>
          <w:szCs w:val="22"/>
        </w:rPr>
        <w:t>Interviews were guided by a semi-structured protocol covering practitioners’ experiences of advanced meditation</w:t>
      </w:r>
      <w:r w:rsidR="004D6CDA" w:rsidRPr="008F275D">
        <w:rPr>
          <w:rFonts w:ascii="Arial" w:hAnsi="Arial" w:cs="Arial"/>
          <w:sz w:val="22"/>
          <w:szCs w:val="22"/>
        </w:rPr>
        <w:t xml:space="preserve">. </w:t>
      </w:r>
      <w:r w:rsidRPr="008F275D">
        <w:rPr>
          <w:rFonts w:ascii="Arial" w:hAnsi="Arial" w:cs="Arial"/>
          <w:sz w:val="22"/>
          <w:szCs w:val="22"/>
        </w:rPr>
        <w:t xml:space="preserve">As participants were recruited specifically for proficiency in ACAM and AIIM, the interview guide employed terminology drawn from Buddhist contemplative traditions, such as </w:t>
      </w:r>
      <w:proofErr w:type="spellStart"/>
      <w:r w:rsidRPr="008F275D">
        <w:rPr>
          <w:rFonts w:ascii="Arial" w:hAnsi="Arial" w:cs="Arial"/>
          <w:i/>
          <w:iCs/>
          <w:sz w:val="22"/>
          <w:szCs w:val="22"/>
        </w:rPr>
        <w:t>jh</w:t>
      </w:r>
      <w:r w:rsidR="0029255B" w:rsidRPr="008F275D">
        <w:rPr>
          <w:rFonts w:ascii="Arial" w:hAnsi="Arial" w:cs="Arial"/>
          <w:i/>
          <w:iCs/>
          <w:sz w:val="22"/>
          <w:szCs w:val="22"/>
        </w:rPr>
        <w:t>ā</w:t>
      </w:r>
      <w:r w:rsidRPr="008F275D">
        <w:rPr>
          <w:rFonts w:ascii="Arial" w:hAnsi="Arial" w:cs="Arial"/>
          <w:i/>
          <w:iCs/>
          <w:sz w:val="22"/>
          <w:szCs w:val="22"/>
        </w:rPr>
        <w:t>na</w:t>
      </w:r>
      <w:proofErr w:type="spellEnd"/>
      <w:r w:rsidRPr="008F275D">
        <w:rPr>
          <w:rFonts w:ascii="Arial" w:hAnsi="Arial" w:cs="Arial"/>
          <w:sz w:val="22"/>
          <w:szCs w:val="22"/>
        </w:rPr>
        <w:t xml:space="preserve">, as this reflected the primary tradition represented in the sample rather than an exclusion of other non-Buddhist traditions per se. </w:t>
      </w:r>
      <w:r w:rsidR="004D6CDA" w:rsidRPr="008F275D">
        <w:rPr>
          <w:rFonts w:ascii="Arial" w:hAnsi="Arial" w:cs="Arial"/>
          <w:sz w:val="22"/>
          <w:szCs w:val="22"/>
        </w:rPr>
        <w:t xml:space="preserve">The primary focus of the interviews centered on participants’ descriptions of meditation-related experiences with ACAM (including what have been called </w:t>
      </w:r>
      <w:proofErr w:type="spellStart"/>
      <w:r w:rsidR="004D6CDA" w:rsidRPr="008F275D">
        <w:rPr>
          <w:rFonts w:ascii="Arial" w:hAnsi="Arial" w:cs="Arial"/>
          <w:i/>
          <w:iCs/>
          <w:sz w:val="22"/>
          <w:szCs w:val="22"/>
        </w:rPr>
        <w:t>jhānas</w:t>
      </w:r>
      <w:proofErr w:type="spellEnd"/>
      <w:r w:rsidRPr="008F275D">
        <w:rPr>
          <w:rFonts w:ascii="Arial" w:hAnsi="Arial" w:cs="Arial"/>
          <w:sz w:val="22"/>
          <w:szCs w:val="22"/>
        </w:rPr>
        <w:t xml:space="preserve">; </w:t>
      </w:r>
      <w:r w:rsidR="004D6CDA" w:rsidRPr="008F275D">
        <w:rPr>
          <w:rFonts w:ascii="Arial" w:hAnsi="Arial" w:cs="Arial"/>
          <w:sz w:val="22"/>
          <w:szCs w:val="22"/>
        </w:rPr>
        <w:fldChar w:fldCharType="begin"/>
      </w:r>
      <w:r w:rsidR="009778D9" w:rsidRPr="008F275D">
        <w:rPr>
          <w:rFonts w:ascii="Arial" w:hAnsi="Arial" w:cs="Arial"/>
          <w:sz w:val="22"/>
          <w:szCs w:val="22"/>
        </w:rPr>
        <w:instrText xml:space="preserve"> ADDIN ZOTERO_ITEM CSL_CITATION {"citationID":"vrLC7qyW","properties":{"formattedCitation":"(Sparby &amp; Sacchet, 2024)","plainCitation":"(Sparby &amp; Sacchet, 2024)","dontUpdate":true,"noteIndex":0},"citationItems":[{"id":4247,"uris":["http://zotero.org/users/11980734/items/6XNQ5HT5"],"itemData":{"id":4247,"type":"article-journal","abstract":"The jhānas are series of advanced concentrative absorption meditative (ACAM) states brought about by meditation. While previously cultivated mostly in monastic settings, a series of modern meditation manuals both openly discuss the jhānas and describe how they may be attained by laypeople. Simultaneously, the phenomenological and neuroscientific investigation of the jhānas is advancing. Although the descriptions of the jhānas in contemporary jhāna manuals to some degree overlap with one another, there are also significant disagreements. Here our objectives are to identify common features of jhāna in meditation manuals, to identify and discuss disagreements, and to offer an account of jhāna that is both comprehensive and consistent.","container-title":"Mindfulness","DOI":"10.1007/s12671-024-02367-w","ISSN":"1868-8535","issue":"6","journalAbbreviation":"Mindfulness","language":"en","page":"1375-1394","source":"Springer Link","title":"Toward a Unified Account of Advanced Concentrative Absorption Meditation: A Systematic Definition and Classification of Jhāna","title-short":"Toward a Unified Account of Advanced Concentrative Absorption Meditation","volume":"15","author":[{"family":"Sparby","given":"Terje"},{"family":"Sacchet","given":"Matthew D."}],"issued":{"date-parts":[["2024",6,1]]}}}],"schema":"https://github.com/citation-style-language/schema/raw/master/csl-citation.json"} </w:instrText>
      </w:r>
      <w:r w:rsidR="004D6CDA" w:rsidRPr="008F275D">
        <w:rPr>
          <w:rFonts w:ascii="Arial" w:hAnsi="Arial" w:cs="Arial"/>
          <w:sz w:val="22"/>
          <w:szCs w:val="22"/>
        </w:rPr>
        <w:fldChar w:fldCharType="separate"/>
      </w:r>
      <w:r w:rsidRPr="008F275D">
        <w:rPr>
          <w:rFonts w:ascii="Arial" w:hAnsi="Arial" w:cs="Arial"/>
          <w:noProof/>
          <w:sz w:val="22"/>
          <w:szCs w:val="22"/>
        </w:rPr>
        <w:t>Sparby &amp; Sacchet, 2024)</w:t>
      </w:r>
      <w:r w:rsidR="004D6CDA" w:rsidRPr="008F275D">
        <w:rPr>
          <w:rFonts w:ascii="Arial" w:hAnsi="Arial" w:cs="Arial"/>
          <w:sz w:val="22"/>
          <w:szCs w:val="22"/>
        </w:rPr>
        <w:fldChar w:fldCharType="end"/>
      </w:r>
      <w:r w:rsidR="004D6CDA" w:rsidRPr="008F275D">
        <w:rPr>
          <w:rFonts w:ascii="Arial" w:hAnsi="Arial" w:cs="Arial"/>
          <w:sz w:val="22"/>
          <w:szCs w:val="22"/>
        </w:rPr>
        <w:t>, AIIM (including those related to insight stages</w:t>
      </w:r>
      <w:r w:rsidRPr="008F275D">
        <w:rPr>
          <w:rFonts w:ascii="Arial" w:hAnsi="Arial" w:cs="Arial"/>
          <w:sz w:val="22"/>
          <w:szCs w:val="22"/>
        </w:rPr>
        <w:t xml:space="preserve">; </w:t>
      </w:r>
      <w:r w:rsidR="004D6CDA" w:rsidRPr="008F275D">
        <w:rPr>
          <w:rFonts w:ascii="Arial" w:hAnsi="Arial" w:cs="Arial"/>
          <w:sz w:val="22"/>
          <w:szCs w:val="22"/>
        </w:rPr>
        <w:fldChar w:fldCharType="begin"/>
      </w:r>
      <w:r w:rsidR="009778D9" w:rsidRPr="008F275D">
        <w:rPr>
          <w:rFonts w:ascii="Arial" w:hAnsi="Arial" w:cs="Arial"/>
          <w:sz w:val="22"/>
          <w:szCs w:val="22"/>
        </w:rPr>
        <w:instrText xml:space="preserve"> ADDIN ZOTERO_ITEM CSL_CITATION {"citationID":"rHjN7qq2","properties":{"formattedCitation":"(Yang et al., 2025)","plainCitation":"(Yang et al., 2025)","dontUpdate":true,"noteIndex":0},"citationItems":[{"id":4113,"uris":["http://zotero.org/groups/4644494/items/KAKE8HUM"],"itemData":{"id":4113,"type":"article-journal","abstract":"The stages of insight (SoI) are a series of psychological realizations experienced through advanced investigative insight meditation (AIIM). SoI provide a powerful structured framework of AIIM for understanding and evaluating insight-based meditative development through changes in perception, experiences of self, cognition, and emotional processing. Yet, the neurophenomenology of SoI remains unstudied due to methodological difficulties, rarity of suitable advanced meditation practitioners, and dominant research emphasis on attention-based meditative practices. We investigated the neurophenomenology of SoI in an intensively sampled adept meditator case study (4 hr 7T fMRI collected in 26 runs with concurrent phenomenology) who performed SoI and rated specific aspects of experience immediately thereafter. Linear mixed models and correlations were used to examine relations among the cortex, subcortex, brainstem, and cerebellum, and SoI phenomenology. We identified distinctive whole-brain activity patterns associated with specific SoI, and that were different from two non-meditative control states. SoI consistently deactivated regions implicated in self-related processing, including the medial prefrontal cortex and temporal poles, while activating regions associated with awareness and perception, including the parietal and visual cortices, caudate, several brainstem nuclei, and cerebellum. Patterns of brain activity related to affective processing and SoI phenomenology were also identified. Our study presents the first neurophenomenological evidence that SoI shifts and deconstructs self-related perception and conceptualization, and increases general awareness and perceptual sensitivity and acuity. Our study provides SoI as a foundation for investigative, and advanced meditation in particular.","container-title":"NeuroImage","DOI":"10.1016/j.neuroimage.2024.120968","ISSN":"1053-8119","journalAbbreviation":"NeuroImage","page":"120968","source":"ScienceDirect","title":"Deconstructing the self and reshaping perceptions: An intensive whole-brain 7T MRI case study of the stages of insight during advanced investigative insight meditation","title-short":"Deconstructing the self and reshaping perceptions","volume":"305","author":[{"family":"Yang","given":"Winson F. Z."},{"family":"Chowdhury","given":"Avijit"},{"family":"Sparby","given":"Terje"},{"family":"Sacchet","given":"Matthew D."}],"issued":{"date-parts":[["2025",1,1]]}}}],"schema":"https://github.com/citation-style-language/schema/raw/master/csl-citation.json"} </w:instrText>
      </w:r>
      <w:r w:rsidR="004D6CDA" w:rsidRPr="008F275D">
        <w:rPr>
          <w:rFonts w:ascii="Arial" w:hAnsi="Arial" w:cs="Arial"/>
          <w:sz w:val="22"/>
          <w:szCs w:val="22"/>
        </w:rPr>
        <w:fldChar w:fldCharType="separate"/>
      </w:r>
      <w:r w:rsidRPr="008F275D">
        <w:rPr>
          <w:rFonts w:ascii="Arial" w:hAnsi="Arial" w:cs="Arial"/>
          <w:sz w:val="22"/>
          <w:szCs w:val="22"/>
        </w:rPr>
        <w:t>Yang et al., 2025)</w:t>
      </w:r>
      <w:r w:rsidR="004D6CDA" w:rsidRPr="008F275D">
        <w:rPr>
          <w:rFonts w:ascii="Arial" w:hAnsi="Arial" w:cs="Arial"/>
          <w:sz w:val="22"/>
          <w:szCs w:val="22"/>
        </w:rPr>
        <w:fldChar w:fldCharType="end"/>
      </w:r>
      <w:r w:rsidR="004D6CDA" w:rsidRPr="008F275D">
        <w:rPr>
          <w:rFonts w:ascii="Arial" w:hAnsi="Arial" w:cs="Arial"/>
          <w:sz w:val="22"/>
          <w:szCs w:val="22"/>
        </w:rPr>
        <w:t>, and meditative endpoints (including cessations of consciousness and persistent changes</w:t>
      </w:r>
      <w:r w:rsidRPr="008F275D">
        <w:rPr>
          <w:rFonts w:ascii="Arial" w:hAnsi="Arial" w:cs="Arial"/>
          <w:sz w:val="22"/>
          <w:szCs w:val="22"/>
        </w:rPr>
        <w:t xml:space="preserve">; </w:t>
      </w:r>
      <w:r w:rsidR="004D6CDA" w:rsidRPr="008F275D">
        <w:rPr>
          <w:rFonts w:ascii="Arial" w:hAnsi="Arial" w:cs="Arial"/>
          <w:sz w:val="22"/>
          <w:szCs w:val="22"/>
        </w:rPr>
        <w:fldChar w:fldCharType="begin"/>
      </w:r>
      <w:r w:rsidR="009778D9" w:rsidRPr="008F275D">
        <w:rPr>
          <w:rFonts w:ascii="Arial" w:hAnsi="Arial" w:cs="Arial"/>
          <w:sz w:val="22"/>
          <w:szCs w:val="22"/>
        </w:rPr>
        <w:instrText xml:space="preserve"> ADDIN ZOTERO_ITEM CSL_CITATION {"citationID":"wOwkCBxu","properties":{"formattedCitation":"(Chowdhury et al., 2023; van Lutterveld et al., 2024)","plainCitation":"(Chowdhury et al., 2023; van Lutterveld et al., 2024)","dontUpdate":true,"noteIndex":0},"citationItems":[{"id":499,"uris":["http://zotero.org/groups/4644494/items/CW7JH835"],"itemData":{"id":499,"type":"article-journal","abstract":"Mindfulness meditation is a contemplative practice informed by Buddhism that targets the development of present-focused awareness and non-judgment of experience. Interest in mindfulness is burgeoning, and it has been shown to be effective in improving mental and physical health in clinical and non-clinical contexts. In this report, for the first time, we used electroencephalography (EEG) combined with a neurophenomenological approach to examine the neural signature of \"cessation\" events, which are dramatic experiences of complete discontinuation in awareness similar to the loss of consciousness, which are reported to be experienced by very experienced meditators, and are proposed to be evidence of mastery of mindfulness meditation. We intensively sampled these cessations as experienced by a single advanced meditator (with over 23,000 h of meditation training) and analyzed 37 cessation events collected in 29 EEG sessions between November 12, 2019, and March 11, 2020. Spectral analyses of the EEG data surrounding cessations showed that these events were marked by a large-scale alpha-power decrease starting around 40 s before their onset, and that this alpha-power was lowest immediately following a cessation. Region-of-interest (ROI) based examination of this finding revealed that this alpha-suppression showed a linear decrease in the occipital and parietal regions of the brain during the pre-cessation time period. Additionally, there were modest increases in theta power for the central, parietal, and right temporal ROIs during the pre-cessation timeframe, whereas power in the Delta and Beta frequency bands were not significantly different surrounding cessations. By relating cessations to objective and intrinsic measures of brain activity (i.e., EEG power) that are related to consciousness and high-level psychological functioning, these results provide evidence for the ability of experienced meditators to voluntarily modulate their state of consciousness and lay the foundation for studying these unique states using a neuroscientific approach.","container-title":"Neuropsychologia","DOI":"10.1016/j.neuropsychologia.2023.108694","ISSN":"1873-3514","journalAbbreviation":"Neuropsychologia","language":"eng","page":"108694","PMID":"37777153","source":"PubMed","title":"Investigation of advanced mindfulness meditation \"cessation\" experiences using EEG spectral analysis in an intensively sampled case study","volume":"190","author":[{"family":"Chowdhury","given":"Avijit"},{"family":"Lutterveld","given":"Remko","non-dropping-particle":"van"},{"family":"Laukkonen","given":"Ruben E."},{"family":"Slagter","given":"Heleen A."},{"family":"Ingram","given":"Daniel M."},{"family":"Sacchet","given":"Matthew D."}],"issued":{"date-parts":[["2023",11,5]]}}},{"id":3666,"uris":["http://zotero.org/groups/4747861/items/C7PBKHMY"],"itemData":{"id":3666,"type":"article-journal","abstract":"Mindfulness meditation is a contemplative practice that is informed by Buddhism. It has been proven effective for improving mental and physical health in clinical and non-clinical contexts. To date, mainstream dialogue and scientific research on mindfulness has focused primarily on short-term mindfulness training and applications of mindfulness for reducing stress. Understanding advanced mindfulness practice has important implications for mental health and general wellbeing. According to Theravada Buddhist meditation, a “cessation” event is a dramatic experience of profound clarity and equanimity that involves a complete discontinuation in experience, and is evidence of mastery of mindfulness meditation. Thirty-seven cessation events were captured in a single intensively sampled advanced meditator (over 6,000 h of retreat mindfulness meditation training) while recording electroencephalography (EEG) in 29 sessions between November 12, 2019 and March 11, 2020. Functional connectivity and network integration were assessed from 40 s prior to cessations to 40 s after cessations. From 21 s prior to cessations there was a linear decrease in large-scale functional interactions at the whole-brain level in the alpha band. In the 40 s following cessations these interactions linearly returned to prior levels. No modulation of network integration was observed. The decrease in whole-brain functional connectivity was underlain by frontal to left temporal and to more posterior decreases in connectivity, while the increase was underlain by wide-spread increases in connectivity. These results provide neuroscientific evidence of large-scale modulation of brain activity related to cessation events that provides a foundation for future studies of advanced meditation.","container-title":"Brain Topography","DOI":"10.1007/s10548-024-01052-4","ISSN":"1573-6792","issue":"5","journalAbbreviation":"Brain Topogr","language":"en","page":"849-858","source":"Springer Link","title":"Neurophenomenological Investigation of Mindfulness Meditation “Cessation” Experiences Using EEG Network Analysis in an Intensively Sampled Adept Meditator","volume":"37","author":[{"family":"Lutterveld","given":"Remko","non-dropping-particle":"van"},{"family":"Chowdhury","given":"Avijit"},{"family":"Ingram","given":"Daniel M."},{"family":"Sacchet","given":"Matthew D."}],"issued":{"date-parts":[["2024",9,1]]}}}],"schema":"https://github.com/citation-style-language/schema/raw/master/csl-citation.json"} </w:instrText>
      </w:r>
      <w:r w:rsidR="004D6CDA" w:rsidRPr="008F275D">
        <w:rPr>
          <w:rFonts w:ascii="Arial" w:hAnsi="Arial" w:cs="Arial"/>
          <w:sz w:val="22"/>
          <w:szCs w:val="22"/>
        </w:rPr>
        <w:fldChar w:fldCharType="separate"/>
      </w:r>
      <w:r w:rsidRPr="008F275D">
        <w:rPr>
          <w:rFonts w:ascii="Arial" w:hAnsi="Arial" w:cs="Arial"/>
          <w:sz w:val="22"/>
          <w:szCs w:val="22"/>
        </w:rPr>
        <w:t>Chowdhury et al., 2023; van Lutterveld et al., 2024)</w:t>
      </w:r>
      <w:r w:rsidR="004D6CDA" w:rsidRPr="008F275D">
        <w:rPr>
          <w:rFonts w:ascii="Arial" w:hAnsi="Arial" w:cs="Arial"/>
          <w:sz w:val="22"/>
          <w:szCs w:val="22"/>
        </w:rPr>
        <w:fldChar w:fldCharType="end"/>
      </w:r>
      <w:r w:rsidR="004D6CDA" w:rsidRPr="008F275D">
        <w:rPr>
          <w:rFonts w:ascii="Arial" w:hAnsi="Arial" w:cs="Arial"/>
          <w:sz w:val="22"/>
          <w:szCs w:val="22"/>
        </w:rPr>
        <w:t xml:space="preserve">. Sample questions included: “Have you experienced </w:t>
      </w:r>
      <w:proofErr w:type="spellStart"/>
      <w:r w:rsidR="004D6CDA" w:rsidRPr="008F275D">
        <w:rPr>
          <w:rFonts w:ascii="Arial" w:hAnsi="Arial" w:cs="Arial"/>
          <w:i/>
          <w:iCs/>
          <w:sz w:val="22"/>
          <w:szCs w:val="22"/>
        </w:rPr>
        <w:t>jhāna</w:t>
      </w:r>
      <w:proofErr w:type="spellEnd"/>
      <w:r w:rsidR="004D6CDA" w:rsidRPr="008F275D">
        <w:rPr>
          <w:rFonts w:ascii="Arial" w:hAnsi="Arial" w:cs="Arial"/>
          <w:sz w:val="22"/>
          <w:szCs w:val="22"/>
        </w:rPr>
        <w:t>, and what is it like?” and “What is Nirvana</w:t>
      </w:r>
      <w:r w:rsidRPr="008F275D">
        <w:rPr>
          <w:rFonts w:ascii="Arial" w:hAnsi="Arial" w:cs="Arial"/>
          <w:sz w:val="22"/>
          <w:szCs w:val="22"/>
        </w:rPr>
        <w:t>,</w:t>
      </w:r>
      <w:r w:rsidR="004D6CDA" w:rsidRPr="008F275D">
        <w:rPr>
          <w:rFonts w:ascii="Arial" w:hAnsi="Arial" w:cs="Arial"/>
          <w:sz w:val="22"/>
          <w:szCs w:val="22"/>
        </w:rPr>
        <w:t xml:space="preserve"> and how do you experience it?” Follow-up questions explored the nature of these experiences, such as </w:t>
      </w:r>
      <w:r w:rsidR="004D6CDA" w:rsidRPr="008F275D">
        <w:rPr>
          <w:rFonts w:ascii="Arial" w:hAnsi="Arial" w:cs="Arial"/>
          <w:sz w:val="22"/>
          <w:szCs w:val="22"/>
        </w:rPr>
        <w:lastRenderedPageBreak/>
        <w:t xml:space="preserve">“Have you experienced that the </w:t>
      </w:r>
      <w:proofErr w:type="spellStart"/>
      <w:r w:rsidR="004D6CDA" w:rsidRPr="008F275D">
        <w:rPr>
          <w:rFonts w:ascii="Arial" w:hAnsi="Arial" w:cs="Arial"/>
          <w:i/>
          <w:iCs/>
          <w:sz w:val="22"/>
          <w:szCs w:val="22"/>
        </w:rPr>
        <w:t>jhānas</w:t>
      </w:r>
      <w:proofErr w:type="spellEnd"/>
      <w:r w:rsidR="004D6CDA" w:rsidRPr="008F275D">
        <w:rPr>
          <w:rFonts w:ascii="Arial" w:hAnsi="Arial" w:cs="Arial"/>
          <w:sz w:val="22"/>
          <w:szCs w:val="22"/>
        </w:rPr>
        <w:t xml:space="preserve"> can be positive, pleasant, positively challenging, or beneficial?” and “Has someone in your life you are close with noticed any changes or commented on any of these developments?” Participants were also given opportunities throughout and at the end of each interview to share additional topics not covered in the conversation.</w:t>
      </w:r>
    </w:p>
    <w:p w14:paraId="0DF3A7D0" w14:textId="77777777" w:rsidR="004D6CDA" w:rsidRPr="008F275D" w:rsidRDefault="004D6CDA" w:rsidP="004D6CDA">
      <w:pPr>
        <w:spacing w:line="480" w:lineRule="auto"/>
        <w:rPr>
          <w:rFonts w:ascii="Arial" w:hAnsi="Arial" w:cs="Arial"/>
          <w:sz w:val="22"/>
          <w:szCs w:val="22"/>
        </w:rPr>
      </w:pPr>
    </w:p>
    <w:p w14:paraId="57798D12" w14:textId="41FB71C1" w:rsidR="004D6CDA" w:rsidRPr="008F275D" w:rsidRDefault="004D6CDA" w:rsidP="004D6CDA">
      <w:pPr>
        <w:pStyle w:val="Heading2"/>
        <w:rPr>
          <w:rFonts w:cs="Arial"/>
          <w:sz w:val="22"/>
          <w:szCs w:val="22"/>
        </w:rPr>
      </w:pPr>
      <w:r w:rsidRPr="008F275D">
        <w:rPr>
          <w:rFonts w:cs="Arial"/>
          <w:sz w:val="22"/>
          <w:szCs w:val="22"/>
        </w:rPr>
        <w:t xml:space="preserve">Data </w:t>
      </w:r>
      <w:r w:rsidR="004711B1" w:rsidRPr="008F275D">
        <w:rPr>
          <w:rFonts w:cs="Arial"/>
          <w:sz w:val="22"/>
          <w:szCs w:val="22"/>
        </w:rPr>
        <w:t>P</w:t>
      </w:r>
      <w:r w:rsidRPr="008F275D">
        <w:rPr>
          <w:rFonts w:cs="Arial"/>
          <w:sz w:val="22"/>
          <w:szCs w:val="22"/>
        </w:rPr>
        <w:t>rocessing</w:t>
      </w:r>
    </w:p>
    <w:p w14:paraId="2B989D3A" w14:textId="0B7EECC9" w:rsidR="004D6CDA" w:rsidRPr="008F275D" w:rsidRDefault="004D6CDA" w:rsidP="002262E2">
      <w:pPr>
        <w:spacing w:line="480" w:lineRule="auto"/>
        <w:ind w:firstLine="720"/>
        <w:rPr>
          <w:rFonts w:ascii="Arial" w:hAnsi="Arial" w:cs="Arial"/>
          <w:sz w:val="22"/>
          <w:szCs w:val="22"/>
        </w:rPr>
      </w:pPr>
      <w:r w:rsidRPr="008F275D">
        <w:rPr>
          <w:rFonts w:ascii="Arial" w:hAnsi="Arial" w:cs="Arial"/>
          <w:sz w:val="22"/>
          <w:szCs w:val="22"/>
        </w:rPr>
        <w:t xml:space="preserve">Interviews were recorded and stored in both video and audio formats. </w:t>
      </w:r>
      <w:r w:rsidR="00F77C0D" w:rsidRPr="008F275D">
        <w:rPr>
          <w:rFonts w:ascii="Arial" w:hAnsi="Arial" w:cs="Arial"/>
          <w:sz w:val="22"/>
          <w:szCs w:val="22"/>
        </w:rPr>
        <w:t xml:space="preserve">Audio files were transcribed using AI-assisted transcription software (Otter.ai and MAXQDA Transcription) in accordance with IRB-approved data security procedures. </w:t>
      </w:r>
      <w:r w:rsidR="008A1279" w:rsidRPr="008F275D">
        <w:rPr>
          <w:rFonts w:ascii="Arial" w:hAnsi="Arial" w:cs="Arial"/>
          <w:sz w:val="22"/>
          <w:szCs w:val="22"/>
        </w:rPr>
        <w:t xml:space="preserve">Participants were informed during the consent process that secure third-party transcription software would be used. </w:t>
      </w:r>
      <w:r w:rsidR="00F77C0D" w:rsidRPr="008F275D">
        <w:rPr>
          <w:rFonts w:ascii="Arial" w:hAnsi="Arial" w:cs="Arial"/>
          <w:sz w:val="22"/>
          <w:szCs w:val="22"/>
        </w:rPr>
        <w:t xml:space="preserve">All recordings were stored on secure, encrypted servers, and transcripts were de-identified prior to analysis. </w:t>
      </w:r>
      <w:r w:rsidR="006C5AE0" w:rsidRPr="008F275D">
        <w:rPr>
          <w:rFonts w:ascii="Arial" w:hAnsi="Arial" w:cs="Arial"/>
          <w:sz w:val="22"/>
          <w:szCs w:val="22"/>
        </w:rPr>
        <w:t xml:space="preserve">MAXQDA Transcription processes data exclusively on GDPR-compliant servers, does not use data for AI training purposes, and deletes audio files immediately upon completion of transcription. Otter.ai employs encrypted, de-identified data processing without manual human review; however, de-identified data may be used for model training purposes. </w:t>
      </w:r>
      <w:r w:rsidRPr="008F275D">
        <w:rPr>
          <w:rFonts w:ascii="Arial" w:hAnsi="Arial" w:cs="Arial"/>
          <w:sz w:val="22"/>
          <w:szCs w:val="22"/>
        </w:rPr>
        <w:t xml:space="preserve">Following transcription, the interviews were processed using MAXQDA qualitative analysis software. Two research assistants (including VN) divided the transcripts and listened to each recording, adding timestamps and checking for accuracy according to pre-determined transcription rules. Ambiguities and disagreements were resolved by TS. Practitioner interviews were transcribed verbatim, excluding filler words such as “mm,” “uh,” and “um,” as well as simple affirmations such as “yes” when not conveying substantive content. </w:t>
      </w:r>
      <w:r w:rsidR="007205C0" w:rsidRPr="008F275D">
        <w:rPr>
          <w:rFonts w:ascii="Arial" w:hAnsi="Arial" w:cs="Arial"/>
          <w:sz w:val="22"/>
          <w:szCs w:val="22"/>
        </w:rPr>
        <w:t>Transcripts and findings were not returned to participants for comment or correction (i.e., no member checking), due to participant burden. Analytic rigor was instead supported through systematic coding procedures, interrater discussions, and documentation of analytic decisions.</w:t>
      </w:r>
    </w:p>
    <w:p w14:paraId="4C9F0DB0" w14:textId="77777777" w:rsidR="00D9201B" w:rsidRPr="008F275D" w:rsidRDefault="00D9201B" w:rsidP="002262E2">
      <w:pPr>
        <w:spacing w:line="480" w:lineRule="auto"/>
        <w:ind w:firstLine="720"/>
        <w:rPr>
          <w:rFonts w:ascii="Arial" w:hAnsi="Arial" w:cs="Arial"/>
          <w:sz w:val="22"/>
          <w:szCs w:val="22"/>
        </w:rPr>
      </w:pPr>
    </w:p>
    <w:p w14:paraId="6047C5C2" w14:textId="6D3543A5" w:rsidR="004D6CDA" w:rsidRPr="008F275D" w:rsidRDefault="004D6CDA" w:rsidP="004D6CDA">
      <w:pPr>
        <w:pStyle w:val="Heading2"/>
        <w:rPr>
          <w:rFonts w:cs="Arial"/>
          <w:sz w:val="22"/>
          <w:szCs w:val="22"/>
        </w:rPr>
      </w:pPr>
      <w:r w:rsidRPr="008F275D">
        <w:rPr>
          <w:rFonts w:cs="Arial"/>
          <w:sz w:val="22"/>
          <w:szCs w:val="22"/>
        </w:rPr>
        <w:lastRenderedPageBreak/>
        <w:t xml:space="preserve">Data </w:t>
      </w:r>
      <w:r w:rsidR="004711B1" w:rsidRPr="008F275D">
        <w:rPr>
          <w:rFonts w:cs="Arial"/>
          <w:sz w:val="22"/>
          <w:szCs w:val="22"/>
        </w:rPr>
        <w:t>A</w:t>
      </w:r>
      <w:r w:rsidRPr="008F275D">
        <w:rPr>
          <w:rFonts w:cs="Arial"/>
          <w:sz w:val="22"/>
          <w:szCs w:val="22"/>
        </w:rPr>
        <w:t>nalysis</w:t>
      </w:r>
    </w:p>
    <w:p w14:paraId="3C7A8628" w14:textId="77777777" w:rsidR="004D6CDA" w:rsidRPr="008F275D" w:rsidRDefault="004D6CDA" w:rsidP="004D6CDA">
      <w:pPr>
        <w:spacing w:line="480" w:lineRule="auto"/>
        <w:ind w:firstLine="720"/>
        <w:rPr>
          <w:rFonts w:ascii="Arial" w:hAnsi="Arial" w:cs="Arial"/>
          <w:sz w:val="22"/>
          <w:szCs w:val="22"/>
        </w:rPr>
      </w:pPr>
      <w:bookmarkStart w:id="1" w:name="OLE_LINK39"/>
      <w:r w:rsidRPr="008F275D">
        <w:rPr>
          <w:rFonts w:ascii="Arial" w:hAnsi="Arial" w:cs="Arial"/>
          <w:sz w:val="22"/>
          <w:szCs w:val="22"/>
        </w:rPr>
        <w:t>The coding process followed an exploratory and content-driven, inductive thematic analytic approach. Two research members (including VN) reviewed an initial set of interviews and identified key mental health-related themes, which were used to generate a coding system that was updated as more participants were interviewed. This coding system was not pre-determined but emerged bottom-up from the coding process. Research staff met regularly to discuss discrepancies, refining a categorical, hierarchical codebook that included definitions, inclusion and exclusion criteria, and example quotes (see Table 2 for major themes and quotations; Supplement 1 for the full codebook). This codebook was continuously updated as new themes emerged and was developed in collaboration with the broader research team. Where possible, the specific language used by participants was retained within the codebook. MAXQDA software was used to assign categories to relevant sections of the interviews.</w:t>
      </w:r>
      <w:bookmarkEnd w:id="1"/>
    </w:p>
    <w:p w14:paraId="57C94ACF" w14:textId="77777777" w:rsidR="004D6CDA" w:rsidRPr="008F275D" w:rsidRDefault="004D6CDA" w:rsidP="002262E2">
      <w:pPr>
        <w:spacing w:line="480" w:lineRule="auto"/>
        <w:ind w:firstLine="720"/>
        <w:rPr>
          <w:rFonts w:ascii="Arial" w:hAnsi="Arial" w:cs="Arial"/>
          <w:sz w:val="22"/>
          <w:szCs w:val="22"/>
        </w:rPr>
      </w:pPr>
    </w:p>
    <w:p w14:paraId="2B141C0E" w14:textId="1E77F7F4" w:rsidR="004D6CDA" w:rsidRPr="008F275D" w:rsidRDefault="004D6CDA" w:rsidP="004D6CDA">
      <w:pPr>
        <w:spacing w:line="480" w:lineRule="auto"/>
        <w:rPr>
          <w:rFonts w:ascii="Arial" w:hAnsi="Arial" w:cs="Arial"/>
          <w:sz w:val="22"/>
          <w:szCs w:val="22"/>
        </w:rPr>
      </w:pPr>
      <w:r w:rsidRPr="008F275D">
        <w:rPr>
          <w:rFonts w:ascii="Arial" w:hAnsi="Arial" w:cs="Arial"/>
          <w:b/>
          <w:bCs/>
          <w:i/>
          <w:iCs/>
          <w:sz w:val="22"/>
          <w:szCs w:val="22"/>
        </w:rPr>
        <w:t xml:space="preserve">Interrater </w:t>
      </w:r>
      <w:r w:rsidR="004711B1" w:rsidRPr="008F275D">
        <w:rPr>
          <w:rFonts w:ascii="Arial" w:hAnsi="Arial" w:cs="Arial"/>
          <w:b/>
          <w:bCs/>
          <w:i/>
          <w:iCs/>
          <w:sz w:val="22"/>
          <w:szCs w:val="22"/>
        </w:rPr>
        <w:t>R</w:t>
      </w:r>
      <w:r w:rsidRPr="008F275D">
        <w:rPr>
          <w:rFonts w:ascii="Arial" w:hAnsi="Arial" w:cs="Arial"/>
          <w:b/>
          <w:bCs/>
          <w:i/>
          <w:iCs/>
          <w:sz w:val="22"/>
          <w:szCs w:val="22"/>
        </w:rPr>
        <w:t>eliability</w:t>
      </w:r>
    </w:p>
    <w:p w14:paraId="3D84FEC8" w14:textId="77777777" w:rsidR="004D6CDA" w:rsidRPr="008F275D" w:rsidRDefault="004D6CDA" w:rsidP="004D6CDA">
      <w:pPr>
        <w:spacing w:line="480" w:lineRule="auto"/>
        <w:ind w:firstLine="720"/>
        <w:rPr>
          <w:rFonts w:ascii="Arial" w:hAnsi="Arial" w:cs="Arial"/>
          <w:sz w:val="22"/>
          <w:szCs w:val="22"/>
        </w:rPr>
      </w:pPr>
      <w:r w:rsidRPr="008F275D">
        <w:rPr>
          <w:rFonts w:ascii="Arial" w:hAnsi="Arial" w:cs="Arial"/>
          <w:sz w:val="22"/>
          <w:szCs w:val="22"/>
        </w:rPr>
        <w:t>Two researchers (including VN) each coded 25 interviews and developed a codebook draft with higher-order categories and sub-categories based on interview content. To validate the codebook, a subset (15%) of interviews was randomly selected and independently coded by VN and another team member to ensure interrater reliability. Interviews without mental health content were excluded from this test. Based on an initial test, disagreements and ambiguities were discussed among a team of researchers and the codebook was refined. Changes included re-naming categories, the addition of new subcategories, and relocating subcategories to different overarching categories. Coding was then adjusted according to the new codebook, and an interrater reliability test was re-conducted. The average agreement was 80.65% across categories (coefficient kappa = 0.80), after which all disagreements were resolved collaboratively. This final codebook was then applied to all interviews.</w:t>
      </w:r>
    </w:p>
    <w:p w14:paraId="017FEA74" w14:textId="77777777" w:rsidR="004D6CDA" w:rsidRPr="008F275D" w:rsidRDefault="004D6CDA" w:rsidP="004D6CDA">
      <w:pPr>
        <w:spacing w:line="480" w:lineRule="auto"/>
        <w:ind w:firstLine="720"/>
        <w:rPr>
          <w:rFonts w:ascii="Arial" w:hAnsi="Arial" w:cs="Arial"/>
          <w:sz w:val="22"/>
          <w:szCs w:val="22"/>
        </w:rPr>
      </w:pPr>
    </w:p>
    <w:p w14:paraId="63A0CA99" w14:textId="1560F3A1" w:rsidR="004D6CDA" w:rsidRPr="008F275D" w:rsidRDefault="004D6CDA" w:rsidP="004D6CDA">
      <w:pPr>
        <w:spacing w:line="480" w:lineRule="auto"/>
        <w:rPr>
          <w:rFonts w:ascii="Arial" w:hAnsi="Arial" w:cs="Arial"/>
          <w:i/>
          <w:iCs/>
          <w:sz w:val="22"/>
          <w:szCs w:val="22"/>
        </w:rPr>
      </w:pPr>
      <w:r w:rsidRPr="008F275D">
        <w:rPr>
          <w:rFonts w:ascii="Arial" w:hAnsi="Arial" w:cs="Arial"/>
          <w:b/>
          <w:bCs/>
          <w:i/>
          <w:iCs/>
          <w:sz w:val="22"/>
          <w:szCs w:val="22"/>
        </w:rPr>
        <w:lastRenderedPageBreak/>
        <w:t xml:space="preserve">Saturation </w:t>
      </w:r>
      <w:r w:rsidR="004711B1" w:rsidRPr="008F275D">
        <w:rPr>
          <w:rFonts w:ascii="Arial" w:hAnsi="Arial" w:cs="Arial"/>
          <w:b/>
          <w:bCs/>
          <w:i/>
          <w:iCs/>
          <w:sz w:val="22"/>
          <w:szCs w:val="22"/>
        </w:rPr>
        <w:t>A</w:t>
      </w:r>
      <w:r w:rsidRPr="008F275D">
        <w:rPr>
          <w:rFonts w:ascii="Arial" w:hAnsi="Arial" w:cs="Arial"/>
          <w:b/>
          <w:bCs/>
          <w:i/>
          <w:iCs/>
          <w:sz w:val="22"/>
          <w:szCs w:val="22"/>
        </w:rPr>
        <w:t>nalysis</w:t>
      </w:r>
    </w:p>
    <w:p w14:paraId="2A8947F5" w14:textId="6086BF41" w:rsidR="004D6CDA" w:rsidRPr="008F275D" w:rsidRDefault="004D6CDA" w:rsidP="004D6CDA">
      <w:pPr>
        <w:spacing w:line="480" w:lineRule="auto"/>
        <w:ind w:firstLine="720"/>
        <w:rPr>
          <w:rFonts w:ascii="Arial" w:hAnsi="Arial" w:cs="Arial"/>
          <w:sz w:val="22"/>
          <w:szCs w:val="22"/>
        </w:rPr>
      </w:pPr>
      <w:r w:rsidRPr="008F275D">
        <w:rPr>
          <w:rFonts w:ascii="Arial" w:hAnsi="Arial" w:cs="Arial"/>
          <w:sz w:val="22"/>
          <w:szCs w:val="22"/>
        </w:rPr>
        <w:t xml:space="preserve">Saturation analysis is defined as the point in data collection and analysis when additional data produces little to no new information </w:t>
      </w:r>
      <w:r w:rsidRPr="008F275D">
        <w:rPr>
          <w:rFonts w:ascii="Arial" w:hAnsi="Arial" w:cs="Arial"/>
          <w:sz w:val="22"/>
          <w:szCs w:val="22"/>
        </w:rPr>
        <w:fldChar w:fldCharType="begin"/>
      </w:r>
      <w:r w:rsidR="0063184C" w:rsidRPr="008F275D">
        <w:rPr>
          <w:rFonts w:ascii="Arial" w:hAnsi="Arial" w:cs="Arial"/>
          <w:sz w:val="22"/>
          <w:szCs w:val="22"/>
        </w:rPr>
        <w:instrText xml:space="preserve"> ADDIN ZOTERO_ITEM CSL_CITATION {"citationID":"W8xM4ibv","properties":{"formattedCitation":"(Guest et al., 2020)","plainCitation":"(Guest et al., 2020)","noteIndex":0},"citationItems":[{"id":4586,"uris":["http://zotero.org/users/11980734/items/DPXYKIVI"],"itemData":{"id":4586,"type":"article-journal","abstract":"Data saturation is the most commonly employed concept for estimating sample sizes in qualitative research. Over the past 20 years, scholars using both empirical research and mathematical/statistical models have made significant contributions to the question: How many qualitative interviews are enough? This body of work has advanced the evidence base for sample size estimation in qualitative inquiry during the design phase of a study, prior to data collection, but it does not provide qualitative researchers with a simple and reliable way to determine the adequacy of sample sizes during and/or after data collection. Using the principle of saturation as a foundation, we describe and validate a simple-to-apply method for assessing and reporting on saturation in the context of inductive thematic analyses. Following a review of the empirical research on data saturation and sample size estimation in qualitative research, we propose an alternative way to evaluate saturation that overcomes the shortcomings and challenges associated with existing methods identified in our review. Our approach includes three primary elements in its calculation and assessment: Base Size, Run Length, and New Information Threshold. We additionally propose a more flexible approach to reporting saturation. To validate our method, we use a bootstrapping technique on three existing thematically coded qualitative datasets generated from in-depth interviews. Results from this analysis indicate the method we propose to assess and report on saturation is feasible and congruent with findings from earlier studies.","container-title":"PLOS ONE","DOI":"10.1371/journal.pone.0232076","ISSN":"1932-6203","issue":"5","journalAbbreviation":"PLOS ONE","language":"en","page":"e0232076","publisher":"Public Library of Science","source":"PLoS Journals","title":"A simple method to assess and report thematic saturation in qualitative research","volume":"15","author":[{"family":"Guest","given":"Greg"},{"family":"Namey","given":"Emily"},{"family":"Chen","given":"Mario"}],"issued":{"date-parts":[["2020",5,5]]}}}],"schema":"https://github.com/citation-style-language/schema/raw/master/csl-citation.json"} </w:instrText>
      </w:r>
      <w:r w:rsidRPr="008F275D">
        <w:rPr>
          <w:rFonts w:ascii="Arial" w:hAnsi="Arial" w:cs="Arial"/>
          <w:sz w:val="22"/>
          <w:szCs w:val="22"/>
        </w:rPr>
        <w:fldChar w:fldCharType="separate"/>
      </w:r>
      <w:r w:rsidR="0063184C" w:rsidRPr="008F275D">
        <w:rPr>
          <w:rFonts w:ascii="Arial" w:hAnsi="Arial" w:cs="Arial"/>
          <w:noProof/>
          <w:sz w:val="22"/>
          <w:szCs w:val="22"/>
        </w:rPr>
        <w:t>(Guest et al., 2020)</w:t>
      </w:r>
      <w:r w:rsidRPr="008F275D">
        <w:rPr>
          <w:rFonts w:ascii="Arial" w:hAnsi="Arial" w:cs="Arial"/>
          <w:sz w:val="22"/>
          <w:szCs w:val="22"/>
        </w:rPr>
        <w:fldChar w:fldCharType="end"/>
      </w:r>
      <w:r w:rsidRPr="008F275D">
        <w:rPr>
          <w:rFonts w:ascii="Arial" w:hAnsi="Arial" w:cs="Arial"/>
          <w:sz w:val="22"/>
          <w:szCs w:val="22"/>
        </w:rPr>
        <w:t xml:space="preserve">, or in this case, themes. While the concept of saturation in qualitative research has been debated due to differing calculation approaches and concerns regarding alignment with quantitative paradigms </w:t>
      </w:r>
      <w:r w:rsidRPr="008F275D">
        <w:rPr>
          <w:rFonts w:ascii="Arial" w:hAnsi="Arial" w:cs="Arial"/>
          <w:sz w:val="22"/>
          <w:szCs w:val="22"/>
        </w:rPr>
        <w:fldChar w:fldCharType="begin"/>
      </w:r>
      <w:r w:rsidR="0063184C" w:rsidRPr="008F275D">
        <w:rPr>
          <w:rFonts w:ascii="Arial" w:hAnsi="Arial" w:cs="Arial"/>
          <w:sz w:val="22"/>
          <w:szCs w:val="22"/>
        </w:rPr>
        <w:instrText xml:space="preserve"> ADDIN ZOTERO_ITEM CSL_CITATION {"citationID":"qg5egILc","properties":{"formattedCitation":"(Sebele-Mpofu, 2020; Tight, 2024; Varpio et al., 2017)","plainCitation":"(Sebele-Mpofu, 2020; Tight, 2024; Varpio et al., 2017)","noteIndex":0},"citationItems":[{"id":5360,"uris":["http://zotero.org/users/11980734/items/EBXYBTB7"],"itemData":{"id":5360,"type":"article-journal","abstract":"Judgement of quality in qualitative has been a contested and controversial issue amongst researchers. Contention has always emanated from the subjective nature of qualitative studies, absence of clear guidelines in sampling as well as the lack of generalisability of findings. Numerous avenues have been suggested to improve qualitative research quality and key amongst the suggestions is the concept of saturation. It is viewed as a contemporary measure to alleviate the subjectivity in qualitative research, a yardstick for estimating sample sizes in qualitative research as well as an assurance for rigour and quality. Despite its recognition as a vital tool, it has its own fair share of controversies and contradictions. This research, through a comprehensive and evaluative literature review sought to unpack the saturation puzzle, controversies in definitions and underlying assumptions. The objective was to make a contribution to the contemporary but growing body of knowledge on the saturation conundrum. The study found out that there are various forms of saturation and with varying underlying propositions, therefore in order to meaningfully apply the concept, researchers have to appreciate the forms of saturation, link the appropriate form to their qualitative research design. It is undoubtedly important for research to define fully the form adopted, explicate the steps followed to achieve it and how it was ultimately achieved. In short, narrow the scope of saturation and contextualise it to your research.","container-title":"Cogent Social Sciences","DOI":"10.1080/23311886.2020.1838706","ISSN":"null","issue":"1","note":"_eprint: https://doi.org/10.1080/23311886.2020.1838706","page":"1838706","publisher":"Cogent OA","source":"Taylor and Francis+NEJM","title":"Saturation controversy in qualitative research: Complexities and underlying assumptions. A literature review","title-short":"Saturation controversy in qualitative research","volume":"6","author":[{"family":"Sebele-Mpofu","given":"Favourate Y."}],"editor":[{"family":"Serpa","given":"Sandro"}],"issued":{"date-parts":[["2020",1,1]]}}},{"id":5358,"uris":["http://zotero.org/users/11980734/items/WX8T8X2X"],"itemData":{"id":5358,"type":"article-journal","abstract":"All qualitative researchers are familiar with the idea of saturation: that researchers should continue to collect and/or analyze data until nothing new is being added to their arguments or conclusions. Saturation is, however, used and understood in a variety of ways, often appearing as an unevidenced and dogmatic statement seeking to justify that a piece of research is complete. This article explores the application of the idea of saturation in qualitative research, noting its association with grounded theory and the particular interest taken in it by health researchers. It concludes that it is both a misunderstood and an overworked concept.","container-title":"Qualitative Inquiry","DOI":"10.1177/10778004231183948","ISSN":"1077-8004","issue":"7","language":"EN","page":"577-583","publisher":"SAGE Publications Inc","source":"SAGE Journals","title":"Saturation: An Overworked and Misunderstood Concept?","title-short":"Saturation","volume":"30","author":[{"family":"Tight","given":"Malcolm"}],"issued":{"date-parts":[["2024",9,1]]}}},{"id":5362,"uris":["http://zotero.org/users/11980734/items/R8MBSVGT"],"itemData":{"id":5362,"type":"article-journal","abstract":"CONTEXT: Qualitative research is widely accepted as a legitimate approach to inquiry in health professions education (HPE). To secure this status, qualitative researchers have developed a variety of strategies (e.g. reliance on post-positivist qualitative methodologies, use of different rhetorical techniques, etc.) to facilitate the acceptance of their research methodologies and methods by the HPE community. Although these strategies have supported the acceptance of qualitative research in HPE, they have also brought about some unintended consequences. One of these consequences is that some HPE scholars have begun to use terms in qualitative publications without critically reflecting on: (i) their ontological and epistemological roots; (ii) their definitions, or (iii) their implications.\nOBJECTIVES: In this paper, we share our critical reflections on four qualitative terms popularly used in the HPE literature: thematic emergence; triangulation; saturation, and member checking.\nMETHODS: We discuss the methodological origins of these terms and the applications supported by these origins. We reflect critically on how these four terms became expected of qualitative research in HPE, and we reconsider their meanings and use by drawing on the broader qualitative methodology literature.\nCONCLUSIONS: Through this examination, we hope to encourage qualitative scholars in HPE to avoid using qualitative terms uncritically and non-reflexively.","container-title":"Medical Education","DOI":"10.1111/medu.13124","ISSN":"1365-2923","issue":"1","journalAbbreviation":"Med Educ","language":"eng","page":"40-50","PMID":"27981658","source":"PubMed","title":"Shedding the cobra effect: problematising thematic emergence, triangulation, saturation and member checking","title-short":"Shedding the cobra effect","volume":"51","author":[{"family":"Varpio","given":"Lara"},{"family":"Ajjawi","given":"Rola"},{"family":"Monrouxe","given":"Lynn V."},{"family":"O'Brien","given":"Bridget C."},{"family":"Rees","given":"Charlotte E."}],"issued":{"date-parts":[["2017",1]]}}}],"schema":"https://github.com/citation-style-language/schema/raw/master/csl-citation.json"} </w:instrText>
      </w:r>
      <w:r w:rsidRPr="008F275D">
        <w:rPr>
          <w:rFonts w:ascii="Arial" w:hAnsi="Arial" w:cs="Arial"/>
          <w:sz w:val="22"/>
          <w:szCs w:val="22"/>
        </w:rPr>
        <w:fldChar w:fldCharType="separate"/>
      </w:r>
      <w:r w:rsidR="0063184C" w:rsidRPr="008F275D">
        <w:rPr>
          <w:rFonts w:ascii="Arial" w:hAnsi="Arial" w:cs="Arial"/>
          <w:kern w:val="0"/>
          <w:sz w:val="22"/>
        </w:rPr>
        <w:t>(Sebele-Mpofu, 2020; Tight, 2024; Varpio et al., 2017)</w:t>
      </w:r>
      <w:r w:rsidRPr="008F275D">
        <w:rPr>
          <w:rFonts w:ascii="Arial" w:hAnsi="Arial" w:cs="Arial"/>
          <w:sz w:val="22"/>
          <w:szCs w:val="22"/>
        </w:rPr>
        <w:fldChar w:fldCharType="end"/>
      </w:r>
      <w:r w:rsidRPr="008F275D">
        <w:rPr>
          <w:rFonts w:ascii="Arial" w:hAnsi="Arial" w:cs="Arial"/>
          <w:sz w:val="22"/>
          <w:szCs w:val="22"/>
        </w:rPr>
        <w:t xml:space="preserve">, </w:t>
      </w:r>
      <w:r w:rsidRPr="008F275D">
        <w:t xml:space="preserve"> </w:t>
      </w:r>
      <w:r w:rsidRPr="008F275D">
        <w:rPr>
          <w:rFonts w:ascii="Arial" w:hAnsi="Arial" w:cs="Arial"/>
          <w:sz w:val="22"/>
          <w:szCs w:val="22"/>
        </w:rPr>
        <w:t xml:space="preserve">we adopted a conservative and minimalist approach that incorporated saturation as one of several guiding principles. A recent systematic review of empirical tests of saturation found that saturation was achieved after 9–17 phenomenological interviews </w:t>
      </w:r>
      <w:r w:rsidRPr="008F275D">
        <w:rPr>
          <w:rFonts w:ascii="Arial" w:hAnsi="Arial" w:cs="Arial"/>
          <w:sz w:val="22"/>
          <w:szCs w:val="22"/>
        </w:rPr>
        <w:fldChar w:fldCharType="begin"/>
      </w:r>
      <w:r w:rsidRPr="008F275D">
        <w:rPr>
          <w:rFonts w:ascii="Arial" w:hAnsi="Arial" w:cs="Arial"/>
          <w:sz w:val="22"/>
          <w:szCs w:val="22"/>
        </w:rPr>
        <w:instrText xml:space="preserve"> ADDIN ZOTERO_ITEM CSL_CITATION {"citationID":"PXL4zKhH","properties":{"formattedCitation":"(Hennink &amp; Kaiser, 2022)","plainCitation":"(Hennink &amp; Kaiser, 2022)","noteIndex":0},"citationItems":[{"id":5364,"uris":["http://zotero.org/users/11980734/items/S2EASWWB"],"itemData":{"id":5364,"type":"article-journal","abstract":"Objective\nTo review empirical studies that assess saturation in qualitative research in order to identify sample sizes for saturation, strategies used to assess saturation, and guidance we can draw from these studies.\nMethods\nWe conducted a systematic review of four databases to identify studies empirically assessing sample sizes for saturation in qualitative research, supplemented by searching citing articles and reference lists.\nResults\nWe identified 23 articles that used empirical data (n = 17) or statistical modeling (n = 6) to assess saturation. Studies using empirical data reached saturation within a narrow range of interviews (9–17) or focus group discussions (4–8), particularly those with relatively homogenous study populations and narrowly defined objectives. Most studies had a relatively homogenous study population and assessed code saturation; the few outliers (e.g., multi-country research, meta-themes, “code meaning” saturation) needed larger samples for saturation.\nConclusions\nDespite varied research topics and approaches to assessing saturation, studies converged on a relatively consistent sample size for saturation for commonly used qualitative research methods. However, these findings apply to certain types of studies (e.g., those with homogenous study populations). These results provide strong empirical guidance on effective sample sizes for qualitative research, which can be used in conjunction with the characteristics of individual studies to estimate an appropriate sample size prior to data collection. This synthesis also provides an important resource for researchers, academic journals, journal reviewers, ethical review boards, and funding agencies to facilitate greater transparency in justifying and reporting sample sizes in qualitative research. Future empirical research is needed to explore how various parameters affect sample sizes for saturation.","container-title":"Social Science &amp; Medicine","DOI":"10.1016/j.socscimed.2021.114523","ISSN":"0277-9536","journalAbbreviation":"Social Science &amp; Medicine","page":"114523","source":"ScienceDirect","title":"Sample sizes for saturation in qualitative research: A systematic review of empirical tests","title-short":"Sample sizes for saturation in qualitative research","volume":"292","author":[{"family":"Hennink","given":"Monique"},{"family":"Kaiser","given":"Bonnie N."}],"issued":{"date-parts":[["2022",1,1]]}}}],"schema":"https://github.com/citation-style-language/schema/raw/master/csl-citation.json"} </w:instrText>
      </w:r>
      <w:r w:rsidRPr="008F275D">
        <w:rPr>
          <w:rFonts w:ascii="Arial" w:hAnsi="Arial" w:cs="Arial"/>
          <w:sz w:val="22"/>
          <w:szCs w:val="22"/>
        </w:rPr>
        <w:fldChar w:fldCharType="separate"/>
      </w:r>
      <w:r w:rsidR="0063184C" w:rsidRPr="008F275D">
        <w:rPr>
          <w:rFonts w:ascii="Arial" w:hAnsi="Arial" w:cs="Arial"/>
          <w:noProof/>
          <w:sz w:val="22"/>
          <w:szCs w:val="22"/>
        </w:rPr>
        <w:t>(Hennink &amp; Kaiser, 2022)</w:t>
      </w:r>
      <w:r w:rsidRPr="008F275D">
        <w:rPr>
          <w:rFonts w:ascii="Arial" w:hAnsi="Arial" w:cs="Arial"/>
          <w:sz w:val="22"/>
          <w:szCs w:val="22"/>
        </w:rPr>
        <w:fldChar w:fldCharType="end"/>
      </w:r>
      <w:r w:rsidRPr="008F275D">
        <w:rPr>
          <w:rFonts w:ascii="Arial" w:hAnsi="Arial" w:cs="Arial"/>
          <w:sz w:val="22"/>
          <w:szCs w:val="22"/>
        </w:rPr>
        <w:t xml:space="preserve">, which aligns well with previous studies </w:t>
      </w:r>
      <w:r w:rsidRPr="008F275D">
        <w:rPr>
          <w:rFonts w:ascii="Arial" w:hAnsi="Arial" w:cs="Arial"/>
          <w:sz w:val="22"/>
          <w:szCs w:val="22"/>
        </w:rPr>
        <w:fldChar w:fldCharType="begin"/>
      </w:r>
      <w:r w:rsidR="0063184C" w:rsidRPr="008F275D">
        <w:rPr>
          <w:rFonts w:ascii="Arial" w:hAnsi="Arial" w:cs="Arial"/>
          <w:sz w:val="22"/>
          <w:szCs w:val="22"/>
        </w:rPr>
        <w:instrText xml:space="preserve"> ADDIN ZOTERO_ITEM CSL_CITATION {"citationID":"nHTkjYuk","properties":{"formattedCitation":"(Francis et al., 2010; Guest et al., 2006; Morgan et al., 2001)","plainCitation":"(Francis et al., 2010; Guest et al., 2006; Morgan et al., 2001)","noteIndex":0},"citationItems":[{"id":5369,"uris":["http://zotero.org/users/11980734/items/7CBKPW37"],"itemData":{"id":5369,"type":"article-journal","abstract":"In interview studies, sample size is often justified by interviewing participants until reaching ‘data saturation’. However, there is no agreed method of establishing this. We propose principles for deciding saturation in theory-based interview studies (where conceptual categories are pre-established by existing theory). First, specify a minimum sample size for initial analysis (initial analysis sample). Second, specify how many more interviews will be conducted without new ideas emerging (stopping criterion). We demonstrate these principles in two studies, based on the theory of planned behaviour, designed to identify three belief categories (Behavioural, Normative and Control), using an initial analysis sample of 10 and stopping criterion of 3. Study 1 (retrospective analysis of existing data) identified 84 shared beliefs of 14 general medical practitioners about managing patients with sore throat without prescribing antibiotics. The criterion for saturation was achieved for Normative beliefs but not for other beliefs or studywise saturation. In Study 2 (prospective analysis), 17 relatives of people with Paget's disease of the bone reported 44 shared beliefs about taking genetic testing. Studywise data saturation was achieved at interview 17. We propose specification of these principles for reporting data saturation in theory-based interview studies. The principles may be adaptable for other types of studies.","container-title":"Psychology &amp; Health","DOI":"10.1080/08870440903194015","ISSN":"0887-0446","issue":"10","note":"_eprint: https://doi.org/10.1080/08870440903194015","page":"1229-1245","PMID":"20204937","publisher":"Routledge","source":"Taylor and Francis+NEJM","title":"What is an adequate sample size? Operationalising data saturation for theory-based interview studies","title-short":"What is an adequate sample size?","volume":"25","author":[{"family":"Francis","given":"Jill J."},{"family":"Johnston","given":"Marie"},{"family":"Robertson","given":"Clare"},{"family":"Glidewell","given":"Liz"},{"family":"Entwistle","given":"Vikki"},{"family":"Eccles","given":"Martin P."},{"family":"Grimshaw","given":"Jeremy M."}],"issued":{"date-parts":[["2010",12,1]]}}},{"id":5368,"uris":["http://zotero.org/users/11980734/items/PNGJKT8T"],"itemData":{"id":5368,"type":"article-journal","abstract":"Guidelines for determining nonprobabilistic sample sizes are virtually nonexistent. Purposive samples are the most commonly used form of nonprobabilistic sampling, and their size typically relies on the concept of “saturation,” or the point at which no new information or themes are observed in the data. Although the idea of saturation is helpful at the conceptual level, it provides little practical guidance for estimating sample sizes, prior to data collection, necessary for conducting quality research. Using data from a study involving sixty in-depth interviews with women in two West African countries, the authors systematically document the degree of data saturation and variability over the course of thematic analysis. They operationalize saturation and make evidence-based recommendations regarding nonprobabilistic sample sizes for interviews. Based on the data set, they found that saturation occurred within the first twelve interviews, although basic elements for metathemes were present as early as six interviews. Variability within the data followed similar patterns.","container-title":"Field Methods","DOI":"10.1177/1525822X05279903","ISSN":"1525-822X","issue":"1","language":"EN","page":"59-82","publisher":"SAGE Publications Inc","source":"SAGE Journals","title":"How Many Interviews Are Enough?: An Experiment with Data Saturation and Variability","title-short":"How Many Interviews Are Enough?","volume":"18","author":[{"family":"Guest","given":"Greg"},{"family":"Bunce","given":"Arwen"},{"family":"Johnson","given":"Laura"}],"issued":{"date-parts":[["2006",2,1]]}}},{"id":5366,"uris":["http://zotero.org/users/11980734/items/CUZEK6B9"],"itemData":{"id":5366,"type":"book","abstract":"People today must make decisions about many health, safety, and environmental risks. Nuclear power, HIV/AIDS, radon, vaccines, climate change, and emerging infectious diseases are just some issues that may face them in the news media, ballot box, or doctor's office. In order to make sound choices they need to get good information. Because their time is limited, that information has to be carefully selected and clearly presented. This book provides a systematic approach for risk communicators and technical experts, hoping to serve the public by providing information about risks. The procedure uses approaches from risk and decision analysis to identify the most relevant information; it uses approaches from psychology and communication theory to ensure that it is understood. This book is written in nontechnical terms, designed to make the approach feasible for anyone willing to try it. It is illustrated with successful communications, on a variety of topics.","DOI":"10.1017/CBO9780511814679","ISBN":"978-0-521-80223-9","publisher":"Cambridge University Press","publisher-place":"New York, NY","source":"ResearchGate","title":"Risk Communication: A Mental Models Approach","title-short":"Risk Communication","author":[{"family":"Morgan","given":"M."},{"family":"Fischhoff","given":"Baruch"},{"family":"Bostrom","given":"Ann"},{"family":"Atman","given":"Cynthia"}],"issued":{"date-parts":[["2001",7,30]]}}}],"schema":"https://github.com/citation-style-language/schema/raw/master/csl-citation.json"} </w:instrText>
      </w:r>
      <w:r w:rsidRPr="008F275D">
        <w:rPr>
          <w:rFonts w:ascii="Arial" w:hAnsi="Arial" w:cs="Arial"/>
          <w:sz w:val="22"/>
          <w:szCs w:val="22"/>
        </w:rPr>
        <w:fldChar w:fldCharType="separate"/>
      </w:r>
      <w:r w:rsidR="0063184C" w:rsidRPr="008F275D">
        <w:rPr>
          <w:rFonts w:ascii="Arial" w:hAnsi="Arial" w:cs="Arial"/>
          <w:kern w:val="0"/>
          <w:sz w:val="22"/>
        </w:rPr>
        <w:t>(Francis et al., 2010; Guest et al., 2006; Morgan et al., 2001)</w:t>
      </w:r>
      <w:r w:rsidRPr="008F275D">
        <w:rPr>
          <w:rFonts w:ascii="Arial" w:hAnsi="Arial" w:cs="Arial"/>
          <w:sz w:val="22"/>
          <w:szCs w:val="22"/>
        </w:rPr>
        <w:fldChar w:fldCharType="end"/>
      </w:r>
      <w:r w:rsidRPr="008F275D">
        <w:rPr>
          <w:rFonts w:ascii="Arial" w:hAnsi="Arial" w:cs="Arial"/>
          <w:sz w:val="22"/>
          <w:szCs w:val="22"/>
        </w:rPr>
        <w:t>. In the current study, saturation was calculated at the end of all interviews and measured as the point in the sequence of interviews at which a theme could be identified at least once. Our conservative strategy included</w:t>
      </w:r>
      <w:r w:rsidRPr="008F275D">
        <w:t xml:space="preserve"> </w:t>
      </w:r>
      <w:r w:rsidRPr="008F275D">
        <w:rPr>
          <w:rFonts w:ascii="Arial" w:hAnsi="Arial" w:cs="Arial"/>
          <w:sz w:val="22"/>
          <w:szCs w:val="22"/>
        </w:rPr>
        <w:t xml:space="preserve">conducting approximately twice the empirically defined upper bound (i.e., &gt;34 interviews), thereby ensuring that data adequacy extended well beyond established thresholds. Saturation was achieved for the eight major themes by interview seven. </w:t>
      </w:r>
    </w:p>
    <w:p w14:paraId="1F0D7DD3" w14:textId="77777777" w:rsidR="004D6CDA" w:rsidRPr="008F275D" w:rsidRDefault="004D6CDA" w:rsidP="004D6CDA">
      <w:pPr>
        <w:spacing w:line="480" w:lineRule="auto"/>
        <w:ind w:firstLine="720"/>
        <w:rPr>
          <w:rFonts w:ascii="Arial" w:hAnsi="Arial" w:cs="Arial"/>
          <w:sz w:val="22"/>
          <w:szCs w:val="22"/>
        </w:rPr>
      </w:pPr>
    </w:p>
    <w:p w14:paraId="12E3CC3F" w14:textId="1B0AE925" w:rsidR="00585A49" w:rsidRPr="008F275D" w:rsidRDefault="00585A49" w:rsidP="00585A49">
      <w:pPr>
        <w:spacing w:line="480" w:lineRule="auto"/>
        <w:rPr>
          <w:rFonts w:ascii="Arial" w:hAnsi="Arial" w:cs="Arial"/>
          <w:b/>
          <w:bCs/>
          <w:sz w:val="22"/>
          <w:szCs w:val="22"/>
        </w:rPr>
      </w:pPr>
      <w:r w:rsidRPr="008F275D">
        <w:rPr>
          <w:rFonts w:ascii="Arial" w:hAnsi="Arial" w:cs="Arial"/>
          <w:b/>
          <w:bCs/>
          <w:sz w:val="22"/>
          <w:szCs w:val="22"/>
        </w:rPr>
        <w:t xml:space="preserve">Data </w:t>
      </w:r>
      <w:r w:rsidR="004711B1" w:rsidRPr="008F275D">
        <w:rPr>
          <w:rFonts w:ascii="Arial" w:hAnsi="Arial" w:cs="Arial"/>
          <w:b/>
          <w:bCs/>
          <w:sz w:val="22"/>
          <w:szCs w:val="22"/>
        </w:rPr>
        <w:t>P</w:t>
      </w:r>
      <w:r w:rsidRPr="008F275D">
        <w:rPr>
          <w:rFonts w:ascii="Arial" w:hAnsi="Arial" w:cs="Arial"/>
          <w:b/>
          <w:bCs/>
          <w:sz w:val="22"/>
          <w:szCs w:val="22"/>
        </w:rPr>
        <w:t>resentation</w:t>
      </w:r>
    </w:p>
    <w:p w14:paraId="481F48E7" w14:textId="77777777" w:rsidR="00585A49" w:rsidRPr="008F275D" w:rsidRDefault="00585A49" w:rsidP="00585A49">
      <w:pPr>
        <w:spacing w:line="480" w:lineRule="auto"/>
        <w:ind w:firstLine="720"/>
        <w:rPr>
          <w:rFonts w:ascii="Arial" w:hAnsi="Arial" w:cs="Arial"/>
          <w:sz w:val="22"/>
          <w:szCs w:val="22"/>
        </w:rPr>
      </w:pPr>
      <w:r w:rsidRPr="008F275D">
        <w:rPr>
          <w:rFonts w:ascii="Arial" w:hAnsi="Arial" w:cs="Arial"/>
          <w:sz w:val="22"/>
          <w:szCs w:val="22"/>
        </w:rPr>
        <w:t xml:space="preserve">Participant quotes were lightly edited for readability. Disfluencies and filler words (e.g., repetitions, false starts) were removed where they did not alter the original meaning or tone of the interviewee. In the results, </w:t>
      </w:r>
      <w:r w:rsidRPr="008F275D">
        <w:rPr>
          <w:rFonts w:ascii="Arial" w:hAnsi="Arial" w:cs="Arial"/>
          <w:i/>
          <w:iCs/>
          <w:sz w:val="22"/>
          <w:szCs w:val="22"/>
        </w:rPr>
        <w:t>ellipses</w:t>
      </w:r>
      <w:r w:rsidRPr="008F275D">
        <w:rPr>
          <w:rFonts w:ascii="Arial" w:hAnsi="Arial" w:cs="Arial"/>
          <w:sz w:val="22"/>
          <w:szCs w:val="22"/>
        </w:rPr>
        <w:t xml:space="preserve"> were used to indicate short omissions within a sentence (e.g., a few words such as “okay, right?”), while </w:t>
      </w:r>
      <w:r w:rsidRPr="008F275D">
        <w:rPr>
          <w:rFonts w:ascii="Arial" w:hAnsi="Arial" w:cs="Arial"/>
          <w:i/>
          <w:iCs/>
          <w:sz w:val="22"/>
          <w:szCs w:val="22"/>
        </w:rPr>
        <w:t>bracketed ellipses</w:t>
      </w:r>
      <w:r w:rsidRPr="008F275D">
        <w:rPr>
          <w:rFonts w:ascii="Arial" w:hAnsi="Arial" w:cs="Arial"/>
          <w:sz w:val="22"/>
          <w:szCs w:val="22"/>
        </w:rPr>
        <w:t xml:space="preserve"> were used to indicate longer omissions, such as a relative clause or full sentences. </w:t>
      </w:r>
      <w:r w:rsidRPr="008F275D">
        <w:rPr>
          <w:rFonts w:ascii="Arial" w:hAnsi="Arial" w:cs="Arial"/>
          <w:i/>
          <w:iCs/>
          <w:sz w:val="22"/>
          <w:szCs w:val="22"/>
        </w:rPr>
        <w:t>Brackets</w:t>
      </w:r>
      <w:r w:rsidRPr="008F275D">
        <w:rPr>
          <w:rFonts w:ascii="Arial" w:hAnsi="Arial" w:cs="Arial"/>
          <w:sz w:val="22"/>
          <w:szCs w:val="22"/>
        </w:rPr>
        <w:t xml:space="preserve"> were also used to clarify meaning, adjust grammar, or complete a sentence fragment when necessary.</w:t>
      </w:r>
    </w:p>
    <w:p w14:paraId="733CB2B6" w14:textId="77777777" w:rsidR="00585A49" w:rsidRPr="008F275D" w:rsidRDefault="00585A49" w:rsidP="00585A49">
      <w:pPr>
        <w:spacing w:line="480" w:lineRule="auto"/>
        <w:rPr>
          <w:rFonts w:ascii="Arial" w:hAnsi="Arial" w:cs="Arial"/>
          <w:sz w:val="22"/>
          <w:szCs w:val="22"/>
        </w:rPr>
      </w:pPr>
    </w:p>
    <w:p w14:paraId="36E73549" w14:textId="77777777" w:rsidR="00585A49" w:rsidRPr="008F275D" w:rsidRDefault="00585A49" w:rsidP="00585A49">
      <w:pPr>
        <w:pStyle w:val="Heading2"/>
        <w:rPr>
          <w:rFonts w:cs="Arial"/>
          <w:color w:val="auto"/>
          <w:sz w:val="22"/>
          <w:szCs w:val="22"/>
        </w:rPr>
      </w:pPr>
      <w:r w:rsidRPr="008F275D">
        <w:rPr>
          <w:rFonts w:cs="Arial"/>
          <w:bCs/>
          <w:color w:val="auto"/>
          <w:sz w:val="22"/>
          <w:szCs w:val="22"/>
        </w:rPr>
        <w:lastRenderedPageBreak/>
        <w:t>Ethics</w:t>
      </w:r>
    </w:p>
    <w:p w14:paraId="1AA83D74" w14:textId="51CC17E2" w:rsidR="00585A49" w:rsidRPr="008F275D" w:rsidRDefault="00585A49" w:rsidP="00585A49">
      <w:pPr>
        <w:spacing w:line="480" w:lineRule="auto"/>
        <w:ind w:firstLine="720"/>
        <w:rPr>
          <w:rFonts w:ascii="Arial" w:hAnsi="Arial" w:cs="Arial"/>
          <w:sz w:val="22"/>
          <w:szCs w:val="22"/>
        </w:rPr>
      </w:pPr>
      <w:r w:rsidRPr="008F275D">
        <w:rPr>
          <w:rFonts w:ascii="Arial" w:hAnsi="Arial" w:cs="Arial"/>
          <w:sz w:val="22"/>
          <w:szCs w:val="22"/>
        </w:rPr>
        <w:t>This study was approved by the Mass General Brigham Institutional Review Board IRB [ID: 2019P00390] and the ethics boards at Witten/</w:t>
      </w:r>
      <w:proofErr w:type="spellStart"/>
      <w:r w:rsidRPr="008F275D">
        <w:rPr>
          <w:rFonts w:ascii="Arial" w:hAnsi="Arial" w:cs="Arial"/>
          <w:sz w:val="22"/>
          <w:szCs w:val="22"/>
        </w:rPr>
        <w:t>Herdecke</w:t>
      </w:r>
      <w:proofErr w:type="spellEnd"/>
      <w:r w:rsidRPr="008F275D">
        <w:rPr>
          <w:rFonts w:ascii="Arial" w:hAnsi="Arial" w:cs="Arial"/>
          <w:sz w:val="22"/>
          <w:szCs w:val="22"/>
        </w:rPr>
        <w:t xml:space="preserve"> University.</w:t>
      </w:r>
    </w:p>
    <w:p w14:paraId="15FA1AEA" w14:textId="77777777" w:rsidR="00585A49" w:rsidRPr="008F275D" w:rsidRDefault="00585A49" w:rsidP="00585A49">
      <w:pPr>
        <w:spacing w:line="480" w:lineRule="auto"/>
        <w:rPr>
          <w:rFonts w:ascii="Arial" w:hAnsi="Arial" w:cs="Arial"/>
          <w:sz w:val="22"/>
          <w:szCs w:val="22"/>
        </w:rPr>
      </w:pPr>
    </w:p>
    <w:p w14:paraId="7AA0E66D" w14:textId="77777777" w:rsidR="00585A49" w:rsidRPr="008F275D" w:rsidRDefault="00585A49" w:rsidP="00585A49">
      <w:pPr>
        <w:pStyle w:val="Heading2"/>
        <w:rPr>
          <w:rFonts w:cs="Arial"/>
          <w:sz w:val="22"/>
          <w:szCs w:val="22"/>
        </w:rPr>
      </w:pPr>
      <w:r w:rsidRPr="008F275D">
        <w:rPr>
          <w:rFonts w:cs="Arial"/>
          <w:sz w:val="22"/>
          <w:szCs w:val="22"/>
        </w:rPr>
        <w:t>Funding</w:t>
      </w:r>
    </w:p>
    <w:p w14:paraId="09B4DC9C" w14:textId="77777777" w:rsidR="00585A49" w:rsidRPr="008F275D" w:rsidRDefault="00585A49" w:rsidP="00585A49">
      <w:pPr>
        <w:spacing w:line="480" w:lineRule="auto"/>
        <w:ind w:firstLine="720"/>
        <w:rPr>
          <w:rFonts w:ascii="Arial" w:hAnsi="Arial" w:cs="Arial"/>
          <w:sz w:val="22"/>
          <w:szCs w:val="22"/>
        </w:rPr>
      </w:pPr>
      <w:r w:rsidRPr="008F275D">
        <w:rPr>
          <w:rFonts w:ascii="Arial" w:hAnsi="Arial" w:cs="Arial"/>
          <w:sz w:val="22"/>
          <w:szCs w:val="22"/>
        </w:rPr>
        <w:t>This research did not receive any specific grant from funding agencies in the public, commercial, or not-for-profit sectors.</w:t>
      </w:r>
    </w:p>
    <w:p w14:paraId="7A800DA2" w14:textId="77777777" w:rsidR="00585A49" w:rsidRPr="008F275D" w:rsidRDefault="00585A49" w:rsidP="00585A49">
      <w:pPr>
        <w:spacing w:line="480" w:lineRule="auto"/>
        <w:ind w:firstLine="720"/>
        <w:rPr>
          <w:rFonts w:ascii="Arial" w:hAnsi="Arial" w:cs="Arial"/>
          <w:color w:val="000000" w:themeColor="text1"/>
          <w:sz w:val="22"/>
          <w:szCs w:val="22"/>
          <w:shd w:val="clear" w:color="auto" w:fill="FFFFFF"/>
        </w:rPr>
      </w:pPr>
    </w:p>
    <w:p w14:paraId="1D97EC33" w14:textId="77777777" w:rsidR="00585A49" w:rsidRPr="008F275D" w:rsidRDefault="00585A49" w:rsidP="00585A49">
      <w:pPr>
        <w:pStyle w:val="Heading2"/>
        <w:rPr>
          <w:rFonts w:cs="Arial"/>
          <w:sz w:val="22"/>
          <w:szCs w:val="22"/>
        </w:rPr>
      </w:pPr>
      <w:r w:rsidRPr="008F275D">
        <w:rPr>
          <w:rFonts w:cs="Arial"/>
          <w:sz w:val="22"/>
          <w:szCs w:val="22"/>
        </w:rPr>
        <w:t>Data Code and Availability</w:t>
      </w:r>
    </w:p>
    <w:p w14:paraId="684D2D07" w14:textId="77777777" w:rsidR="00585A49" w:rsidRPr="008F275D" w:rsidRDefault="00585A49" w:rsidP="00585A49">
      <w:pPr>
        <w:spacing w:line="480" w:lineRule="auto"/>
        <w:ind w:firstLine="720"/>
        <w:rPr>
          <w:rFonts w:ascii="Arial" w:hAnsi="Arial" w:cs="Arial"/>
          <w:color w:val="212121"/>
          <w:sz w:val="22"/>
          <w:szCs w:val="22"/>
          <w:shd w:val="clear" w:color="auto" w:fill="FFFFFF"/>
        </w:rPr>
      </w:pPr>
      <w:r w:rsidRPr="008F275D">
        <w:rPr>
          <w:rFonts w:ascii="Arial" w:hAnsi="Arial" w:cs="Arial"/>
          <w:color w:val="212121"/>
          <w:sz w:val="22"/>
          <w:szCs w:val="22"/>
          <w:shd w:val="clear" w:color="auto" w:fill="FFFFFF"/>
        </w:rPr>
        <w:t>This article is a qualitative study, and thus, no code was generated for this work. Original data is not publicly available. De-identified materials are available from the corresponding author upon reasonable request.</w:t>
      </w:r>
    </w:p>
    <w:p w14:paraId="040A530A" w14:textId="77777777" w:rsidR="009778D9" w:rsidRPr="008F275D" w:rsidRDefault="009778D9" w:rsidP="00585A49">
      <w:pPr>
        <w:spacing w:line="480" w:lineRule="auto"/>
        <w:ind w:firstLine="720"/>
        <w:rPr>
          <w:rFonts w:ascii="Arial" w:hAnsi="Arial" w:cs="Arial"/>
          <w:color w:val="212121"/>
          <w:sz w:val="22"/>
          <w:szCs w:val="22"/>
          <w:shd w:val="clear" w:color="auto" w:fill="FFFFFF"/>
        </w:rPr>
      </w:pPr>
    </w:p>
    <w:p w14:paraId="4329E4E2" w14:textId="21C285C4" w:rsidR="009778D9" w:rsidRPr="008F275D" w:rsidRDefault="009778D9" w:rsidP="009778D9">
      <w:pPr>
        <w:pStyle w:val="Heading2"/>
        <w:rPr>
          <w:rFonts w:cs="Arial"/>
          <w:sz w:val="22"/>
          <w:szCs w:val="22"/>
        </w:rPr>
      </w:pPr>
      <w:r w:rsidRPr="008F275D">
        <w:rPr>
          <w:rFonts w:cs="Arial"/>
          <w:sz w:val="22"/>
          <w:szCs w:val="22"/>
        </w:rPr>
        <w:t>Figure Development</w:t>
      </w:r>
    </w:p>
    <w:p w14:paraId="406A95A8" w14:textId="73FF589F" w:rsidR="009778D9" w:rsidRPr="008F275D" w:rsidRDefault="009778D9" w:rsidP="009778D9">
      <w:pPr>
        <w:spacing w:line="480" w:lineRule="auto"/>
        <w:rPr>
          <w:rFonts w:ascii="Arial" w:hAnsi="Arial" w:cs="Arial"/>
          <w:color w:val="212121"/>
          <w:sz w:val="22"/>
          <w:szCs w:val="22"/>
          <w:shd w:val="clear" w:color="auto" w:fill="FFFFFF"/>
        </w:rPr>
      </w:pPr>
      <w:r w:rsidRPr="008F275D">
        <w:rPr>
          <w:rFonts w:ascii="Arial" w:hAnsi="Arial" w:cs="Arial"/>
          <w:color w:val="212121"/>
          <w:sz w:val="22"/>
          <w:szCs w:val="22"/>
          <w:shd w:val="clear" w:color="auto" w:fill="FFFFFF"/>
        </w:rPr>
        <w:t xml:space="preserve">Figure 1 was developed by the research team as a high-level visual integration of the laboratory's theoretical framework of advanced meditative development and the empirical findings of the present study. The green box summarizes the six major thematic findings identified through TA, while the overall figure structure reflects conceptual work from our laboratory </w:t>
      </w:r>
      <w:r w:rsidRPr="008F275D">
        <w:rPr>
          <w:rFonts w:ascii="Arial" w:hAnsi="Arial" w:cs="Arial"/>
          <w:color w:val="212121"/>
          <w:sz w:val="22"/>
          <w:szCs w:val="22"/>
          <w:shd w:val="clear" w:color="auto" w:fill="FFFFFF"/>
        </w:rPr>
        <w:fldChar w:fldCharType="begin"/>
      </w:r>
      <w:r w:rsidRPr="008F275D">
        <w:rPr>
          <w:rFonts w:ascii="Arial" w:hAnsi="Arial" w:cs="Arial"/>
          <w:color w:val="212121"/>
          <w:sz w:val="22"/>
          <w:szCs w:val="22"/>
          <w:shd w:val="clear" w:color="auto" w:fill="FFFFFF"/>
        </w:rPr>
        <w:instrText xml:space="preserve"> ADDIN ZOTERO_ITEM CSL_CITATION {"citationID":"WuK80dMf","properties":{"formattedCitation":"(Sparby &amp; Sacchet, 2025a, 2025b, 2025c)","plainCitation":"(Sparby &amp; Sacchet, 2025a, 2025b, 2025c)","noteIndex":0},"citationItems":[{"id":5615,"uris":["http://zotero.org/groups/4644494/items/3CG9HTZ8"],"itemData":{"id":5615,"type":"article-journal","abstract":"Meditation, in particular advanced meditation, develops toward meditative endpoints (MEND), sometimes referred to metaphorically as awakening, enlightenment or salvation. A well-known instance of such an endpoint is called nibbāna (Pali) or nirvana (Sanskrit). Contemporary mindfulness teachers and diverse Buddhist traditions present differing views of nirvana. Some define nirvana as the ultimate reality beyond awareness, while others define it as liberated or pure awareness itself. Some descriptions of nirvana focus on the cessation of various mental phenomena (and particularly the cessation, or end, of suffering) and others based on affirmations (e.g., ultimate happiness). Nirvana has also been defined as ineffable, or as paradoxical (e.g., as neither existence nor non-existence). These, and other, different views and descriptions of nirvana make it challenging to understand this construct, and to establish a science of advanced meditation including meditative endpoints (MEND). Here, we propose an integrated taxonomy that unifies the different views and descriptions. It differentiates between ways of MEND entry, MEND events, and persistent MEND. The proposed taxonomy hence provides a unified view, a framework for differentiating and relating distinct approaches to MEND in the sense of nirvana, and a starting point for investigating MEND beyond the case of nirvana.","language":"en-US","publisher":"OSF","source":"osf.io","title":"Toward a Scientific Model of Meditative Endpoints (MEND). Extremes of Human Experience and Development and the Case of Nirvana","URL":"https://osf.io/ta3gn_v1","author":[{"family":"Sparby","given":"Terje"},{"family":"Sacchet","given":"Matthew"}],"accessed":{"date-parts":[["2025",12,2]]},"issued":{"date-parts":[["2025",11,23]]}}},{"id":5095,"uris":["http://zotero.org/users/11980734/items/HX9X8NDX"],"itemData":{"id":5095,"type":"article-journal","abstract":"Research on meditation and mindfulness in relation to challenging effects can be understood as consisting of at least two waves: The first wave focused on the efficacy of mindfulness and more broadly the clinically positive effects of meditation. The second wave mainly focused on increasing methodological rigor and uncovering underlying mechanisms. Research on the different kinds and prevalence of potential negative effects was also initiated in this second wave. We propose that future research needs to include the investigation of processes of transformative psychological growth that lead up to and result from advanced meditation and involve complex relationships between positive and challenging effects. Such research is part of a third wave of meditation research, which mainly focuses on advanced meditation. The central point of our argument is that “negative” experiences may be essential to meditative growth. However, it is difficult to define what a negative effect is when considering traditional contemplative perspectives. To conceptualize negative effects, we distinguish between objective and subjective happiness and define “negative effect” as that which overall contributes to both objective and subjective unhappiness. The resulting view represents a common-ground framework that incorporates both psychological and contemplative perspectives.","container-title":"Mindfulness","DOI":"10.1007/s12671-025-02607-7","ISSN":"1868-8535","journalAbbreviation":"Mindfulness","language":"en","source":"Springer Link","title":"The Third Wave of Meditation and Mindfulness Research and Implications for Challenging Experiences: Negative Effects, Transformative Psychological Growth, and Forms of Happiness","title-short":"The Third Wave of Meditation and Mindfulness Research and Implications for Challenging Experiences","URL":"https://doi.org/10.1007/s12671-025-02607-7","author":[{"family":"Sparby","given":"Terje"},{"family":"Sacchet","given":"Matthew D."}],"accessed":{"date-parts":[["2025",6,16]]},"issued":{"date-parts":[["2025",6,11]]}}},{"id":5373,"uris":["http://zotero.org/users/11980734/items/ZCP232PI"],"itemData":{"id":5373,"type":"article-journal","abstract":"While there exists a large body of research on the possibility of measuring certain aspects of human development, what might be called inner development has mostly been neglected, in particular as it pertains to advanced meditation. A central aspect of this kind of development, which we call meditative development, is associated with access to bliss, peace, wisdom, and the reduction of suffering, which have been regarded as highly desirable or even ultimate aims of human life. The potential for such development is currently being scientifically studied and developmentally mapped. While the use of maps to guide meditation during practice has been criticized, the conceptualization of a transformative process involving a metaphorical death and rebirth, or the dissolution of an old identity and the emergence of a new one, is common across various wisdom traditions. In the meditative traditions, some maps, such as the one described by Mahāsī Sayādaw, describe this process in a way that is both highly detailed and grounded in experience. Here, we propose an outline of the process of metaphorical “death and rebirth” in advanced meditation, which may form a foundation for the scientific investigation of meditative development and support a deeper understanding of what it means to be human.","container-title":"Mindfulness","DOI":"10.1007/s12671-025-02632-6","ISSN":"1868-8535","journalAbbreviation":"Mindfulness","language":"en","source":"Springer Link","title":"Toward a Unified Model of Advanced Meditation, Human Development, Meditation Maps, and Transtradition Metaphors: Facing Impermanence, Suffering, and Death","title-short":"Toward a Unified Model of Advanced Meditation, Human Development, Meditation Maps, and Transtradition Metaphors","URL":"https://doi.org/10.1007/s12671-025-02632-6","author":[{"family":"Sparby","given":"Terje"},{"family":"Sacchet","given":"Matthew D."}],"accessed":{"date-parts":[["2025",8,2]]},"issued":{"date-parts":[["2025",7,29]]}}}],"schema":"https://github.com/citation-style-language/schema/raw/master/csl-citation.json"} </w:instrText>
      </w:r>
      <w:r w:rsidRPr="008F275D">
        <w:rPr>
          <w:rFonts w:ascii="Arial" w:hAnsi="Arial" w:cs="Arial"/>
          <w:color w:val="212121"/>
          <w:sz w:val="22"/>
          <w:szCs w:val="22"/>
          <w:shd w:val="clear" w:color="auto" w:fill="FFFFFF"/>
        </w:rPr>
        <w:fldChar w:fldCharType="separate"/>
      </w:r>
      <w:r w:rsidRPr="008F275D">
        <w:rPr>
          <w:rFonts w:ascii="Arial" w:hAnsi="Arial" w:cs="Arial"/>
          <w:noProof/>
          <w:color w:val="212121"/>
          <w:sz w:val="22"/>
          <w:szCs w:val="22"/>
          <w:shd w:val="clear" w:color="auto" w:fill="FFFFFF"/>
        </w:rPr>
        <w:t>(Sparby &amp; Sacchet, 2025a, 2025b, 2025c)</w:t>
      </w:r>
      <w:r w:rsidRPr="008F275D">
        <w:rPr>
          <w:rFonts w:ascii="Arial" w:hAnsi="Arial" w:cs="Arial"/>
          <w:color w:val="212121"/>
          <w:sz w:val="22"/>
          <w:szCs w:val="22"/>
          <w:shd w:val="clear" w:color="auto" w:fill="FFFFFF"/>
        </w:rPr>
        <w:fldChar w:fldCharType="end"/>
      </w:r>
      <w:r w:rsidRPr="008F275D">
        <w:rPr>
          <w:rFonts w:ascii="Arial" w:hAnsi="Arial" w:cs="Arial"/>
          <w:color w:val="212121"/>
          <w:sz w:val="22"/>
          <w:szCs w:val="22"/>
          <w:shd w:val="clear" w:color="auto" w:fill="FFFFFF"/>
        </w:rPr>
        <w:t xml:space="preserve"> as further informed by the empirical data reported here.</w:t>
      </w:r>
    </w:p>
    <w:p w14:paraId="63D290A6" w14:textId="4FE98B65" w:rsidR="004D6CDA" w:rsidRPr="008F275D" w:rsidRDefault="004D6CDA" w:rsidP="00585A49">
      <w:pPr>
        <w:spacing w:line="480" w:lineRule="auto"/>
        <w:rPr>
          <w:rFonts w:ascii="Arial" w:hAnsi="Arial" w:cs="Arial"/>
          <w:sz w:val="22"/>
          <w:szCs w:val="22"/>
        </w:rPr>
      </w:pPr>
    </w:p>
    <w:p w14:paraId="40B4749C" w14:textId="77777777" w:rsidR="00585A49" w:rsidRPr="008F275D" w:rsidRDefault="00585A49" w:rsidP="00585A49">
      <w:pPr>
        <w:spacing w:line="480" w:lineRule="auto"/>
        <w:jc w:val="center"/>
        <w:rPr>
          <w:rFonts w:ascii="Arial" w:hAnsi="Arial" w:cs="Arial"/>
          <w:b/>
          <w:bCs/>
          <w:sz w:val="22"/>
          <w:szCs w:val="22"/>
        </w:rPr>
      </w:pPr>
      <w:r w:rsidRPr="008F275D">
        <w:rPr>
          <w:rFonts w:ascii="Arial" w:hAnsi="Arial" w:cs="Arial"/>
          <w:b/>
          <w:bCs/>
          <w:sz w:val="22"/>
          <w:szCs w:val="22"/>
        </w:rPr>
        <w:t>References</w:t>
      </w:r>
    </w:p>
    <w:p w14:paraId="1FD0B3F7" w14:textId="77777777" w:rsidR="009778D9" w:rsidRPr="008F275D" w:rsidRDefault="00585A49" w:rsidP="009778D9">
      <w:pPr>
        <w:pStyle w:val="Bibliography"/>
        <w:rPr>
          <w:rFonts w:ascii="Arial" w:hAnsi="Arial" w:cs="Arial"/>
          <w:sz w:val="22"/>
        </w:rPr>
      </w:pPr>
      <w:r w:rsidRPr="008F275D">
        <w:rPr>
          <w:rFonts w:ascii="Arial" w:hAnsi="Arial" w:cs="Arial"/>
          <w:sz w:val="22"/>
          <w:szCs w:val="22"/>
        </w:rPr>
        <w:fldChar w:fldCharType="begin"/>
      </w:r>
      <w:r w:rsidR="0063184C" w:rsidRPr="008F275D">
        <w:rPr>
          <w:rFonts w:ascii="Arial" w:hAnsi="Arial" w:cs="Arial"/>
          <w:sz w:val="22"/>
          <w:szCs w:val="22"/>
        </w:rPr>
        <w:instrText xml:space="preserve"> ADDIN ZOTERO_BIBL {"uncited":[],"omitted":[],"custom":[]} CSL_BIBLIOGRAPHY </w:instrText>
      </w:r>
      <w:r w:rsidRPr="008F275D">
        <w:rPr>
          <w:rFonts w:ascii="Arial" w:hAnsi="Arial" w:cs="Arial"/>
          <w:sz w:val="22"/>
          <w:szCs w:val="22"/>
        </w:rPr>
        <w:fldChar w:fldCharType="separate"/>
      </w:r>
      <w:r w:rsidR="009778D9" w:rsidRPr="008F275D">
        <w:rPr>
          <w:rFonts w:ascii="Arial" w:hAnsi="Arial" w:cs="Arial"/>
          <w:sz w:val="22"/>
        </w:rPr>
        <w:t xml:space="preserve">Chowdhury, A., van Lutterveld, R., Laukkonen, R. E., Slagter, H. A., Ingram, D. M., &amp; Sacchet, M. D. (2023). Investigation of advanced mindfulness meditation “cessation” experiences </w:t>
      </w:r>
      <w:r w:rsidR="009778D9" w:rsidRPr="008F275D">
        <w:rPr>
          <w:rFonts w:ascii="Arial" w:hAnsi="Arial" w:cs="Arial"/>
          <w:sz w:val="22"/>
        </w:rPr>
        <w:lastRenderedPageBreak/>
        <w:t xml:space="preserve">using EEG spectral analysis in an intensively sampled case study. </w:t>
      </w:r>
      <w:r w:rsidR="009778D9" w:rsidRPr="008F275D">
        <w:rPr>
          <w:rFonts w:ascii="Arial" w:hAnsi="Arial" w:cs="Arial"/>
          <w:i/>
          <w:iCs/>
          <w:sz w:val="22"/>
        </w:rPr>
        <w:t>Neuropsychologia</w:t>
      </w:r>
      <w:r w:rsidR="009778D9" w:rsidRPr="008F275D">
        <w:rPr>
          <w:rFonts w:ascii="Arial" w:hAnsi="Arial" w:cs="Arial"/>
          <w:sz w:val="22"/>
        </w:rPr>
        <w:t xml:space="preserve">, </w:t>
      </w:r>
      <w:r w:rsidR="009778D9" w:rsidRPr="008F275D">
        <w:rPr>
          <w:rFonts w:ascii="Arial" w:hAnsi="Arial" w:cs="Arial"/>
          <w:i/>
          <w:iCs/>
          <w:sz w:val="22"/>
        </w:rPr>
        <w:t>190</w:t>
      </w:r>
      <w:r w:rsidR="009778D9" w:rsidRPr="008F275D">
        <w:rPr>
          <w:rFonts w:ascii="Arial" w:hAnsi="Arial" w:cs="Arial"/>
          <w:sz w:val="22"/>
        </w:rPr>
        <w:t>, 108694. https://doi.org/10.1016/j.neuropsychologia.2023.108694</w:t>
      </w:r>
    </w:p>
    <w:p w14:paraId="2494BCEF"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Francis, J. J., Johnston, M., Robertson, C., Glidewell, L., Entwistle, V., Eccles, M. P., &amp; Grimshaw, J. M. (2010). What is an adequate sample size? Operationalising data saturation for theory-based interview studies. </w:t>
      </w:r>
      <w:r w:rsidRPr="008F275D">
        <w:rPr>
          <w:rFonts w:ascii="Arial" w:hAnsi="Arial" w:cs="Arial"/>
          <w:i/>
          <w:iCs/>
          <w:sz w:val="22"/>
        </w:rPr>
        <w:t>Psychology &amp; Health</w:t>
      </w:r>
      <w:r w:rsidRPr="008F275D">
        <w:rPr>
          <w:rFonts w:ascii="Arial" w:hAnsi="Arial" w:cs="Arial"/>
          <w:sz w:val="22"/>
        </w:rPr>
        <w:t xml:space="preserve">, </w:t>
      </w:r>
      <w:r w:rsidRPr="008F275D">
        <w:rPr>
          <w:rFonts w:ascii="Arial" w:hAnsi="Arial" w:cs="Arial"/>
          <w:i/>
          <w:iCs/>
          <w:sz w:val="22"/>
        </w:rPr>
        <w:t>25</w:t>
      </w:r>
      <w:r w:rsidRPr="008F275D">
        <w:rPr>
          <w:rFonts w:ascii="Arial" w:hAnsi="Arial" w:cs="Arial"/>
          <w:sz w:val="22"/>
        </w:rPr>
        <w:t>(10), 1229–1245. https://doi.org/10.1080/08870440903194015</w:t>
      </w:r>
    </w:p>
    <w:p w14:paraId="7920EB1F"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Guest, G., Bunce, A., &amp; Johnson, L. (2006). How Many Interviews Are Enough?: An Experiment with Data Saturation and Variability. </w:t>
      </w:r>
      <w:r w:rsidRPr="008F275D">
        <w:rPr>
          <w:rFonts w:ascii="Arial" w:hAnsi="Arial" w:cs="Arial"/>
          <w:i/>
          <w:iCs/>
          <w:sz w:val="22"/>
        </w:rPr>
        <w:t>Field Methods</w:t>
      </w:r>
      <w:r w:rsidRPr="008F275D">
        <w:rPr>
          <w:rFonts w:ascii="Arial" w:hAnsi="Arial" w:cs="Arial"/>
          <w:sz w:val="22"/>
        </w:rPr>
        <w:t xml:space="preserve">, </w:t>
      </w:r>
      <w:r w:rsidRPr="008F275D">
        <w:rPr>
          <w:rFonts w:ascii="Arial" w:hAnsi="Arial" w:cs="Arial"/>
          <w:i/>
          <w:iCs/>
          <w:sz w:val="22"/>
        </w:rPr>
        <w:t>18</w:t>
      </w:r>
      <w:r w:rsidRPr="008F275D">
        <w:rPr>
          <w:rFonts w:ascii="Arial" w:hAnsi="Arial" w:cs="Arial"/>
          <w:sz w:val="22"/>
        </w:rPr>
        <w:t>(1), 59–82. https://doi.org/10.1177/1525822X05279903</w:t>
      </w:r>
    </w:p>
    <w:p w14:paraId="7EE8FD58"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Guest, G., Namey, E., &amp; Chen, M. (2020). A simple method to assess and report thematic saturation in qualitative research. </w:t>
      </w:r>
      <w:r w:rsidRPr="008F275D">
        <w:rPr>
          <w:rFonts w:ascii="Arial" w:hAnsi="Arial" w:cs="Arial"/>
          <w:i/>
          <w:iCs/>
          <w:sz w:val="22"/>
        </w:rPr>
        <w:t>PLOS ONE</w:t>
      </w:r>
      <w:r w:rsidRPr="008F275D">
        <w:rPr>
          <w:rFonts w:ascii="Arial" w:hAnsi="Arial" w:cs="Arial"/>
          <w:sz w:val="22"/>
        </w:rPr>
        <w:t xml:space="preserve">, </w:t>
      </w:r>
      <w:r w:rsidRPr="008F275D">
        <w:rPr>
          <w:rFonts w:ascii="Arial" w:hAnsi="Arial" w:cs="Arial"/>
          <w:i/>
          <w:iCs/>
          <w:sz w:val="22"/>
        </w:rPr>
        <w:t>15</w:t>
      </w:r>
      <w:r w:rsidRPr="008F275D">
        <w:rPr>
          <w:rFonts w:ascii="Arial" w:hAnsi="Arial" w:cs="Arial"/>
          <w:sz w:val="22"/>
        </w:rPr>
        <w:t>(5), e0232076. https://doi.org/10.1371/journal.pone.0232076</w:t>
      </w:r>
    </w:p>
    <w:p w14:paraId="4B4C0730"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Hennink, M., &amp; Kaiser, B. N. (2022). Sample sizes for saturation in qualitative research: A systematic review of empirical tests. </w:t>
      </w:r>
      <w:r w:rsidRPr="008F275D">
        <w:rPr>
          <w:rFonts w:ascii="Arial" w:hAnsi="Arial" w:cs="Arial"/>
          <w:i/>
          <w:iCs/>
          <w:sz w:val="22"/>
        </w:rPr>
        <w:t>Social Science &amp; Medicine</w:t>
      </w:r>
      <w:r w:rsidRPr="008F275D">
        <w:rPr>
          <w:rFonts w:ascii="Arial" w:hAnsi="Arial" w:cs="Arial"/>
          <w:sz w:val="22"/>
        </w:rPr>
        <w:t xml:space="preserve">, </w:t>
      </w:r>
      <w:r w:rsidRPr="008F275D">
        <w:rPr>
          <w:rFonts w:ascii="Arial" w:hAnsi="Arial" w:cs="Arial"/>
          <w:i/>
          <w:iCs/>
          <w:sz w:val="22"/>
        </w:rPr>
        <w:t>292</w:t>
      </w:r>
      <w:r w:rsidRPr="008F275D">
        <w:rPr>
          <w:rFonts w:ascii="Arial" w:hAnsi="Arial" w:cs="Arial"/>
          <w:sz w:val="22"/>
        </w:rPr>
        <w:t>, 114523. https://doi.org/10.1016/j.socscimed.2021.114523</w:t>
      </w:r>
    </w:p>
    <w:p w14:paraId="3EBC9DC5"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Morgan, M., Fischhoff, B., Bostrom, A., &amp; Atman, C. (2001). </w:t>
      </w:r>
      <w:r w:rsidRPr="008F275D">
        <w:rPr>
          <w:rFonts w:ascii="Arial" w:hAnsi="Arial" w:cs="Arial"/>
          <w:i/>
          <w:iCs/>
          <w:sz w:val="22"/>
        </w:rPr>
        <w:t>Risk Communication: A Mental Models Approach</w:t>
      </w:r>
      <w:r w:rsidRPr="008F275D">
        <w:rPr>
          <w:rFonts w:ascii="Arial" w:hAnsi="Arial" w:cs="Arial"/>
          <w:sz w:val="22"/>
        </w:rPr>
        <w:t>. Cambridge University Press. https://doi.org/10.1017/CBO9780511814679</w:t>
      </w:r>
    </w:p>
    <w:p w14:paraId="64FD6688"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Sebele-Mpofu, F. Y. (2020). Saturation controversy in qualitative research: Complexities and underlying assumptions. A literature review. </w:t>
      </w:r>
      <w:r w:rsidRPr="008F275D">
        <w:rPr>
          <w:rFonts w:ascii="Arial" w:hAnsi="Arial" w:cs="Arial"/>
          <w:i/>
          <w:iCs/>
          <w:sz w:val="22"/>
        </w:rPr>
        <w:t>Cogent Social Sciences</w:t>
      </w:r>
      <w:r w:rsidRPr="008F275D">
        <w:rPr>
          <w:rFonts w:ascii="Arial" w:hAnsi="Arial" w:cs="Arial"/>
          <w:sz w:val="22"/>
        </w:rPr>
        <w:t xml:space="preserve">, </w:t>
      </w:r>
      <w:r w:rsidRPr="008F275D">
        <w:rPr>
          <w:rFonts w:ascii="Arial" w:hAnsi="Arial" w:cs="Arial"/>
          <w:i/>
          <w:iCs/>
          <w:sz w:val="22"/>
        </w:rPr>
        <w:t>6</w:t>
      </w:r>
      <w:r w:rsidRPr="008F275D">
        <w:rPr>
          <w:rFonts w:ascii="Arial" w:hAnsi="Arial" w:cs="Arial"/>
          <w:sz w:val="22"/>
        </w:rPr>
        <w:t>(1), 1838706. https://doi.org/10.1080/23311886.2020.1838706</w:t>
      </w:r>
    </w:p>
    <w:p w14:paraId="685352AF"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Sparby, T., &amp; Sacchet, M. (2025a). </w:t>
      </w:r>
      <w:r w:rsidRPr="008F275D">
        <w:rPr>
          <w:rFonts w:ascii="Arial" w:hAnsi="Arial" w:cs="Arial"/>
          <w:i/>
          <w:iCs/>
          <w:sz w:val="22"/>
        </w:rPr>
        <w:t>Toward a Scientific Model of Meditative Endpoints (MEND). Extremes of Human Experience and Development and the Case of Nirvana</w:t>
      </w:r>
      <w:r w:rsidRPr="008F275D">
        <w:rPr>
          <w:rFonts w:ascii="Arial" w:hAnsi="Arial" w:cs="Arial"/>
          <w:sz w:val="22"/>
        </w:rPr>
        <w:t>. https://osf.io/ta3gn_v1</w:t>
      </w:r>
    </w:p>
    <w:p w14:paraId="5F97F743" w14:textId="77777777" w:rsidR="009778D9" w:rsidRPr="008F275D" w:rsidRDefault="009778D9" w:rsidP="009778D9">
      <w:pPr>
        <w:pStyle w:val="Bibliography"/>
        <w:rPr>
          <w:rFonts w:ascii="Arial" w:hAnsi="Arial" w:cs="Arial"/>
          <w:sz w:val="22"/>
        </w:rPr>
      </w:pPr>
      <w:r w:rsidRPr="008F275D">
        <w:rPr>
          <w:rFonts w:ascii="Arial" w:hAnsi="Arial" w:cs="Arial"/>
          <w:sz w:val="22"/>
        </w:rPr>
        <w:lastRenderedPageBreak/>
        <w:t xml:space="preserve">Sparby, T., &amp; Sacchet, M. D. (2024). Toward a Unified Account of Advanced Concentrative Absorption Meditation: A Systematic Definition and Classification of Jhāna. </w:t>
      </w:r>
      <w:r w:rsidRPr="008F275D">
        <w:rPr>
          <w:rFonts w:ascii="Arial" w:hAnsi="Arial" w:cs="Arial"/>
          <w:i/>
          <w:iCs/>
          <w:sz w:val="22"/>
        </w:rPr>
        <w:t>Mindfulness</w:t>
      </w:r>
      <w:r w:rsidRPr="008F275D">
        <w:rPr>
          <w:rFonts w:ascii="Arial" w:hAnsi="Arial" w:cs="Arial"/>
          <w:sz w:val="22"/>
        </w:rPr>
        <w:t xml:space="preserve">, </w:t>
      </w:r>
      <w:r w:rsidRPr="008F275D">
        <w:rPr>
          <w:rFonts w:ascii="Arial" w:hAnsi="Arial" w:cs="Arial"/>
          <w:i/>
          <w:iCs/>
          <w:sz w:val="22"/>
        </w:rPr>
        <w:t>15</w:t>
      </w:r>
      <w:r w:rsidRPr="008F275D">
        <w:rPr>
          <w:rFonts w:ascii="Arial" w:hAnsi="Arial" w:cs="Arial"/>
          <w:sz w:val="22"/>
        </w:rPr>
        <w:t>(6), 1375–1394. https://doi.org/10.1007/s12671-024-02367-w</w:t>
      </w:r>
    </w:p>
    <w:p w14:paraId="63F5B08F"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Sparby, T., &amp; Sacchet, M. D. (2025b). The Third Wave of Meditation and Mindfulness Research and Implications for Challenging Experiences: Negative Effects, Transformative Psychological Growth, and Forms of Happiness. </w:t>
      </w:r>
      <w:r w:rsidRPr="008F275D">
        <w:rPr>
          <w:rFonts w:ascii="Arial" w:hAnsi="Arial" w:cs="Arial"/>
          <w:i/>
          <w:iCs/>
          <w:sz w:val="22"/>
        </w:rPr>
        <w:t>Mindfulness</w:t>
      </w:r>
      <w:r w:rsidRPr="008F275D">
        <w:rPr>
          <w:rFonts w:ascii="Arial" w:hAnsi="Arial" w:cs="Arial"/>
          <w:sz w:val="22"/>
        </w:rPr>
        <w:t>. https://doi.org/10.1007/s12671-025-02607-7</w:t>
      </w:r>
    </w:p>
    <w:p w14:paraId="63835B61"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Sparby, T., &amp; Sacchet, M. D. (2025c). Toward a Unified Model of Advanced Meditation, Human Development, Meditation Maps, and Transtradition Metaphors: Facing Impermanence, Suffering, and Death. </w:t>
      </w:r>
      <w:r w:rsidRPr="008F275D">
        <w:rPr>
          <w:rFonts w:ascii="Arial" w:hAnsi="Arial" w:cs="Arial"/>
          <w:i/>
          <w:iCs/>
          <w:sz w:val="22"/>
        </w:rPr>
        <w:t>Mindfulness</w:t>
      </w:r>
      <w:r w:rsidRPr="008F275D">
        <w:rPr>
          <w:rFonts w:ascii="Arial" w:hAnsi="Arial" w:cs="Arial"/>
          <w:sz w:val="22"/>
        </w:rPr>
        <w:t>. https://doi.org/10.1007/s12671-025-02632-6</w:t>
      </w:r>
    </w:p>
    <w:p w14:paraId="415574A0"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Tight, M. (2024). Saturation: An Overworked and Misunderstood Concept? </w:t>
      </w:r>
      <w:r w:rsidRPr="008F275D">
        <w:rPr>
          <w:rFonts w:ascii="Arial" w:hAnsi="Arial" w:cs="Arial"/>
          <w:i/>
          <w:iCs/>
          <w:sz w:val="22"/>
        </w:rPr>
        <w:t>Qualitative Inquiry</w:t>
      </w:r>
      <w:r w:rsidRPr="008F275D">
        <w:rPr>
          <w:rFonts w:ascii="Arial" w:hAnsi="Arial" w:cs="Arial"/>
          <w:sz w:val="22"/>
        </w:rPr>
        <w:t xml:space="preserve">, </w:t>
      </w:r>
      <w:r w:rsidRPr="008F275D">
        <w:rPr>
          <w:rFonts w:ascii="Arial" w:hAnsi="Arial" w:cs="Arial"/>
          <w:i/>
          <w:iCs/>
          <w:sz w:val="22"/>
        </w:rPr>
        <w:t>30</w:t>
      </w:r>
      <w:r w:rsidRPr="008F275D">
        <w:rPr>
          <w:rFonts w:ascii="Arial" w:hAnsi="Arial" w:cs="Arial"/>
          <w:sz w:val="22"/>
        </w:rPr>
        <w:t>(7), 577–583. https://doi.org/10.1177/10778004231183948</w:t>
      </w:r>
    </w:p>
    <w:p w14:paraId="0667F68B"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van Lutterveld, R., Chowdhury, A., Ingram, D. M., &amp; Sacchet, M. D. (2024). Neurophenomenological Investigation of Mindfulness Meditation “Cessation” Experiences Using EEG Network Analysis in an Intensively Sampled Adept Meditator. </w:t>
      </w:r>
      <w:r w:rsidRPr="008F275D">
        <w:rPr>
          <w:rFonts w:ascii="Arial" w:hAnsi="Arial" w:cs="Arial"/>
          <w:i/>
          <w:iCs/>
          <w:sz w:val="22"/>
        </w:rPr>
        <w:t>Brain Topography</w:t>
      </w:r>
      <w:r w:rsidRPr="008F275D">
        <w:rPr>
          <w:rFonts w:ascii="Arial" w:hAnsi="Arial" w:cs="Arial"/>
          <w:sz w:val="22"/>
        </w:rPr>
        <w:t xml:space="preserve">, </w:t>
      </w:r>
      <w:r w:rsidRPr="008F275D">
        <w:rPr>
          <w:rFonts w:ascii="Arial" w:hAnsi="Arial" w:cs="Arial"/>
          <w:i/>
          <w:iCs/>
          <w:sz w:val="22"/>
        </w:rPr>
        <w:t>37</w:t>
      </w:r>
      <w:r w:rsidRPr="008F275D">
        <w:rPr>
          <w:rFonts w:ascii="Arial" w:hAnsi="Arial" w:cs="Arial"/>
          <w:sz w:val="22"/>
        </w:rPr>
        <w:t>(5), 849–858. https://doi.org/10.1007/s10548-024-01052-4</w:t>
      </w:r>
    </w:p>
    <w:p w14:paraId="5D69F2DC"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Varpio, L., Ajjawi, R., Monrouxe, L. V., O’Brien, B. C., &amp; Rees, C. E. (2017). Shedding the cobra effect: Problematising thematic emergence, triangulation, saturation and member checking. </w:t>
      </w:r>
      <w:r w:rsidRPr="008F275D">
        <w:rPr>
          <w:rFonts w:ascii="Arial" w:hAnsi="Arial" w:cs="Arial"/>
          <w:i/>
          <w:iCs/>
          <w:sz w:val="22"/>
        </w:rPr>
        <w:t>Medical Education</w:t>
      </w:r>
      <w:r w:rsidRPr="008F275D">
        <w:rPr>
          <w:rFonts w:ascii="Arial" w:hAnsi="Arial" w:cs="Arial"/>
          <w:sz w:val="22"/>
        </w:rPr>
        <w:t xml:space="preserve">, </w:t>
      </w:r>
      <w:r w:rsidRPr="008F275D">
        <w:rPr>
          <w:rFonts w:ascii="Arial" w:hAnsi="Arial" w:cs="Arial"/>
          <w:i/>
          <w:iCs/>
          <w:sz w:val="22"/>
        </w:rPr>
        <w:t>51</w:t>
      </w:r>
      <w:r w:rsidRPr="008F275D">
        <w:rPr>
          <w:rFonts w:ascii="Arial" w:hAnsi="Arial" w:cs="Arial"/>
          <w:sz w:val="22"/>
        </w:rPr>
        <w:t>(1), 40–50. https://doi.org/10.1111/medu.13124</w:t>
      </w:r>
    </w:p>
    <w:p w14:paraId="4496BCE3" w14:textId="77777777" w:rsidR="009778D9" w:rsidRPr="008F275D" w:rsidRDefault="009778D9" w:rsidP="009778D9">
      <w:pPr>
        <w:pStyle w:val="Bibliography"/>
        <w:rPr>
          <w:rFonts w:ascii="Arial" w:hAnsi="Arial" w:cs="Arial"/>
          <w:sz w:val="22"/>
        </w:rPr>
      </w:pPr>
      <w:r w:rsidRPr="008F275D">
        <w:rPr>
          <w:rFonts w:ascii="Arial" w:hAnsi="Arial" w:cs="Arial"/>
          <w:sz w:val="22"/>
        </w:rPr>
        <w:t xml:space="preserve">Yang, W. F. Z., Chowdhury, A., Sparby, T., &amp; Sacchet, M. D. (2025). Deconstructing the self and reshaping perceptions: An intensive whole-brain 7T MRI case study of the stages of insight during advanced investigative insight meditation. </w:t>
      </w:r>
      <w:r w:rsidRPr="008F275D">
        <w:rPr>
          <w:rFonts w:ascii="Arial" w:hAnsi="Arial" w:cs="Arial"/>
          <w:i/>
          <w:iCs/>
          <w:sz w:val="22"/>
        </w:rPr>
        <w:t>NeuroImage</w:t>
      </w:r>
      <w:r w:rsidRPr="008F275D">
        <w:rPr>
          <w:rFonts w:ascii="Arial" w:hAnsi="Arial" w:cs="Arial"/>
          <w:sz w:val="22"/>
        </w:rPr>
        <w:t xml:space="preserve">, </w:t>
      </w:r>
      <w:r w:rsidRPr="008F275D">
        <w:rPr>
          <w:rFonts w:ascii="Arial" w:hAnsi="Arial" w:cs="Arial"/>
          <w:i/>
          <w:iCs/>
          <w:sz w:val="22"/>
        </w:rPr>
        <w:t>305</w:t>
      </w:r>
      <w:r w:rsidRPr="008F275D">
        <w:rPr>
          <w:rFonts w:ascii="Arial" w:hAnsi="Arial" w:cs="Arial"/>
          <w:sz w:val="22"/>
        </w:rPr>
        <w:t>, 120968. https://doi.org/10.1016/j.neuroimage.2024.120968</w:t>
      </w:r>
    </w:p>
    <w:p w14:paraId="14955A43" w14:textId="65D91792" w:rsidR="00585A49" w:rsidRPr="002262E2" w:rsidRDefault="00585A49" w:rsidP="009778D9">
      <w:pPr>
        <w:pStyle w:val="Bibliography"/>
        <w:rPr>
          <w:rFonts w:ascii="Arial" w:hAnsi="Arial" w:cs="Arial"/>
          <w:sz w:val="22"/>
          <w:szCs w:val="22"/>
        </w:rPr>
      </w:pPr>
      <w:r w:rsidRPr="008F275D">
        <w:rPr>
          <w:rFonts w:ascii="Arial" w:hAnsi="Arial" w:cs="Arial"/>
          <w:sz w:val="22"/>
          <w:szCs w:val="22"/>
        </w:rPr>
        <w:fldChar w:fldCharType="end"/>
      </w:r>
    </w:p>
    <w:sectPr w:rsidR="00585A49" w:rsidRPr="002262E2">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4CD7B" w14:textId="77777777" w:rsidR="00F14EDD" w:rsidRDefault="00F14EDD" w:rsidP="00F47B40">
      <w:r>
        <w:separator/>
      </w:r>
    </w:p>
  </w:endnote>
  <w:endnote w:type="continuationSeparator" w:id="0">
    <w:p w14:paraId="3D167FAD" w14:textId="77777777" w:rsidR="00F14EDD" w:rsidRDefault="00F14EDD" w:rsidP="00F4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6452050"/>
      <w:docPartObj>
        <w:docPartGallery w:val="Page Numbers (Bottom of Page)"/>
        <w:docPartUnique/>
      </w:docPartObj>
    </w:sdtPr>
    <w:sdtContent>
      <w:p w14:paraId="6E814D11" w14:textId="6B15A9EA" w:rsidR="00F47B40" w:rsidRDefault="00F47B40" w:rsidP="00E631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41DB27" w14:textId="77777777" w:rsidR="00F47B40" w:rsidRDefault="00F47B40" w:rsidP="00F47B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3554849"/>
      <w:docPartObj>
        <w:docPartGallery w:val="Page Numbers (Bottom of Page)"/>
        <w:docPartUnique/>
      </w:docPartObj>
    </w:sdtPr>
    <w:sdtContent>
      <w:p w14:paraId="6B6DDE31" w14:textId="3E3FD618" w:rsidR="00F47B40" w:rsidRDefault="00F47B40" w:rsidP="00E631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493F6BE" w14:textId="77777777" w:rsidR="00F47B40" w:rsidRDefault="00F47B40" w:rsidP="00F47B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C53E4" w14:textId="77777777" w:rsidR="00F14EDD" w:rsidRDefault="00F14EDD" w:rsidP="00F47B40">
      <w:r>
        <w:separator/>
      </w:r>
    </w:p>
  </w:footnote>
  <w:footnote w:type="continuationSeparator" w:id="0">
    <w:p w14:paraId="5F780FB3" w14:textId="77777777" w:rsidR="00F14EDD" w:rsidRDefault="00F14EDD" w:rsidP="00F47B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B32"/>
    <w:rsid w:val="00001570"/>
    <w:rsid w:val="00022D81"/>
    <w:rsid w:val="000258E5"/>
    <w:rsid w:val="000557DD"/>
    <w:rsid w:val="000A6A71"/>
    <w:rsid w:val="000E2C95"/>
    <w:rsid w:val="000E4940"/>
    <w:rsid w:val="000E6D88"/>
    <w:rsid w:val="0011372A"/>
    <w:rsid w:val="00154E0F"/>
    <w:rsid w:val="00161603"/>
    <w:rsid w:val="00176888"/>
    <w:rsid w:val="00185B32"/>
    <w:rsid w:val="002068EE"/>
    <w:rsid w:val="002262E2"/>
    <w:rsid w:val="002448AF"/>
    <w:rsid w:val="00263C74"/>
    <w:rsid w:val="002735C2"/>
    <w:rsid w:val="00284DF4"/>
    <w:rsid w:val="0029255B"/>
    <w:rsid w:val="002F4E74"/>
    <w:rsid w:val="003006F8"/>
    <w:rsid w:val="00337DAD"/>
    <w:rsid w:val="0037295B"/>
    <w:rsid w:val="0038195D"/>
    <w:rsid w:val="0039068F"/>
    <w:rsid w:val="003C170D"/>
    <w:rsid w:val="003F7163"/>
    <w:rsid w:val="00421659"/>
    <w:rsid w:val="004711B1"/>
    <w:rsid w:val="004C4F95"/>
    <w:rsid w:val="004D6CDA"/>
    <w:rsid w:val="004E2779"/>
    <w:rsid w:val="004F3C2A"/>
    <w:rsid w:val="00504997"/>
    <w:rsid w:val="00505714"/>
    <w:rsid w:val="00512B2D"/>
    <w:rsid w:val="00531007"/>
    <w:rsid w:val="00551D28"/>
    <w:rsid w:val="00585A49"/>
    <w:rsid w:val="005B0D9B"/>
    <w:rsid w:val="005D1ECC"/>
    <w:rsid w:val="005E4C7E"/>
    <w:rsid w:val="0063184C"/>
    <w:rsid w:val="00657F62"/>
    <w:rsid w:val="006663EC"/>
    <w:rsid w:val="0069007D"/>
    <w:rsid w:val="0069580E"/>
    <w:rsid w:val="006A1FB8"/>
    <w:rsid w:val="006B7E1B"/>
    <w:rsid w:val="006C5AE0"/>
    <w:rsid w:val="006F5E77"/>
    <w:rsid w:val="007205C0"/>
    <w:rsid w:val="007735ED"/>
    <w:rsid w:val="007D5A1B"/>
    <w:rsid w:val="007E274E"/>
    <w:rsid w:val="007F3318"/>
    <w:rsid w:val="007F65BA"/>
    <w:rsid w:val="008071FC"/>
    <w:rsid w:val="00811DC0"/>
    <w:rsid w:val="008243F5"/>
    <w:rsid w:val="008334FF"/>
    <w:rsid w:val="00837E46"/>
    <w:rsid w:val="00847C77"/>
    <w:rsid w:val="00883EBB"/>
    <w:rsid w:val="00884B3B"/>
    <w:rsid w:val="00893BCD"/>
    <w:rsid w:val="008A1279"/>
    <w:rsid w:val="008B52C0"/>
    <w:rsid w:val="008E5152"/>
    <w:rsid w:val="008F275D"/>
    <w:rsid w:val="009002BD"/>
    <w:rsid w:val="0092583E"/>
    <w:rsid w:val="00964AE9"/>
    <w:rsid w:val="009778D9"/>
    <w:rsid w:val="009C6320"/>
    <w:rsid w:val="009D7FA2"/>
    <w:rsid w:val="00A01E6F"/>
    <w:rsid w:val="00A17118"/>
    <w:rsid w:val="00A3787D"/>
    <w:rsid w:val="00A457CF"/>
    <w:rsid w:val="00A57551"/>
    <w:rsid w:val="00A84D93"/>
    <w:rsid w:val="00AE0151"/>
    <w:rsid w:val="00AE5D4E"/>
    <w:rsid w:val="00AF47B9"/>
    <w:rsid w:val="00AF79B2"/>
    <w:rsid w:val="00B249E9"/>
    <w:rsid w:val="00B40AF0"/>
    <w:rsid w:val="00B810F4"/>
    <w:rsid w:val="00B93207"/>
    <w:rsid w:val="00BA7AA4"/>
    <w:rsid w:val="00BD7BB6"/>
    <w:rsid w:val="00BE1C9F"/>
    <w:rsid w:val="00C30450"/>
    <w:rsid w:val="00C37B46"/>
    <w:rsid w:val="00C53F32"/>
    <w:rsid w:val="00C62540"/>
    <w:rsid w:val="00CC17B8"/>
    <w:rsid w:val="00CC5060"/>
    <w:rsid w:val="00CC7D6B"/>
    <w:rsid w:val="00D04DE2"/>
    <w:rsid w:val="00D22C8E"/>
    <w:rsid w:val="00D434D4"/>
    <w:rsid w:val="00D91912"/>
    <w:rsid w:val="00D9201B"/>
    <w:rsid w:val="00DC09D0"/>
    <w:rsid w:val="00DD0183"/>
    <w:rsid w:val="00E0262D"/>
    <w:rsid w:val="00E13B09"/>
    <w:rsid w:val="00E53FBC"/>
    <w:rsid w:val="00E96719"/>
    <w:rsid w:val="00EE46F0"/>
    <w:rsid w:val="00F14EDD"/>
    <w:rsid w:val="00F47B40"/>
    <w:rsid w:val="00F77C0D"/>
    <w:rsid w:val="00F838A3"/>
    <w:rsid w:val="00F972D0"/>
    <w:rsid w:val="00FF4D56"/>
    <w:rsid w:val="00FF5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E5FA"/>
  <w15:chartTrackingRefBased/>
  <w15:docId w15:val="{4E59A74A-D879-A34D-9B52-F7CF8B48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B32"/>
    <w:pPr>
      <w:spacing w:after="0" w:line="240" w:lineRule="auto"/>
    </w:pPr>
  </w:style>
  <w:style w:type="paragraph" w:styleId="Heading1">
    <w:name w:val="heading 1"/>
    <w:basedOn w:val="Normal"/>
    <w:next w:val="Normal"/>
    <w:link w:val="Heading1Char"/>
    <w:uiPriority w:val="9"/>
    <w:qFormat/>
    <w:rsid w:val="00185B32"/>
    <w:pPr>
      <w:keepNext/>
      <w:keepLines/>
      <w:spacing w:line="480" w:lineRule="auto"/>
      <w:outlineLvl w:val="0"/>
    </w:pPr>
    <w:rPr>
      <w:rFonts w:ascii="Arial" w:eastAsiaTheme="majorEastAsia" w:hAnsi="Arial" w:cstheme="majorBidi"/>
      <w:b/>
      <w:color w:val="000000" w:themeColor="text1"/>
      <w:szCs w:val="40"/>
    </w:rPr>
  </w:style>
  <w:style w:type="paragraph" w:styleId="Heading2">
    <w:name w:val="heading 2"/>
    <w:basedOn w:val="Normal"/>
    <w:next w:val="Normal"/>
    <w:link w:val="Heading2Char"/>
    <w:uiPriority w:val="9"/>
    <w:unhideWhenUsed/>
    <w:qFormat/>
    <w:rsid w:val="00185B32"/>
    <w:pPr>
      <w:keepNext/>
      <w:keepLines/>
      <w:spacing w:before="40" w:line="480" w:lineRule="auto"/>
      <w:outlineLvl w:val="1"/>
    </w:pPr>
    <w:rPr>
      <w:rFonts w:ascii="Arial" w:eastAsiaTheme="majorEastAsia" w:hAnsi="Arial" w:cstheme="majorBidi"/>
      <w:b/>
      <w:color w:val="000000" w:themeColor="text1"/>
      <w:sz w:val="32"/>
      <w:szCs w:val="32"/>
    </w:rPr>
  </w:style>
  <w:style w:type="paragraph" w:styleId="Heading3">
    <w:name w:val="heading 3"/>
    <w:basedOn w:val="Normal"/>
    <w:next w:val="Normal"/>
    <w:link w:val="Heading3Char"/>
    <w:uiPriority w:val="9"/>
    <w:semiHidden/>
    <w:unhideWhenUsed/>
    <w:qFormat/>
    <w:rsid w:val="00185B3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B32"/>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B32"/>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B32"/>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B32"/>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B32"/>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B32"/>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B32"/>
    <w:rPr>
      <w:rFonts w:ascii="Arial" w:eastAsiaTheme="majorEastAsia" w:hAnsi="Arial" w:cstheme="majorBidi"/>
      <w:b/>
      <w:color w:val="000000" w:themeColor="text1"/>
      <w:szCs w:val="40"/>
    </w:rPr>
  </w:style>
  <w:style w:type="character" w:customStyle="1" w:styleId="Heading2Char">
    <w:name w:val="Heading 2 Char"/>
    <w:basedOn w:val="DefaultParagraphFont"/>
    <w:link w:val="Heading2"/>
    <w:uiPriority w:val="9"/>
    <w:rsid w:val="00185B32"/>
    <w:rPr>
      <w:rFonts w:ascii="Arial" w:eastAsiaTheme="majorEastAsia" w:hAnsi="Arial" w:cstheme="majorBidi"/>
      <w:b/>
      <w:color w:val="000000" w:themeColor="text1"/>
      <w:sz w:val="32"/>
      <w:szCs w:val="32"/>
    </w:rPr>
  </w:style>
  <w:style w:type="character" w:customStyle="1" w:styleId="Heading3Char">
    <w:name w:val="Heading 3 Char"/>
    <w:basedOn w:val="DefaultParagraphFont"/>
    <w:link w:val="Heading3"/>
    <w:uiPriority w:val="9"/>
    <w:semiHidden/>
    <w:rsid w:val="00185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B32"/>
    <w:rPr>
      <w:rFonts w:eastAsiaTheme="majorEastAsia" w:cstheme="majorBidi"/>
      <w:color w:val="272727" w:themeColor="text1" w:themeTint="D8"/>
    </w:rPr>
  </w:style>
  <w:style w:type="paragraph" w:styleId="Title">
    <w:name w:val="Title"/>
    <w:basedOn w:val="Normal"/>
    <w:next w:val="Normal"/>
    <w:link w:val="TitleChar"/>
    <w:uiPriority w:val="10"/>
    <w:qFormat/>
    <w:rsid w:val="00185B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B3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B32"/>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185B32"/>
    <w:rPr>
      <w:i/>
      <w:iCs/>
      <w:color w:val="404040" w:themeColor="text1" w:themeTint="BF"/>
    </w:rPr>
  </w:style>
  <w:style w:type="paragraph" w:styleId="ListParagraph">
    <w:name w:val="List Paragraph"/>
    <w:basedOn w:val="Normal"/>
    <w:uiPriority w:val="34"/>
    <w:qFormat/>
    <w:rsid w:val="00185B32"/>
    <w:pPr>
      <w:spacing w:after="160" w:line="278" w:lineRule="auto"/>
      <w:ind w:left="720"/>
      <w:contextualSpacing/>
    </w:pPr>
  </w:style>
  <w:style w:type="character" w:styleId="IntenseEmphasis">
    <w:name w:val="Intense Emphasis"/>
    <w:basedOn w:val="DefaultParagraphFont"/>
    <w:uiPriority w:val="21"/>
    <w:qFormat/>
    <w:rsid w:val="00185B32"/>
    <w:rPr>
      <w:i/>
      <w:iCs/>
      <w:color w:val="0F4761" w:themeColor="accent1" w:themeShade="BF"/>
    </w:rPr>
  </w:style>
  <w:style w:type="paragraph" w:styleId="IntenseQuote">
    <w:name w:val="Intense Quote"/>
    <w:basedOn w:val="Normal"/>
    <w:next w:val="Normal"/>
    <w:link w:val="IntenseQuoteChar"/>
    <w:uiPriority w:val="30"/>
    <w:qFormat/>
    <w:rsid w:val="00185B3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B32"/>
    <w:rPr>
      <w:i/>
      <w:iCs/>
      <w:color w:val="0F4761" w:themeColor="accent1" w:themeShade="BF"/>
    </w:rPr>
  </w:style>
  <w:style w:type="character" w:styleId="IntenseReference">
    <w:name w:val="Intense Reference"/>
    <w:basedOn w:val="DefaultParagraphFont"/>
    <w:uiPriority w:val="32"/>
    <w:qFormat/>
    <w:rsid w:val="00185B32"/>
    <w:rPr>
      <w:b/>
      <w:bCs/>
      <w:smallCaps/>
      <w:color w:val="0F4761" w:themeColor="accent1" w:themeShade="BF"/>
      <w:spacing w:val="5"/>
    </w:rPr>
  </w:style>
  <w:style w:type="paragraph" w:styleId="Bibliography">
    <w:name w:val="Bibliography"/>
    <w:basedOn w:val="Normal"/>
    <w:next w:val="Normal"/>
    <w:uiPriority w:val="37"/>
    <w:unhideWhenUsed/>
    <w:rsid w:val="00585A49"/>
    <w:pPr>
      <w:spacing w:line="480" w:lineRule="auto"/>
      <w:ind w:left="720" w:hanging="720"/>
    </w:pPr>
  </w:style>
  <w:style w:type="paragraph" w:styleId="Footer">
    <w:name w:val="footer"/>
    <w:basedOn w:val="Normal"/>
    <w:link w:val="FooterChar"/>
    <w:uiPriority w:val="99"/>
    <w:unhideWhenUsed/>
    <w:rsid w:val="00F47B40"/>
    <w:pPr>
      <w:tabs>
        <w:tab w:val="center" w:pos="4680"/>
        <w:tab w:val="right" w:pos="9360"/>
      </w:tabs>
    </w:pPr>
  </w:style>
  <w:style w:type="character" w:customStyle="1" w:styleId="FooterChar">
    <w:name w:val="Footer Char"/>
    <w:basedOn w:val="DefaultParagraphFont"/>
    <w:link w:val="Footer"/>
    <w:uiPriority w:val="99"/>
    <w:rsid w:val="00F47B40"/>
  </w:style>
  <w:style w:type="character" w:styleId="PageNumber">
    <w:name w:val="page number"/>
    <w:basedOn w:val="DefaultParagraphFont"/>
    <w:uiPriority w:val="99"/>
    <w:semiHidden/>
    <w:unhideWhenUsed/>
    <w:rsid w:val="00F47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7225</Words>
  <Characters>41185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Ehmann, Sebastian - (ehmanns)</dc:creator>
  <cp:keywords/>
  <dc:description/>
  <cp:lastModifiedBy>Ehmann, Sebastian - (ehmanns)</cp:lastModifiedBy>
  <cp:revision>3</cp:revision>
  <dcterms:created xsi:type="dcterms:W3CDTF">2026-03-15T19:44:00Z</dcterms:created>
  <dcterms:modified xsi:type="dcterms:W3CDTF">2026-03-15T19:44:00Z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id="i48mxdxp"/&gt;&lt;style id="http://www.zotero.org/styles/apa" locale="en-US" hasBibliography="1" bibliographyStyleHasBeenSet="1"/&gt;&lt;prefs&gt;&lt;pref name="fieldType" value="Field"/&gt;&lt;/prefs&gt;&lt;/data&gt;</vt:lpwstr>
  </property>
  <property fmtid="{D5CDD505-2E9C-101B-9397-08002B2CF9AE}" pid="3" name="GrammarlyDocumentId">
    <vt:lpwstr>f4d9caf3ea84b9ce112754c46557e3bae2320b78a03a75baeea3574631decefa</vt:lpwstr>
  </property>
</Properties>
</file>