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9AE4E2" w14:textId="77777777" w:rsidR="0099425A" w:rsidRPr="005A7CCE" w:rsidRDefault="00000000" w:rsidP="006C21EC">
      <w:pPr>
        <w:spacing w:line="480" w:lineRule="auto"/>
        <w:rPr>
          <w:b/>
          <w:bCs/>
          <w:sz w:val="22"/>
          <w:szCs w:val="22"/>
          <w:lang w:val="en-US"/>
        </w:rPr>
      </w:pPr>
      <w:r w:rsidRPr="005A7CCE">
        <w:rPr>
          <w:b/>
          <w:bCs/>
          <w:sz w:val="22"/>
          <w:szCs w:val="22"/>
          <w:lang w:val="en-US"/>
        </w:rPr>
        <w:t>Table S2</w:t>
      </w:r>
    </w:p>
    <w:p w14:paraId="063B4EE4" w14:textId="5BA91516" w:rsidR="00AB0B4E" w:rsidRPr="005A7CCE" w:rsidRDefault="00000000" w:rsidP="006C21EC">
      <w:pPr>
        <w:spacing w:line="480" w:lineRule="auto"/>
        <w:rPr>
          <w:lang w:val="en-US"/>
        </w:rPr>
      </w:pPr>
      <w:r w:rsidRPr="005A7CCE">
        <w:rPr>
          <w:sz w:val="22"/>
          <w:szCs w:val="22"/>
          <w:lang w:val="en-US"/>
        </w:rPr>
        <w:t xml:space="preserve"> Data extraction procedures and criteria applied to the included studies (n = 7)</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800"/>
        <w:gridCol w:w="5626"/>
      </w:tblGrid>
      <w:tr w:rsidR="00AB0B4E" w14:paraId="3663132C" w14:textId="77777777">
        <w:trPr>
          <w:tblHeader/>
        </w:trPr>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C4E3AF9" w14:textId="77777777" w:rsidR="00AB0B4E" w:rsidRDefault="00000000">
            <w:pPr>
              <w:spacing w:line="360" w:lineRule="auto"/>
              <w:jc w:val="center"/>
            </w:pPr>
            <w:r>
              <w:rPr>
                <w:b/>
                <w:bCs/>
              </w:rPr>
              <w:t>#</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0393A7F" w14:textId="77777777" w:rsidR="00AB0B4E" w:rsidRDefault="00000000">
            <w:pPr>
              <w:spacing w:line="360" w:lineRule="auto"/>
            </w:pPr>
            <w:proofErr w:type="spellStart"/>
            <w:r>
              <w:rPr>
                <w:b/>
                <w:bCs/>
              </w:rPr>
              <w:t>Category</w:t>
            </w:r>
            <w:proofErr w:type="spellEnd"/>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E860463" w14:textId="77777777" w:rsidR="00AB0B4E" w:rsidRDefault="00000000">
            <w:pPr>
              <w:spacing w:line="360" w:lineRule="auto"/>
            </w:pPr>
            <w:r>
              <w:rPr>
                <w:b/>
                <w:bCs/>
              </w:rPr>
              <w:t xml:space="preserve">Procedures </w:t>
            </w:r>
            <w:proofErr w:type="spellStart"/>
            <w:r>
              <w:rPr>
                <w:b/>
                <w:bCs/>
              </w:rPr>
              <w:t>and</w:t>
            </w:r>
            <w:proofErr w:type="spellEnd"/>
            <w:r>
              <w:rPr>
                <w:b/>
                <w:bCs/>
              </w:rPr>
              <w:t xml:space="preserve"> </w:t>
            </w:r>
            <w:proofErr w:type="spellStart"/>
            <w:r>
              <w:rPr>
                <w:b/>
                <w:bCs/>
              </w:rPr>
              <w:t>Criteria</w:t>
            </w:r>
            <w:proofErr w:type="spellEnd"/>
          </w:p>
        </w:tc>
      </w:tr>
      <w:tr w:rsidR="00AB0B4E" w:rsidRPr="005A7CCE" w14:paraId="5BF1A7F6"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E34439" w14:textId="77777777" w:rsidR="00AB0B4E" w:rsidRDefault="00000000">
            <w:pPr>
              <w:spacing w:line="360" w:lineRule="auto"/>
              <w:jc w:val="center"/>
            </w:pPr>
            <w:r>
              <w:t>1</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6BCEBE3" w14:textId="77777777" w:rsidR="00AB0B4E" w:rsidRDefault="00000000">
            <w:pPr>
              <w:spacing w:line="360" w:lineRule="auto"/>
            </w:pPr>
            <w:proofErr w:type="spellStart"/>
            <w:r>
              <w:rPr>
                <w:b/>
                <w:bCs/>
              </w:rPr>
              <w:t>Study</w:t>
            </w:r>
            <w:proofErr w:type="spellEnd"/>
            <w:r>
              <w:rPr>
                <w:b/>
                <w:bCs/>
              </w:rPr>
              <w:t xml:space="preserve"> </w:t>
            </w:r>
            <w:proofErr w:type="spellStart"/>
            <w:r>
              <w:rPr>
                <w:b/>
                <w:bCs/>
              </w:rPr>
              <w:t>characteristics</w:t>
            </w:r>
            <w:proofErr w:type="spellEnd"/>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8B2519C" w14:textId="77777777" w:rsidR="00AB0B4E" w:rsidRPr="005A7CCE" w:rsidRDefault="00000000">
            <w:pPr>
              <w:spacing w:line="360" w:lineRule="auto"/>
              <w:jc w:val="both"/>
              <w:rPr>
                <w:lang w:val="en-US"/>
              </w:rPr>
            </w:pPr>
            <w:r w:rsidRPr="005A7CCE">
              <w:rPr>
                <w:lang w:val="en-US"/>
              </w:rPr>
              <w:t>Author(s), year of publication, sample size (n), age (mean ± SD or range), gender distribution, country (first author affiliation), and language of the adapted version of the Compassion Scale (CS).</w:t>
            </w:r>
          </w:p>
        </w:tc>
      </w:tr>
      <w:tr w:rsidR="00AB0B4E" w:rsidRPr="005A7CCE" w14:paraId="0CA8D1DD"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C55D7C" w14:textId="77777777" w:rsidR="00AB0B4E" w:rsidRDefault="00000000">
            <w:pPr>
              <w:spacing w:line="360" w:lineRule="auto"/>
              <w:jc w:val="center"/>
            </w:pPr>
            <w:r>
              <w:t>2</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EA04514" w14:textId="77777777" w:rsidR="00AB0B4E" w:rsidRPr="005A7CCE" w:rsidRDefault="00000000">
            <w:pPr>
              <w:spacing w:line="360" w:lineRule="auto"/>
              <w:rPr>
                <w:lang w:val="en-US"/>
              </w:rPr>
            </w:pPr>
            <w:r w:rsidRPr="005A7CCE">
              <w:rPr>
                <w:b/>
                <w:bCs/>
                <w:lang w:val="en-US"/>
              </w:rPr>
              <w:t>Cross-cultural adaptation process of the CS</w:t>
            </w:r>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86BA60" w14:textId="77777777" w:rsidR="00AB0B4E" w:rsidRPr="005A7CCE" w:rsidRDefault="00000000">
            <w:pPr>
              <w:spacing w:line="360" w:lineRule="auto"/>
              <w:jc w:val="both"/>
              <w:rPr>
                <w:lang w:val="en-US"/>
              </w:rPr>
            </w:pPr>
            <w:r w:rsidRPr="005A7CCE">
              <w:rPr>
                <w:lang w:val="en-US"/>
              </w:rPr>
              <w:t>Formal authorization from the original authors; forward translation; back-translation; review by a bilingual expert committee; and pilot/pre-test with the target population to assess comprehensibility of the adapted version, in accordance with International Test Commission guidelines (Hernández et al., 2020).</w:t>
            </w:r>
          </w:p>
        </w:tc>
      </w:tr>
      <w:tr w:rsidR="00AB0B4E" w:rsidRPr="005A7CCE" w14:paraId="52140899"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387CEB9" w14:textId="77777777" w:rsidR="00AB0B4E" w:rsidRDefault="00000000">
            <w:pPr>
              <w:spacing w:line="360" w:lineRule="auto"/>
              <w:jc w:val="center"/>
            </w:pPr>
            <w:r>
              <w:t>3</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1254F7" w14:textId="77777777" w:rsidR="00AB0B4E" w:rsidRPr="005A7CCE" w:rsidRDefault="00000000">
            <w:pPr>
              <w:spacing w:line="360" w:lineRule="auto"/>
              <w:rPr>
                <w:lang w:val="en-US"/>
              </w:rPr>
            </w:pPr>
            <w:r w:rsidRPr="005A7CCE">
              <w:rPr>
                <w:b/>
                <w:bCs/>
                <w:lang w:val="en-US"/>
              </w:rPr>
              <w:t>Structural validity evidence based on Confirmatory Factor Analysis (CFA)</w:t>
            </w:r>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5265B0" w14:textId="14F07236" w:rsidR="00AB0B4E" w:rsidRPr="005A7CCE" w:rsidRDefault="00000000">
            <w:pPr>
              <w:spacing w:line="360" w:lineRule="auto"/>
              <w:jc w:val="both"/>
              <w:rPr>
                <w:lang w:val="en-US"/>
              </w:rPr>
            </w:pPr>
            <w:r w:rsidRPr="005A7CCE">
              <w:rPr>
                <w:lang w:val="en-US"/>
              </w:rPr>
              <w:t xml:space="preserve">CFA results were assessed using the Weighted Least Squares Mean and Variance-Adjusted (WLSMV) or Diagonally Weighted Least Squares (DWLS) estimators, among others. Replication of the original four-factor model (Kindness, Common Humanity, Mindfulness, and Indifference) with correlated factors and the bifactor model — composed of a general compassion factor plus the four specific factors proposed by Pommier et al. </w:t>
            </w:r>
            <w:r>
              <w:t xml:space="preserve">(2019) — </w:t>
            </w:r>
            <w:proofErr w:type="spellStart"/>
            <w:r>
              <w:t>was</w:t>
            </w:r>
            <w:proofErr w:type="spellEnd"/>
            <w:r>
              <w:t xml:space="preserve"> </w:t>
            </w:r>
            <w:proofErr w:type="spellStart"/>
            <w:r>
              <w:t>tested</w:t>
            </w:r>
            <w:proofErr w:type="spellEnd"/>
            <w:r>
              <w:t xml:space="preserve">. </w:t>
            </w:r>
            <w:r w:rsidRPr="005A7CCE">
              <w:rPr>
                <w:lang w:val="en-US"/>
              </w:rPr>
              <w:t>Although CFA enables comparison between multiple structural models, this review identified the model with the best fit, as reported by the included studies. Model adequacy was assessed by the following fit indices: Chi-square (</w:t>
            </w:r>
            <w:r>
              <w:t>χ</w:t>
            </w:r>
            <w:r w:rsidRPr="005A7CCE">
              <w:rPr>
                <w:lang w:val="en-US"/>
              </w:rPr>
              <w:t xml:space="preserve">²), Comparative Fit Index (CFI), Tucker–Lewis Index (TLI), Standardized Root Mean Square Residual (SRMR), and Root Mean Square Error of Approximation (RMSEA). The </w:t>
            </w:r>
            <w:r>
              <w:t>χ</w:t>
            </w:r>
            <w:r w:rsidRPr="005A7CCE">
              <w:rPr>
                <w:lang w:val="en-US"/>
              </w:rPr>
              <w:t>²/</w:t>
            </w:r>
            <w:proofErr w:type="spellStart"/>
            <w:r w:rsidRPr="005A7CCE">
              <w:rPr>
                <w:lang w:val="en-US"/>
              </w:rPr>
              <w:t>df</w:t>
            </w:r>
            <w:proofErr w:type="spellEnd"/>
            <w:r w:rsidRPr="005A7CCE">
              <w:rPr>
                <w:lang w:val="en-US"/>
              </w:rPr>
              <w:t xml:space="preserve"> ratio below 3.0 indicates good fit, whereas values above 5.0 suggest inadequate fit. CFI and TLI values should be ≥ </w:t>
            </w:r>
            <w:r w:rsidR="00414904">
              <w:rPr>
                <w:lang w:val="en-US"/>
              </w:rPr>
              <w:t>0</w:t>
            </w:r>
            <w:r w:rsidRPr="005A7CCE">
              <w:rPr>
                <w:lang w:val="en-US"/>
              </w:rPr>
              <w:t xml:space="preserve">.90, preferably close to </w:t>
            </w:r>
            <w:r w:rsidR="00414904">
              <w:rPr>
                <w:lang w:val="en-US"/>
              </w:rPr>
              <w:t>0</w:t>
            </w:r>
            <w:r w:rsidRPr="005A7CCE">
              <w:rPr>
                <w:lang w:val="en-US"/>
              </w:rPr>
              <w:t xml:space="preserve">.95. SRMR should be ≤ </w:t>
            </w:r>
            <w:r w:rsidR="00414904">
              <w:rPr>
                <w:lang w:val="en-US"/>
              </w:rPr>
              <w:t>0</w:t>
            </w:r>
            <w:r w:rsidRPr="005A7CCE">
              <w:rPr>
                <w:lang w:val="en-US"/>
              </w:rPr>
              <w:t xml:space="preserve">.08, and RMSEA ≤ </w:t>
            </w:r>
            <w:r w:rsidR="00414904">
              <w:rPr>
                <w:lang w:val="en-US"/>
              </w:rPr>
              <w:t>0</w:t>
            </w:r>
            <w:r w:rsidRPr="005A7CCE">
              <w:rPr>
                <w:lang w:val="en-US"/>
              </w:rPr>
              <w:t xml:space="preserve">.06, with the upper bound of the 90% confidence interval ≤ </w:t>
            </w:r>
            <w:r w:rsidR="00414904">
              <w:rPr>
                <w:lang w:val="en-US"/>
              </w:rPr>
              <w:t>0</w:t>
            </w:r>
            <w:r w:rsidRPr="005A7CCE">
              <w:rPr>
                <w:lang w:val="en-US"/>
              </w:rPr>
              <w:t>.10 (Widaman &amp; Helm, 2023).</w:t>
            </w:r>
          </w:p>
        </w:tc>
      </w:tr>
      <w:tr w:rsidR="00AB0B4E" w:rsidRPr="005A7CCE" w14:paraId="5BC8314D"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59AB291" w14:textId="77777777" w:rsidR="00AB0B4E" w:rsidRDefault="00000000">
            <w:pPr>
              <w:spacing w:line="360" w:lineRule="auto"/>
              <w:jc w:val="center"/>
            </w:pPr>
            <w:r>
              <w:t>4</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C14E79" w14:textId="77777777" w:rsidR="00AB0B4E" w:rsidRPr="005A7CCE" w:rsidRDefault="00000000">
            <w:pPr>
              <w:spacing w:line="360" w:lineRule="auto"/>
              <w:rPr>
                <w:lang w:val="en-US"/>
              </w:rPr>
            </w:pPr>
            <w:r w:rsidRPr="005A7CCE">
              <w:rPr>
                <w:b/>
                <w:bCs/>
                <w:lang w:val="en-US"/>
              </w:rPr>
              <w:t>Structural validity evidence based on Exploratory Structural Equation Modeling (ESEM)</w:t>
            </w:r>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EC6414" w14:textId="77777777" w:rsidR="00AB0B4E" w:rsidRPr="005A7CCE" w:rsidRDefault="00000000">
            <w:pPr>
              <w:spacing w:line="360" w:lineRule="auto"/>
              <w:jc w:val="both"/>
              <w:rPr>
                <w:lang w:val="en-US"/>
              </w:rPr>
            </w:pPr>
            <w:r w:rsidRPr="005A7CCE">
              <w:rPr>
                <w:lang w:val="en-US"/>
              </w:rPr>
              <w:t xml:space="preserve">ESEM findings were identified through CFA-based assessment grounded in the theoretical structure of the CS, assigning each factor of the scale to its corresponding construct (Kline, 2023). SEM advances validation by analyzing theoretical relationships between instrument items and the concepts defined by theory, providing evidence that supports the proposed structure (Verma &amp; Verma, 2024). Two models were assessed: the four correlated-factor model and the bifactor model with a general compassion factor plus the four </w:t>
            </w:r>
            <w:r w:rsidRPr="005A7CCE">
              <w:rPr>
                <w:lang w:val="en-US"/>
              </w:rPr>
              <w:lastRenderedPageBreak/>
              <w:t xml:space="preserve">specific factors proposed by Pommier et al. </w:t>
            </w:r>
            <w:r>
              <w:t xml:space="preserve">(2019). </w:t>
            </w:r>
            <w:r w:rsidRPr="005A7CCE">
              <w:rPr>
                <w:lang w:val="en-US"/>
              </w:rPr>
              <w:t xml:space="preserve">When valid, both models indicate a parsimonious factor structure with no cross-loadings (Lambert &amp; Newman, 2023). Model evaluation was based on fit indices and factor loading significance. The most frequently reported indices are: </w:t>
            </w:r>
            <w:r>
              <w:t>χ</w:t>
            </w:r>
            <w:r w:rsidRPr="005A7CCE">
              <w:rPr>
                <w:lang w:val="en-US"/>
              </w:rPr>
              <w:t>²/</w:t>
            </w:r>
            <w:proofErr w:type="spellStart"/>
            <w:r w:rsidRPr="005A7CCE">
              <w:rPr>
                <w:lang w:val="en-US"/>
              </w:rPr>
              <w:t>df</w:t>
            </w:r>
            <w:proofErr w:type="spellEnd"/>
            <w:r w:rsidRPr="005A7CCE">
              <w:rPr>
                <w:lang w:val="en-US"/>
              </w:rPr>
              <w:t>, CFI, TLI, RMSEA, SRMR, Akaike Information Criterion (AIC), and Bayesian Information Criterion (BIC) (Kline, 2023). Lower AIC and BIC values indicate better model fit (Jayaweera &amp; Trindade, 2024).</w:t>
            </w:r>
          </w:p>
        </w:tc>
      </w:tr>
      <w:tr w:rsidR="00AB0B4E" w:rsidRPr="005A7CCE" w14:paraId="44F61B68"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A182F3D" w14:textId="77777777" w:rsidR="00AB0B4E" w:rsidRDefault="00000000">
            <w:pPr>
              <w:spacing w:line="360" w:lineRule="auto"/>
              <w:jc w:val="center"/>
            </w:pPr>
            <w:r>
              <w:lastRenderedPageBreak/>
              <w:t>5</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CD90FF2" w14:textId="77777777" w:rsidR="00AB0B4E" w:rsidRPr="005A7CCE" w:rsidRDefault="00000000">
            <w:pPr>
              <w:spacing w:line="360" w:lineRule="auto"/>
              <w:rPr>
                <w:lang w:val="en-US"/>
              </w:rPr>
            </w:pPr>
            <w:r w:rsidRPr="005A7CCE">
              <w:rPr>
                <w:b/>
                <w:bCs/>
                <w:lang w:val="en-US"/>
              </w:rPr>
              <w:t>Reliability via internal consistency analysis</w:t>
            </w:r>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E45C07C" w14:textId="73C97C1E" w:rsidR="00AB0B4E" w:rsidRPr="005A7CCE" w:rsidRDefault="00CC66A8">
            <w:pPr>
              <w:spacing w:line="360" w:lineRule="auto"/>
              <w:jc w:val="both"/>
              <w:rPr>
                <w:lang w:val="en-US"/>
              </w:rPr>
            </w:pPr>
            <w:r w:rsidRPr="00CC66A8">
              <w:rPr>
                <w:lang w:val="en-US"/>
              </w:rPr>
              <w:t>Inter-item relationships were assessed for the global measure and subscales using Cronbach's alpha (α), McDonald's omega (ω), and Composite Reliability (CR) coefficients. Values ≥ 0.70 indicated satisfactory or good internal consistency, values ≥ 0.80 very good, and values ≥ 0.90 excellent (Hair Jr et al., 2020).</w:t>
            </w:r>
          </w:p>
        </w:tc>
      </w:tr>
      <w:tr w:rsidR="00AB0B4E" w:rsidRPr="005A7CCE" w14:paraId="54B32F15"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862DC3" w14:textId="77777777" w:rsidR="00AB0B4E" w:rsidRDefault="00000000">
            <w:pPr>
              <w:spacing w:line="360" w:lineRule="auto"/>
              <w:jc w:val="center"/>
            </w:pPr>
            <w:r>
              <w:t>6</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6966889" w14:textId="77777777" w:rsidR="00AB0B4E" w:rsidRDefault="00000000">
            <w:pPr>
              <w:spacing w:line="360" w:lineRule="auto"/>
            </w:pPr>
            <w:proofErr w:type="spellStart"/>
            <w:r>
              <w:rPr>
                <w:b/>
                <w:bCs/>
              </w:rPr>
              <w:t>Convergent</w:t>
            </w:r>
            <w:proofErr w:type="spellEnd"/>
            <w:r>
              <w:rPr>
                <w:b/>
                <w:bCs/>
              </w:rPr>
              <w:t xml:space="preserve"> </w:t>
            </w:r>
            <w:proofErr w:type="spellStart"/>
            <w:r>
              <w:rPr>
                <w:b/>
                <w:bCs/>
              </w:rPr>
              <w:t>validity</w:t>
            </w:r>
            <w:proofErr w:type="spellEnd"/>
            <w:r>
              <w:rPr>
                <w:b/>
                <w:bCs/>
              </w:rPr>
              <w:t xml:space="preserve"> </w:t>
            </w:r>
            <w:proofErr w:type="spellStart"/>
            <w:r>
              <w:rPr>
                <w:b/>
                <w:bCs/>
              </w:rPr>
              <w:t>evidence</w:t>
            </w:r>
            <w:proofErr w:type="spellEnd"/>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350950" w14:textId="330343BB" w:rsidR="00AB0B4E" w:rsidRPr="005A7CCE" w:rsidRDefault="00CC66A8">
            <w:pPr>
              <w:spacing w:line="360" w:lineRule="auto"/>
              <w:jc w:val="both"/>
              <w:rPr>
                <w:lang w:val="en-US"/>
              </w:rPr>
            </w:pPr>
            <w:proofErr w:type="spellStart"/>
            <w:r>
              <w:t>Average</w:t>
            </w:r>
            <w:proofErr w:type="spellEnd"/>
            <w:r>
              <w:t xml:space="preserve"> </w:t>
            </w:r>
            <w:proofErr w:type="spellStart"/>
            <w:r>
              <w:t>Variance</w:t>
            </w:r>
            <w:proofErr w:type="spellEnd"/>
            <w:r>
              <w:t xml:space="preserve"> </w:t>
            </w:r>
            <w:proofErr w:type="spellStart"/>
            <w:r>
              <w:t>Extracted</w:t>
            </w:r>
            <w:proofErr w:type="spellEnd"/>
            <w:r>
              <w:t xml:space="preserve"> (AVE) </w:t>
            </w:r>
            <w:proofErr w:type="spellStart"/>
            <w:r>
              <w:t>and</w:t>
            </w:r>
            <w:proofErr w:type="spellEnd"/>
            <w:r>
              <w:t xml:space="preserve"> CR </w:t>
            </w:r>
            <w:proofErr w:type="spellStart"/>
            <w:r>
              <w:t>values</w:t>
            </w:r>
            <w:proofErr w:type="spellEnd"/>
            <w:r>
              <w:t xml:space="preserve"> </w:t>
            </w:r>
            <w:proofErr w:type="spellStart"/>
            <w:r>
              <w:t>were</w:t>
            </w:r>
            <w:proofErr w:type="spellEnd"/>
            <w:r>
              <w:t xml:space="preserve"> </w:t>
            </w:r>
            <w:proofErr w:type="spellStart"/>
            <w:r>
              <w:t>examined</w:t>
            </w:r>
            <w:proofErr w:type="spellEnd"/>
            <w:r>
              <w:t xml:space="preserve">. AVE </w:t>
            </w:r>
            <w:proofErr w:type="spellStart"/>
            <w:r>
              <w:t>values</w:t>
            </w:r>
            <w:proofErr w:type="spellEnd"/>
            <w:r>
              <w:t xml:space="preserve"> </w:t>
            </w:r>
            <w:proofErr w:type="spellStart"/>
            <w:r>
              <w:t>above</w:t>
            </w:r>
            <w:proofErr w:type="spellEnd"/>
            <w:r>
              <w:t xml:space="preserve"> 0.50 </w:t>
            </w:r>
            <w:proofErr w:type="spellStart"/>
            <w:r>
              <w:t>indicate</w:t>
            </w:r>
            <w:proofErr w:type="spellEnd"/>
            <w:r>
              <w:t xml:space="preserve"> </w:t>
            </w:r>
            <w:proofErr w:type="spellStart"/>
            <w:r>
              <w:t>good</w:t>
            </w:r>
            <w:proofErr w:type="spellEnd"/>
            <w:r>
              <w:t xml:space="preserve"> </w:t>
            </w:r>
            <w:proofErr w:type="spellStart"/>
            <w:r>
              <w:t>convergence</w:t>
            </w:r>
            <w:proofErr w:type="spellEnd"/>
            <w:r>
              <w:t xml:space="preserve">, </w:t>
            </w:r>
            <w:proofErr w:type="spellStart"/>
            <w:r>
              <w:t>and</w:t>
            </w:r>
            <w:proofErr w:type="spellEnd"/>
            <w:r>
              <w:t xml:space="preserve"> </w:t>
            </w:r>
            <w:proofErr w:type="spellStart"/>
            <w:r>
              <w:t>convergence</w:t>
            </w:r>
            <w:proofErr w:type="spellEnd"/>
            <w:r>
              <w:t xml:space="preserve"> </w:t>
            </w:r>
            <w:proofErr w:type="spellStart"/>
            <w:r>
              <w:t>is</w:t>
            </w:r>
            <w:proofErr w:type="spellEnd"/>
            <w:r>
              <w:t xml:space="preserve"> </w:t>
            </w:r>
            <w:proofErr w:type="spellStart"/>
            <w:r>
              <w:t>considered</w:t>
            </w:r>
            <w:proofErr w:type="spellEnd"/>
            <w:r>
              <w:t xml:space="preserve"> </w:t>
            </w:r>
            <w:proofErr w:type="spellStart"/>
            <w:r>
              <w:t>satisfactory</w:t>
            </w:r>
            <w:proofErr w:type="spellEnd"/>
            <w:r>
              <w:t xml:space="preserve"> </w:t>
            </w:r>
            <w:proofErr w:type="spellStart"/>
            <w:r>
              <w:t>even</w:t>
            </w:r>
            <w:proofErr w:type="spellEnd"/>
            <w:r>
              <w:t xml:space="preserve"> </w:t>
            </w:r>
            <w:proofErr w:type="spellStart"/>
            <w:r>
              <w:t>with</w:t>
            </w:r>
            <w:proofErr w:type="spellEnd"/>
            <w:r>
              <w:t xml:space="preserve"> AVE </w:t>
            </w:r>
            <w:proofErr w:type="spellStart"/>
            <w:r>
              <w:t>below</w:t>
            </w:r>
            <w:proofErr w:type="spellEnd"/>
            <w:r>
              <w:t xml:space="preserve"> 0.50, </w:t>
            </w:r>
            <w:proofErr w:type="spellStart"/>
            <w:r>
              <w:t>provided</w:t>
            </w:r>
            <w:proofErr w:type="spellEnd"/>
            <w:r>
              <w:t xml:space="preserve"> </w:t>
            </w:r>
            <w:proofErr w:type="spellStart"/>
            <w:r>
              <w:t>that</w:t>
            </w:r>
            <w:proofErr w:type="spellEnd"/>
            <w:r>
              <w:t xml:space="preserve"> CR for </w:t>
            </w:r>
            <w:proofErr w:type="spellStart"/>
            <w:r>
              <w:t>all</w:t>
            </w:r>
            <w:proofErr w:type="spellEnd"/>
            <w:r>
              <w:t xml:space="preserve"> </w:t>
            </w:r>
            <w:proofErr w:type="spellStart"/>
            <w:r>
              <w:t>factors</w:t>
            </w:r>
            <w:proofErr w:type="spellEnd"/>
            <w:r>
              <w:t xml:space="preserve"> </w:t>
            </w:r>
            <w:proofErr w:type="spellStart"/>
            <w:r>
              <w:t>is</w:t>
            </w:r>
            <w:proofErr w:type="spellEnd"/>
            <w:r>
              <w:t xml:space="preserve"> close </w:t>
            </w:r>
            <w:proofErr w:type="spellStart"/>
            <w:r>
              <w:t>to</w:t>
            </w:r>
            <w:proofErr w:type="spellEnd"/>
            <w:r>
              <w:t xml:space="preserve"> </w:t>
            </w:r>
            <w:proofErr w:type="spellStart"/>
            <w:r>
              <w:t>or</w:t>
            </w:r>
            <w:proofErr w:type="spellEnd"/>
            <w:r>
              <w:t xml:space="preserve"> </w:t>
            </w:r>
            <w:proofErr w:type="spellStart"/>
            <w:r>
              <w:t>above</w:t>
            </w:r>
            <w:proofErr w:type="spellEnd"/>
            <w:r>
              <w:t xml:space="preserve"> 0.60 (</w:t>
            </w:r>
            <w:proofErr w:type="spellStart"/>
            <w:r>
              <w:t>Hanafiah</w:t>
            </w:r>
            <w:proofErr w:type="spellEnd"/>
            <w:r>
              <w:t xml:space="preserve">, 2020). </w:t>
            </w:r>
            <w:proofErr w:type="spellStart"/>
            <w:r>
              <w:t>Pearson's</w:t>
            </w:r>
            <w:proofErr w:type="spellEnd"/>
            <w:r>
              <w:t xml:space="preserve"> </w:t>
            </w:r>
            <w:proofErr w:type="spellStart"/>
            <w:r>
              <w:t>correlation</w:t>
            </w:r>
            <w:proofErr w:type="spellEnd"/>
            <w:r>
              <w:t xml:space="preserve"> </w:t>
            </w:r>
            <w:proofErr w:type="spellStart"/>
            <w:r>
              <w:t>coefficients</w:t>
            </w:r>
            <w:proofErr w:type="spellEnd"/>
            <w:r>
              <w:t xml:space="preserve"> </w:t>
            </w:r>
            <w:proofErr w:type="spellStart"/>
            <w:r>
              <w:t>or</w:t>
            </w:r>
            <w:proofErr w:type="spellEnd"/>
            <w:r>
              <w:t xml:space="preserve"> </w:t>
            </w:r>
            <w:proofErr w:type="spellStart"/>
            <w:r>
              <w:t>Spearman's</w:t>
            </w:r>
            <w:proofErr w:type="spellEnd"/>
            <w:r>
              <w:t xml:space="preserve"> </w:t>
            </w:r>
            <w:proofErr w:type="spellStart"/>
            <w:r>
              <w:t>rho</w:t>
            </w:r>
            <w:proofErr w:type="spellEnd"/>
            <w:r>
              <w:t xml:space="preserve"> </w:t>
            </w:r>
            <w:proofErr w:type="spellStart"/>
            <w:r>
              <w:t>were</w:t>
            </w:r>
            <w:proofErr w:type="spellEnd"/>
            <w:r>
              <w:t xml:space="preserve"> </w:t>
            </w:r>
            <w:proofErr w:type="spellStart"/>
            <w:r>
              <w:t>used</w:t>
            </w:r>
            <w:proofErr w:type="spellEnd"/>
            <w:r>
              <w:t xml:space="preserve"> </w:t>
            </w:r>
            <w:proofErr w:type="spellStart"/>
            <w:r>
              <w:t>to</w:t>
            </w:r>
            <w:proofErr w:type="spellEnd"/>
            <w:r>
              <w:t xml:space="preserve"> </w:t>
            </w:r>
            <w:proofErr w:type="spellStart"/>
            <w:r>
              <w:t>evidence</w:t>
            </w:r>
            <w:proofErr w:type="spellEnd"/>
            <w:r>
              <w:t xml:space="preserve"> </w:t>
            </w:r>
            <w:proofErr w:type="spellStart"/>
            <w:r>
              <w:t>convergent</w:t>
            </w:r>
            <w:proofErr w:type="spellEnd"/>
            <w:r>
              <w:t xml:space="preserve"> </w:t>
            </w:r>
            <w:proofErr w:type="spellStart"/>
            <w:r>
              <w:t>validity</w:t>
            </w:r>
            <w:proofErr w:type="spellEnd"/>
            <w:r>
              <w:t xml:space="preserve"> </w:t>
            </w:r>
            <w:proofErr w:type="spellStart"/>
            <w:r>
              <w:t>of</w:t>
            </w:r>
            <w:proofErr w:type="spellEnd"/>
            <w:r>
              <w:t xml:space="preserve"> </w:t>
            </w:r>
            <w:proofErr w:type="spellStart"/>
            <w:r>
              <w:t>the</w:t>
            </w:r>
            <w:proofErr w:type="spellEnd"/>
            <w:r>
              <w:t xml:space="preserve"> CS </w:t>
            </w:r>
            <w:proofErr w:type="spellStart"/>
            <w:r>
              <w:t>based</w:t>
            </w:r>
            <w:proofErr w:type="spellEnd"/>
            <w:r>
              <w:t xml:space="preserve"> </w:t>
            </w:r>
            <w:proofErr w:type="spellStart"/>
            <w:r>
              <w:t>on</w:t>
            </w:r>
            <w:proofErr w:type="spellEnd"/>
            <w:r>
              <w:t xml:space="preserve"> its </w:t>
            </w:r>
            <w:proofErr w:type="spellStart"/>
            <w:r>
              <w:t>relationships</w:t>
            </w:r>
            <w:proofErr w:type="spellEnd"/>
            <w:r>
              <w:t xml:space="preserve"> </w:t>
            </w:r>
            <w:proofErr w:type="spellStart"/>
            <w:r>
              <w:t>with</w:t>
            </w:r>
            <w:proofErr w:type="spellEnd"/>
            <w:r>
              <w:t xml:space="preserve"> </w:t>
            </w:r>
            <w:proofErr w:type="spellStart"/>
            <w:r>
              <w:t>external</w:t>
            </w:r>
            <w:proofErr w:type="spellEnd"/>
            <w:r>
              <w:t xml:space="preserve"> </w:t>
            </w:r>
            <w:proofErr w:type="spellStart"/>
            <w:r>
              <w:t>variables</w:t>
            </w:r>
            <w:proofErr w:type="spellEnd"/>
            <w:r>
              <w:t xml:space="preserve">. The </w:t>
            </w:r>
            <w:proofErr w:type="spellStart"/>
            <w:r>
              <w:t>relationship</w:t>
            </w:r>
            <w:proofErr w:type="spellEnd"/>
            <w:r>
              <w:t xml:space="preserve"> </w:t>
            </w:r>
            <w:proofErr w:type="spellStart"/>
            <w:r>
              <w:t>between</w:t>
            </w:r>
            <w:proofErr w:type="spellEnd"/>
            <w:r>
              <w:t xml:space="preserve"> </w:t>
            </w:r>
            <w:proofErr w:type="spellStart"/>
            <w:r>
              <w:t>the</w:t>
            </w:r>
            <w:proofErr w:type="spellEnd"/>
            <w:r>
              <w:t xml:space="preserve"> global CS score </w:t>
            </w:r>
            <w:proofErr w:type="spellStart"/>
            <w:r>
              <w:t>and</w:t>
            </w:r>
            <w:proofErr w:type="spellEnd"/>
            <w:r>
              <w:t xml:space="preserve"> its four </w:t>
            </w:r>
            <w:proofErr w:type="spellStart"/>
            <w:r>
              <w:t>factors</w:t>
            </w:r>
            <w:proofErr w:type="spellEnd"/>
            <w:r>
              <w:t xml:space="preserve"> </w:t>
            </w:r>
            <w:proofErr w:type="spellStart"/>
            <w:r>
              <w:t>was</w:t>
            </w:r>
            <w:proofErr w:type="spellEnd"/>
            <w:r>
              <w:t xml:space="preserve"> </w:t>
            </w:r>
            <w:proofErr w:type="spellStart"/>
            <w:r>
              <w:t>assessed</w:t>
            </w:r>
            <w:proofErr w:type="spellEnd"/>
            <w:r>
              <w:t xml:space="preserve"> </w:t>
            </w:r>
            <w:proofErr w:type="spellStart"/>
            <w:r>
              <w:t>against</w:t>
            </w:r>
            <w:proofErr w:type="spellEnd"/>
            <w:r>
              <w:t xml:space="preserve"> </w:t>
            </w:r>
            <w:proofErr w:type="spellStart"/>
            <w:r>
              <w:t>theoretically</w:t>
            </w:r>
            <w:proofErr w:type="spellEnd"/>
            <w:r>
              <w:t xml:space="preserve"> </w:t>
            </w:r>
            <w:proofErr w:type="spellStart"/>
            <w:r>
              <w:t>related</w:t>
            </w:r>
            <w:proofErr w:type="spellEnd"/>
            <w:r>
              <w:t xml:space="preserve"> </w:t>
            </w:r>
            <w:proofErr w:type="spellStart"/>
            <w:r>
              <w:t>measures</w:t>
            </w:r>
            <w:proofErr w:type="spellEnd"/>
            <w:r>
              <w:t xml:space="preserve">. </w:t>
            </w:r>
            <w:proofErr w:type="spellStart"/>
            <w:r>
              <w:t>Correlations</w:t>
            </w:r>
            <w:proofErr w:type="spellEnd"/>
            <w:r>
              <w:t xml:space="preserve"> </w:t>
            </w:r>
            <w:proofErr w:type="spellStart"/>
            <w:r>
              <w:t>were</w:t>
            </w:r>
            <w:proofErr w:type="spellEnd"/>
            <w:r>
              <w:t xml:space="preserve"> </w:t>
            </w:r>
            <w:proofErr w:type="spellStart"/>
            <w:r>
              <w:t>classified</w:t>
            </w:r>
            <w:proofErr w:type="spellEnd"/>
            <w:r>
              <w:t xml:space="preserve"> as </w:t>
            </w:r>
            <w:proofErr w:type="spellStart"/>
            <w:r>
              <w:t>weak</w:t>
            </w:r>
            <w:proofErr w:type="spellEnd"/>
            <w:r>
              <w:t xml:space="preserve"> (r/ρ &lt; 0.30), </w:t>
            </w:r>
            <w:proofErr w:type="spellStart"/>
            <w:r>
              <w:t>moderate</w:t>
            </w:r>
            <w:proofErr w:type="spellEnd"/>
            <w:r>
              <w:t xml:space="preserve"> (0.30 ≤ r/ρ &lt; 0.70), </w:t>
            </w:r>
            <w:proofErr w:type="spellStart"/>
            <w:r>
              <w:t>or</w:t>
            </w:r>
            <w:proofErr w:type="spellEnd"/>
            <w:r>
              <w:t xml:space="preserve"> </w:t>
            </w:r>
            <w:proofErr w:type="spellStart"/>
            <w:r>
              <w:t>strong</w:t>
            </w:r>
            <w:proofErr w:type="spellEnd"/>
            <w:r>
              <w:t xml:space="preserve"> (r/ρ ≥ 0.70), </w:t>
            </w:r>
            <w:proofErr w:type="spellStart"/>
            <w:r>
              <w:t>considering</w:t>
            </w:r>
            <w:proofErr w:type="spellEnd"/>
            <w:r>
              <w:t xml:space="preserve"> </w:t>
            </w:r>
            <w:proofErr w:type="spellStart"/>
            <w:r>
              <w:t>that</w:t>
            </w:r>
            <w:proofErr w:type="spellEnd"/>
            <w:r>
              <w:t xml:space="preserve"> </w:t>
            </w:r>
            <w:proofErr w:type="spellStart"/>
            <w:r>
              <w:t>coefficients</w:t>
            </w:r>
            <w:proofErr w:type="spellEnd"/>
            <w:r>
              <w:t xml:space="preserve"> range </w:t>
            </w:r>
            <w:proofErr w:type="spellStart"/>
            <w:r>
              <w:t>from</w:t>
            </w:r>
            <w:proofErr w:type="spellEnd"/>
            <w:r>
              <w:t xml:space="preserve"> -1 </w:t>
            </w:r>
            <w:proofErr w:type="spellStart"/>
            <w:r>
              <w:t>to</w:t>
            </w:r>
            <w:proofErr w:type="spellEnd"/>
            <w:r>
              <w:t xml:space="preserve"> +1, </w:t>
            </w:r>
            <w:proofErr w:type="spellStart"/>
            <w:r>
              <w:t>with</w:t>
            </w:r>
            <w:proofErr w:type="spellEnd"/>
            <w:r>
              <w:t xml:space="preserve"> </w:t>
            </w:r>
            <w:proofErr w:type="spellStart"/>
            <w:r>
              <w:t>the</w:t>
            </w:r>
            <w:proofErr w:type="spellEnd"/>
            <w:r>
              <w:t xml:space="preserve"> </w:t>
            </w:r>
            <w:proofErr w:type="spellStart"/>
            <w:r>
              <w:t>sign</w:t>
            </w:r>
            <w:proofErr w:type="spellEnd"/>
            <w:r>
              <w:t xml:space="preserve"> </w:t>
            </w:r>
            <w:proofErr w:type="spellStart"/>
            <w:r>
              <w:t>indicating</w:t>
            </w:r>
            <w:proofErr w:type="spellEnd"/>
            <w:r>
              <w:t xml:space="preserve"> </w:t>
            </w:r>
            <w:proofErr w:type="spellStart"/>
            <w:r>
              <w:t>direction</w:t>
            </w:r>
            <w:proofErr w:type="spellEnd"/>
            <w:r>
              <w:t xml:space="preserve"> </w:t>
            </w:r>
            <w:proofErr w:type="spellStart"/>
            <w:r>
              <w:t>and</w:t>
            </w:r>
            <w:proofErr w:type="spellEnd"/>
            <w:r>
              <w:t xml:space="preserve"> </w:t>
            </w:r>
            <w:proofErr w:type="spellStart"/>
            <w:r>
              <w:t>the</w:t>
            </w:r>
            <w:proofErr w:type="spellEnd"/>
            <w:r>
              <w:t xml:space="preserve"> </w:t>
            </w:r>
            <w:proofErr w:type="spellStart"/>
            <w:r>
              <w:t>absolute</w:t>
            </w:r>
            <w:proofErr w:type="spellEnd"/>
            <w:r>
              <w:t xml:space="preserve"> </w:t>
            </w:r>
            <w:proofErr w:type="spellStart"/>
            <w:r>
              <w:t>value</w:t>
            </w:r>
            <w:proofErr w:type="spellEnd"/>
            <w:r>
              <w:t xml:space="preserve"> </w:t>
            </w:r>
            <w:proofErr w:type="spellStart"/>
            <w:r>
              <w:t>indicating</w:t>
            </w:r>
            <w:proofErr w:type="spellEnd"/>
            <w:r>
              <w:t xml:space="preserve"> </w:t>
            </w:r>
            <w:proofErr w:type="spellStart"/>
            <w:r>
              <w:t>strength</w:t>
            </w:r>
            <w:proofErr w:type="spellEnd"/>
            <w:r>
              <w:t xml:space="preserve"> (</w:t>
            </w:r>
            <w:proofErr w:type="spellStart"/>
            <w:r>
              <w:t>Okoye</w:t>
            </w:r>
            <w:proofErr w:type="spellEnd"/>
            <w:r>
              <w:t xml:space="preserve"> &amp; </w:t>
            </w:r>
            <w:proofErr w:type="spellStart"/>
            <w:r>
              <w:t>Hosseini</w:t>
            </w:r>
            <w:proofErr w:type="spellEnd"/>
            <w:r>
              <w:t>, 2024).</w:t>
            </w:r>
          </w:p>
        </w:tc>
      </w:tr>
      <w:tr w:rsidR="00AB0B4E" w14:paraId="134BB5F5"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9221D8E" w14:textId="77777777" w:rsidR="00AB0B4E" w:rsidRDefault="00000000">
            <w:pPr>
              <w:spacing w:line="360" w:lineRule="auto"/>
              <w:jc w:val="center"/>
            </w:pPr>
            <w:r>
              <w:t>7</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CD4C420" w14:textId="77777777" w:rsidR="00AB0B4E" w:rsidRDefault="00000000">
            <w:pPr>
              <w:spacing w:line="360" w:lineRule="auto"/>
            </w:pPr>
            <w:proofErr w:type="spellStart"/>
            <w:r>
              <w:rPr>
                <w:b/>
                <w:bCs/>
              </w:rPr>
              <w:t>Discriminant</w:t>
            </w:r>
            <w:proofErr w:type="spellEnd"/>
            <w:r>
              <w:rPr>
                <w:b/>
                <w:bCs/>
              </w:rPr>
              <w:t xml:space="preserve"> </w:t>
            </w:r>
            <w:proofErr w:type="spellStart"/>
            <w:r>
              <w:rPr>
                <w:b/>
                <w:bCs/>
              </w:rPr>
              <w:t>validity</w:t>
            </w:r>
            <w:proofErr w:type="spellEnd"/>
            <w:r>
              <w:rPr>
                <w:b/>
                <w:bCs/>
              </w:rPr>
              <w:t xml:space="preserve"> </w:t>
            </w:r>
            <w:proofErr w:type="spellStart"/>
            <w:r>
              <w:rPr>
                <w:b/>
                <w:bCs/>
              </w:rPr>
              <w:t>evidence</w:t>
            </w:r>
            <w:proofErr w:type="spellEnd"/>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974DCE8" w14:textId="77777777" w:rsidR="00AB0B4E" w:rsidRDefault="00000000">
            <w:pPr>
              <w:spacing w:line="360" w:lineRule="auto"/>
              <w:jc w:val="both"/>
            </w:pPr>
            <w:r w:rsidRPr="005A7CCE">
              <w:rPr>
                <w:lang w:val="en-US"/>
              </w:rPr>
              <w:t xml:space="preserve">Pearson’s correlation coefficients or Spearman’s rho were used to evidence discriminant validity of the CS based on its relationships with external variables. The relationship between the global CS score and its four factors was assessed against instruments measuring distinct constructs. Additionally, construct discriminant validity was evaluated using two literature-established criteria. The first criterion (Fornell &amp; Larcker, 1981) examines whether the square root of the AVE for each construct exceeds its correlations with the other factors of the measure. The second criterion is the </w:t>
            </w:r>
            <w:proofErr w:type="spellStart"/>
            <w:r w:rsidRPr="005A7CCE">
              <w:rPr>
                <w:lang w:val="en-US"/>
              </w:rPr>
              <w:t>Heterotrait</w:t>
            </w:r>
            <w:proofErr w:type="spellEnd"/>
            <w:r w:rsidRPr="005A7CCE">
              <w:rPr>
                <w:lang w:val="en-US"/>
              </w:rPr>
              <w:t>–</w:t>
            </w:r>
            <w:proofErr w:type="spellStart"/>
            <w:r w:rsidRPr="005A7CCE">
              <w:rPr>
                <w:lang w:val="en-US"/>
              </w:rPr>
              <w:t>Monotrait</w:t>
            </w:r>
            <w:proofErr w:type="spellEnd"/>
            <w:r w:rsidRPr="005A7CCE">
              <w:rPr>
                <w:lang w:val="en-US"/>
              </w:rPr>
              <w:t xml:space="preserve"> Ratio (HTMT) correlation matrix, with </w:t>
            </w:r>
            <w:r w:rsidRPr="005A7CCE">
              <w:rPr>
                <w:lang w:val="en-US"/>
              </w:rPr>
              <w:lastRenderedPageBreak/>
              <w:t xml:space="preserve">values close to or below .85 considered adequate, as recommended by Henseler et al. </w:t>
            </w:r>
            <w:r>
              <w:t>(2015).</w:t>
            </w:r>
          </w:p>
        </w:tc>
      </w:tr>
      <w:tr w:rsidR="00AB0B4E" w:rsidRPr="005A7CCE" w14:paraId="267EB1DF"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A902D47" w14:textId="77777777" w:rsidR="00AB0B4E" w:rsidRDefault="00000000">
            <w:pPr>
              <w:spacing w:line="360" w:lineRule="auto"/>
              <w:jc w:val="center"/>
            </w:pPr>
            <w:r>
              <w:lastRenderedPageBreak/>
              <w:t>8</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25DC40" w14:textId="77777777" w:rsidR="00AB0B4E" w:rsidRPr="005A7CCE" w:rsidRDefault="00000000">
            <w:pPr>
              <w:spacing w:line="360" w:lineRule="auto"/>
              <w:rPr>
                <w:lang w:val="en-US"/>
              </w:rPr>
            </w:pPr>
            <w:r w:rsidRPr="005A7CCE">
              <w:rPr>
                <w:b/>
                <w:bCs/>
                <w:lang w:val="en-US"/>
              </w:rPr>
              <w:t>Hypothesis testing for between-group differences in CS scores</w:t>
            </w:r>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7F6CD4" w14:textId="55CFB29F" w:rsidR="00AB0B4E" w:rsidRPr="005A7CCE" w:rsidRDefault="00CC66A8">
            <w:pPr>
              <w:spacing w:line="360" w:lineRule="auto"/>
              <w:jc w:val="both"/>
              <w:rPr>
                <w:lang w:val="en-US"/>
              </w:rPr>
            </w:pPr>
            <w:proofErr w:type="spellStart"/>
            <w:r>
              <w:t>Statistical</w:t>
            </w:r>
            <w:proofErr w:type="spellEnd"/>
            <w:r>
              <w:t xml:space="preserve"> </w:t>
            </w:r>
            <w:proofErr w:type="spellStart"/>
            <w:r>
              <w:t>tests</w:t>
            </w:r>
            <w:proofErr w:type="spellEnd"/>
            <w:r>
              <w:t xml:space="preserve"> </w:t>
            </w:r>
            <w:proofErr w:type="spellStart"/>
            <w:r>
              <w:t>were</w:t>
            </w:r>
            <w:proofErr w:type="spellEnd"/>
            <w:r>
              <w:t xml:space="preserve"> </w:t>
            </w:r>
            <w:proofErr w:type="spellStart"/>
            <w:r>
              <w:t>used</w:t>
            </w:r>
            <w:proofErr w:type="spellEnd"/>
            <w:r>
              <w:t xml:space="preserve"> </w:t>
            </w:r>
            <w:proofErr w:type="spellStart"/>
            <w:r>
              <w:t>to</w:t>
            </w:r>
            <w:proofErr w:type="spellEnd"/>
            <w:r>
              <w:t xml:space="preserve"> </w:t>
            </w:r>
            <w:proofErr w:type="spellStart"/>
            <w:r>
              <w:t>investigate</w:t>
            </w:r>
            <w:proofErr w:type="spellEnd"/>
            <w:r>
              <w:t xml:space="preserve"> </w:t>
            </w:r>
            <w:proofErr w:type="spellStart"/>
            <w:r>
              <w:t>significant</w:t>
            </w:r>
            <w:proofErr w:type="spellEnd"/>
            <w:r>
              <w:t xml:space="preserve"> </w:t>
            </w:r>
            <w:proofErr w:type="spellStart"/>
            <w:r>
              <w:t>differences</w:t>
            </w:r>
            <w:proofErr w:type="spellEnd"/>
            <w:r>
              <w:t xml:space="preserve"> </w:t>
            </w:r>
            <w:proofErr w:type="spellStart"/>
            <w:r>
              <w:t>between</w:t>
            </w:r>
            <w:proofErr w:type="spellEnd"/>
            <w:r>
              <w:t xml:space="preserve"> </w:t>
            </w:r>
            <w:proofErr w:type="spellStart"/>
            <w:r>
              <w:t>groups</w:t>
            </w:r>
            <w:proofErr w:type="spellEnd"/>
            <w:r>
              <w:t xml:space="preserve"> in </w:t>
            </w:r>
            <w:proofErr w:type="spellStart"/>
            <w:r>
              <w:t>the</w:t>
            </w:r>
            <w:proofErr w:type="spellEnd"/>
            <w:r>
              <w:t xml:space="preserve"> global CS score </w:t>
            </w:r>
            <w:proofErr w:type="spellStart"/>
            <w:r>
              <w:t>and</w:t>
            </w:r>
            <w:proofErr w:type="spellEnd"/>
            <w:r>
              <w:t xml:space="preserve"> its four </w:t>
            </w:r>
            <w:proofErr w:type="spellStart"/>
            <w:r>
              <w:t>factors</w:t>
            </w:r>
            <w:proofErr w:type="spellEnd"/>
            <w:r>
              <w:t xml:space="preserve">: </w:t>
            </w:r>
            <w:proofErr w:type="spellStart"/>
            <w:r>
              <w:t>Student's</w:t>
            </w:r>
            <w:proofErr w:type="spellEnd"/>
            <w:r>
              <w:t xml:space="preserve"> t-</w:t>
            </w:r>
            <w:proofErr w:type="spellStart"/>
            <w:r>
              <w:t>test</w:t>
            </w:r>
            <w:proofErr w:type="spellEnd"/>
            <w:r>
              <w:t xml:space="preserve"> </w:t>
            </w:r>
            <w:proofErr w:type="spellStart"/>
            <w:r>
              <w:t>or</w:t>
            </w:r>
            <w:proofErr w:type="spellEnd"/>
            <w:r>
              <w:t xml:space="preserve"> Mann–Whitney U for </w:t>
            </w:r>
            <w:proofErr w:type="spellStart"/>
            <w:r>
              <w:t>two-group</w:t>
            </w:r>
            <w:proofErr w:type="spellEnd"/>
            <w:r>
              <w:t xml:space="preserve"> </w:t>
            </w:r>
            <w:proofErr w:type="spellStart"/>
            <w:r>
              <w:t>comparisons</w:t>
            </w:r>
            <w:proofErr w:type="spellEnd"/>
            <w:r>
              <w:t xml:space="preserve">, </w:t>
            </w:r>
            <w:proofErr w:type="spellStart"/>
            <w:r>
              <w:t>and</w:t>
            </w:r>
            <w:proofErr w:type="spellEnd"/>
            <w:r>
              <w:t xml:space="preserve"> ANOVA </w:t>
            </w:r>
            <w:proofErr w:type="spellStart"/>
            <w:r>
              <w:t>with</w:t>
            </w:r>
            <w:proofErr w:type="spellEnd"/>
            <w:r>
              <w:t xml:space="preserve"> </w:t>
            </w:r>
            <w:proofErr w:type="spellStart"/>
            <w:r>
              <w:t>Tukey</w:t>
            </w:r>
            <w:proofErr w:type="spellEnd"/>
            <w:r>
              <w:t xml:space="preserve"> </w:t>
            </w:r>
            <w:proofErr w:type="spellStart"/>
            <w:r>
              <w:t>or</w:t>
            </w:r>
            <w:proofErr w:type="spellEnd"/>
            <w:r>
              <w:t xml:space="preserve"> </w:t>
            </w:r>
            <w:proofErr w:type="spellStart"/>
            <w:r>
              <w:t>Bonferroni</w:t>
            </w:r>
            <w:proofErr w:type="spellEnd"/>
            <w:r>
              <w:t xml:space="preserve"> post-hoc </w:t>
            </w:r>
            <w:proofErr w:type="spellStart"/>
            <w:r>
              <w:t>tests</w:t>
            </w:r>
            <w:proofErr w:type="spellEnd"/>
            <w:r>
              <w:t xml:space="preserve">, </w:t>
            </w:r>
            <w:proofErr w:type="spellStart"/>
            <w:r>
              <w:t>or</w:t>
            </w:r>
            <w:proofErr w:type="spellEnd"/>
            <w:r>
              <w:t xml:space="preserve"> </w:t>
            </w:r>
            <w:proofErr w:type="spellStart"/>
            <w:r>
              <w:t>Kruskal</w:t>
            </w:r>
            <w:proofErr w:type="spellEnd"/>
            <w:r>
              <w:t xml:space="preserve">–Wallis </w:t>
            </w:r>
            <w:proofErr w:type="spellStart"/>
            <w:r>
              <w:t>with</w:t>
            </w:r>
            <w:proofErr w:type="spellEnd"/>
            <w:r>
              <w:t xml:space="preserve"> </w:t>
            </w:r>
            <w:proofErr w:type="spellStart"/>
            <w:r>
              <w:t>Dunn's</w:t>
            </w:r>
            <w:proofErr w:type="spellEnd"/>
            <w:r>
              <w:t xml:space="preserve"> post-hoc, </w:t>
            </w:r>
            <w:proofErr w:type="spellStart"/>
            <w:r>
              <w:t>among</w:t>
            </w:r>
            <w:proofErr w:type="spellEnd"/>
            <w:r>
              <w:t xml:space="preserve"> </w:t>
            </w:r>
            <w:proofErr w:type="spellStart"/>
            <w:r>
              <w:t>other</w:t>
            </w:r>
            <w:proofErr w:type="spellEnd"/>
            <w:r>
              <w:t xml:space="preserve"> </w:t>
            </w:r>
            <w:proofErr w:type="spellStart"/>
            <w:r>
              <w:t>options</w:t>
            </w:r>
            <w:proofErr w:type="spellEnd"/>
            <w:r>
              <w:t xml:space="preserve">. </w:t>
            </w:r>
            <w:proofErr w:type="spellStart"/>
            <w:r>
              <w:t>Effect</w:t>
            </w:r>
            <w:proofErr w:type="spellEnd"/>
            <w:r>
              <w:t xml:space="preserve"> </w:t>
            </w:r>
            <w:proofErr w:type="spellStart"/>
            <w:r>
              <w:t>sizes</w:t>
            </w:r>
            <w:proofErr w:type="spellEnd"/>
            <w:r>
              <w:t xml:space="preserve"> </w:t>
            </w:r>
            <w:proofErr w:type="spellStart"/>
            <w:r>
              <w:t>were</w:t>
            </w:r>
            <w:proofErr w:type="spellEnd"/>
            <w:r>
              <w:t xml:space="preserve"> </w:t>
            </w:r>
            <w:proofErr w:type="spellStart"/>
            <w:r>
              <w:t>recorded</w:t>
            </w:r>
            <w:proofErr w:type="spellEnd"/>
            <w:r>
              <w:t xml:space="preserve"> </w:t>
            </w:r>
            <w:proofErr w:type="spellStart"/>
            <w:r>
              <w:t>using</w:t>
            </w:r>
            <w:proofErr w:type="spellEnd"/>
            <w:r>
              <w:t xml:space="preserve"> </w:t>
            </w:r>
            <w:proofErr w:type="spellStart"/>
            <w:r>
              <w:t>partial</w:t>
            </w:r>
            <w:proofErr w:type="spellEnd"/>
            <w:r>
              <w:t xml:space="preserve"> </w:t>
            </w:r>
            <w:proofErr w:type="spellStart"/>
            <w:r>
              <w:t>eta-squared</w:t>
            </w:r>
            <w:proofErr w:type="spellEnd"/>
            <w:r>
              <w:t xml:space="preserve"> (η²) </w:t>
            </w:r>
            <w:proofErr w:type="spellStart"/>
            <w:r>
              <w:t>and</w:t>
            </w:r>
            <w:proofErr w:type="spellEnd"/>
            <w:r>
              <w:t xml:space="preserve"> </w:t>
            </w:r>
            <w:proofErr w:type="spellStart"/>
            <w:r>
              <w:t>Cohen's</w:t>
            </w:r>
            <w:proofErr w:type="spellEnd"/>
            <w:r>
              <w:t xml:space="preserve"> d. Magnitudes for η²: </w:t>
            </w:r>
            <w:proofErr w:type="spellStart"/>
            <w:r>
              <w:t>negligible</w:t>
            </w:r>
            <w:proofErr w:type="spellEnd"/>
            <w:r>
              <w:t xml:space="preserve"> (&lt; 0.02), </w:t>
            </w:r>
            <w:proofErr w:type="spellStart"/>
            <w:r>
              <w:t>small</w:t>
            </w:r>
            <w:proofErr w:type="spellEnd"/>
            <w:r>
              <w:t xml:space="preserve"> (0.02 ≤ η² ≤ 0.12), </w:t>
            </w:r>
            <w:proofErr w:type="spellStart"/>
            <w:r>
              <w:t>moderate</w:t>
            </w:r>
            <w:proofErr w:type="spellEnd"/>
            <w:r>
              <w:t xml:space="preserve"> (0.13 ≤ η² ≤ 0.25), </w:t>
            </w:r>
            <w:proofErr w:type="spellStart"/>
            <w:r>
              <w:t>and</w:t>
            </w:r>
            <w:proofErr w:type="spellEnd"/>
            <w:r>
              <w:t xml:space="preserve"> </w:t>
            </w:r>
            <w:proofErr w:type="spellStart"/>
            <w:r>
              <w:t>large</w:t>
            </w:r>
            <w:proofErr w:type="spellEnd"/>
            <w:r>
              <w:t xml:space="preserve"> (≥ 0.26) (</w:t>
            </w:r>
            <w:proofErr w:type="spellStart"/>
            <w:r>
              <w:t>Jané</w:t>
            </w:r>
            <w:proofErr w:type="spellEnd"/>
            <w:r>
              <w:t xml:space="preserve"> et al., 2024). Magnitudes for </w:t>
            </w:r>
            <w:proofErr w:type="spellStart"/>
            <w:r>
              <w:t>Cohen's</w:t>
            </w:r>
            <w:proofErr w:type="spellEnd"/>
            <w:r>
              <w:t xml:space="preserve"> d: </w:t>
            </w:r>
            <w:proofErr w:type="spellStart"/>
            <w:r>
              <w:t>negligible</w:t>
            </w:r>
            <w:proofErr w:type="spellEnd"/>
            <w:r>
              <w:t xml:space="preserve"> (d &lt; 0.20), </w:t>
            </w:r>
            <w:proofErr w:type="spellStart"/>
            <w:r>
              <w:t>small</w:t>
            </w:r>
            <w:proofErr w:type="spellEnd"/>
            <w:r>
              <w:t xml:space="preserve"> (0.20 ≤ d &lt; 0.50), </w:t>
            </w:r>
            <w:proofErr w:type="spellStart"/>
            <w:r>
              <w:t>moderate</w:t>
            </w:r>
            <w:proofErr w:type="spellEnd"/>
            <w:r>
              <w:t xml:space="preserve"> (0.50 ≤ d &lt; 0.80), </w:t>
            </w:r>
            <w:proofErr w:type="spellStart"/>
            <w:r>
              <w:t>and</w:t>
            </w:r>
            <w:proofErr w:type="spellEnd"/>
            <w:r>
              <w:t xml:space="preserve"> </w:t>
            </w:r>
            <w:proofErr w:type="spellStart"/>
            <w:r>
              <w:t>large</w:t>
            </w:r>
            <w:proofErr w:type="spellEnd"/>
            <w:r>
              <w:t xml:space="preserve"> (d ≥ 0.80) (Cohen, 2013).</w:t>
            </w:r>
          </w:p>
        </w:tc>
      </w:tr>
      <w:tr w:rsidR="00AB0B4E" w:rsidRPr="005A7CCE" w14:paraId="3F26E9A7"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57A7BF8" w14:textId="77777777" w:rsidR="00AB0B4E" w:rsidRDefault="00000000">
            <w:pPr>
              <w:spacing w:line="360" w:lineRule="auto"/>
              <w:jc w:val="center"/>
            </w:pPr>
            <w:r>
              <w:t>9</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6F2CFA2" w14:textId="77777777" w:rsidR="00AB0B4E" w:rsidRDefault="00000000">
            <w:pPr>
              <w:spacing w:line="360" w:lineRule="auto"/>
            </w:pPr>
            <w:proofErr w:type="spellStart"/>
            <w:r>
              <w:rPr>
                <w:b/>
                <w:bCs/>
              </w:rPr>
              <w:t>Reliability</w:t>
            </w:r>
            <w:proofErr w:type="spellEnd"/>
            <w:r>
              <w:rPr>
                <w:b/>
                <w:bCs/>
              </w:rPr>
              <w:t xml:space="preserve"> via </w:t>
            </w:r>
            <w:proofErr w:type="spellStart"/>
            <w:r>
              <w:rPr>
                <w:b/>
                <w:bCs/>
              </w:rPr>
              <w:t>test</w:t>
            </w:r>
            <w:proofErr w:type="spellEnd"/>
            <w:r>
              <w:rPr>
                <w:b/>
                <w:bCs/>
              </w:rPr>
              <w:t>–</w:t>
            </w:r>
            <w:proofErr w:type="spellStart"/>
            <w:r>
              <w:rPr>
                <w:b/>
                <w:bCs/>
              </w:rPr>
              <w:t>retest</w:t>
            </w:r>
            <w:proofErr w:type="spellEnd"/>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143AF7" w14:textId="77777777" w:rsidR="00AB0B4E" w:rsidRPr="005A7CCE" w:rsidRDefault="00000000">
            <w:pPr>
              <w:spacing w:line="360" w:lineRule="auto"/>
              <w:jc w:val="both"/>
              <w:rPr>
                <w:lang w:val="en-US"/>
              </w:rPr>
            </w:pPr>
            <w:r w:rsidRPr="005A7CCE">
              <w:rPr>
                <w:lang w:val="en-US"/>
              </w:rPr>
              <w:t>Pearson’s correlation coefficients or Spearman’s rho were used to assess agreement between responses obtained at two administration time points (</w:t>
            </w:r>
            <w:proofErr w:type="spellStart"/>
            <w:r w:rsidRPr="005A7CCE">
              <w:rPr>
                <w:lang w:val="en-US"/>
              </w:rPr>
              <w:t>Mokkink</w:t>
            </w:r>
            <w:proofErr w:type="spellEnd"/>
            <w:r w:rsidRPr="005A7CCE">
              <w:rPr>
                <w:lang w:val="en-US"/>
              </w:rPr>
              <w:t xml:space="preserve"> et al., 2024).</w:t>
            </w:r>
          </w:p>
        </w:tc>
      </w:tr>
      <w:tr w:rsidR="00AB0B4E" w:rsidRPr="005A7CCE" w14:paraId="391F2CBE"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DE6FED" w14:textId="77777777" w:rsidR="00AB0B4E" w:rsidRDefault="00000000">
            <w:pPr>
              <w:spacing w:line="360" w:lineRule="auto"/>
              <w:jc w:val="center"/>
            </w:pPr>
            <w:r>
              <w:t>10</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78C325" w14:textId="77777777" w:rsidR="00AB0B4E" w:rsidRDefault="00000000">
            <w:pPr>
              <w:spacing w:line="360" w:lineRule="auto"/>
            </w:pPr>
            <w:proofErr w:type="spellStart"/>
            <w:r>
              <w:rPr>
                <w:b/>
                <w:bCs/>
              </w:rPr>
              <w:t>Responsiveness</w:t>
            </w:r>
            <w:proofErr w:type="spellEnd"/>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72F19E" w14:textId="5CA6A7A8" w:rsidR="0095509B" w:rsidRPr="005A7CCE" w:rsidRDefault="0095509B">
            <w:pPr>
              <w:spacing w:line="360" w:lineRule="auto"/>
              <w:jc w:val="both"/>
              <w:rPr>
                <w:lang w:val="en-US"/>
              </w:rPr>
            </w:pPr>
            <w:r w:rsidRPr="005A7CCE">
              <w:rPr>
                <w:lang w:val="en-US"/>
              </w:rPr>
              <w:t>The Multidimensional Item Response Theory (MIRT) was applied through the Bifactor Graded Response model (</w:t>
            </w:r>
            <w:proofErr w:type="spellStart"/>
            <w:r w:rsidRPr="005A7CCE">
              <w:rPr>
                <w:lang w:val="en-US"/>
              </w:rPr>
              <w:t>Bifac</w:t>
            </w:r>
            <w:proofErr w:type="spellEnd"/>
            <w:r w:rsidRPr="005A7CCE">
              <w:rPr>
                <w:lang w:val="en-US"/>
              </w:rPr>
              <w:t>-GR), which simultaneously estimates a general factor and specific factors, preserving the dimensional structure of the scale (Toland et al., 2017). Item performance was evaluated using two multidimensional indices: the multidimensional item discrimination (MDISC) and the multidimensional item difficulty (MDIFF). The MDISC quantifies each item's capacity to differentiate individuals along the latent trait continuum, both longitudinally and across distinct groups. According to Baker (2001), values below 0.5 indicate poor discrimination; values ranging from 0.5 to 1.0 suggest moderate discrimination; values between 1.0 and 1.5 represent good discrimination; and values exceeding 1.5 denote excellent discrimination. The MDIFF represents the point on the latent trait continuum at which the item yields maximum information, operating as a difficulty index within the multidimensional space. Values below −2.0 characterize very easy items; values ranging from −2.0 to 0.0 indicate moderately easy difficulty; values between 0.0 and 2.0 represent moderately difficult items; and values exceeding 2.0 denote very difficult items (Baker, 2001).</w:t>
            </w:r>
          </w:p>
          <w:p w14:paraId="45E3396F" w14:textId="39109072" w:rsidR="00AB0B4E" w:rsidRPr="005A7CCE" w:rsidRDefault="00CC66A8">
            <w:pPr>
              <w:spacing w:line="360" w:lineRule="auto"/>
              <w:jc w:val="both"/>
              <w:rPr>
                <w:lang w:val="en-US"/>
              </w:rPr>
            </w:pPr>
            <w:proofErr w:type="spellStart"/>
            <w:r>
              <w:lastRenderedPageBreak/>
              <w:t>Items</w:t>
            </w:r>
            <w:proofErr w:type="spellEnd"/>
            <w:r>
              <w:t xml:space="preserve"> </w:t>
            </w:r>
            <w:proofErr w:type="spellStart"/>
            <w:r>
              <w:t>with</w:t>
            </w:r>
            <w:proofErr w:type="spellEnd"/>
            <w:r>
              <w:t xml:space="preserve"> high </w:t>
            </w:r>
            <w:proofErr w:type="spellStart"/>
            <w:r>
              <w:t>discrimination</w:t>
            </w:r>
            <w:proofErr w:type="spellEnd"/>
            <w:r>
              <w:t xml:space="preserve"> show </w:t>
            </w:r>
            <w:proofErr w:type="spellStart"/>
            <w:r>
              <w:t>greater</w:t>
            </w:r>
            <w:proofErr w:type="spellEnd"/>
            <w:r>
              <w:t xml:space="preserve"> </w:t>
            </w:r>
            <w:proofErr w:type="spellStart"/>
            <w:r>
              <w:t>sensitivity</w:t>
            </w:r>
            <w:proofErr w:type="spellEnd"/>
            <w:r>
              <w:t xml:space="preserve"> in </w:t>
            </w:r>
            <w:proofErr w:type="spellStart"/>
            <w:r>
              <w:t>detecting</w:t>
            </w:r>
            <w:proofErr w:type="spellEnd"/>
            <w:r>
              <w:t xml:space="preserve"> </w:t>
            </w:r>
            <w:proofErr w:type="spellStart"/>
            <w:r>
              <w:t>changes</w:t>
            </w:r>
            <w:proofErr w:type="spellEnd"/>
            <w:r>
              <w:t xml:space="preserve"> in </w:t>
            </w:r>
            <w:proofErr w:type="spellStart"/>
            <w:r>
              <w:t>the</w:t>
            </w:r>
            <w:proofErr w:type="spellEnd"/>
            <w:r>
              <w:t xml:space="preserve"> </w:t>
            </w:r>
            <w:proofErr w:type="spellStart"/>
            <w:r>
              <w:t>latent</w:t>
            </w:r>
            <w:proofErr w:type="spellEnd"/>
            <w:r>
              <w:t xml:space="preserve"> </w:t>
            </w:r>
            <w:proofErr w:type="spellStart"/>
            <w:r>
              <w:t>trait</w:t>
            </w:r>
            <w:proofErr w:type="spellEnd"/>
            <w:r>
              <w:t xml:space="preserve">. </w:t>
            </w:r>
            <w:proofErr w:type="spellStart"/>
            <w:r>
              <w:t>Complementarily</w:t>
            </w:r>
            <w:proofErr w:type="spellEnd"/>
            <w:r>
              <w:t xml:space="preserve">, </w:t>
            </w:r>
            <w:proofErr w:type="spellStart"/>
            <w:r>
              <w:t>Differential</w:t>
            </w:r>
            <w:proofErr w:type="spellEnd"/>
            <w:r>
              <w:t xml:space="preserve"> Item </w:t>
            </w:r>
            <w:proofErr w:type="spellStart"/>
            <w:r>
              <w:t>Functioning</w:t>
            </w:r>
            <w:proofErr w:type="spellEnd"/>
            <w:r>
              <w:t xml:space="preserve"> (DIF) </w:t>
            </w:r>
            <w:proofErr w:type="spellStart"/>
            <w:r>
              <w:t>analysis</w:t>
            </w:r>
            <w:proofErr w:type="spellEnd"/>
            <w:r>
              <w:t xml:space="preserve"> </w:t>
            </w:r>
            <w:proofErr w:type="spellStart"/>
            <w:r>
              <w:t>between</w:t>
            </w:r>
            <w:proofErr w:type="spellEnd"/>
            <w:r>
              <w:t xml:space="preserve"> </w:t>
            </w:r>
            <w:proofErr w:type="spellStart"/>
            <w:r>
              <w:t>groups</w:t>
            </w:r>
            <w:proofErr w:type="spellEnd"/>
            <w:r>
              <w:t xml:space="preserve"> </w:t>
            </w:r>
            <w:proofErr w:type="spellStart"/>
            <w:r>
              <w:t>may</w:t>
            </w:r>
            <w:proofErr w:type="spellEnd"/>
            <w:r>
              <w:t xml:space="preserve"> </w:t>
            </w:r>
            <w:proofErr w:type="spellStart"/>
            <w:r>
              <w:t>be</w:t>
            </w:r>
            <w:proofErr w:type="spellEnd"/>
            <w:r>
              <w:t xml:space="preserve"> </w:t>
            </w:r>
            <w:proofErr w:type="spellStart"/>
            <w:r>
              <w:t>conducted</w:t>
            </w:r>
            <w:proofErr w:type="spellEnd"/>
            <w:r>
              <w:t xml:space="preserve"> </w:t>
            </w:r>
            <w:proofErr w:type="spellStart"/>
            <w:r>
              <w:t>to</w:t>
            </w:r>
            <w:proofErr w:type="spellEnd"/>
            <w:r>
              <w:t xml:space="preserve"> </w:t>
            </w:r>
            <w:proofErr w:type="spellStart"/>
            <w:r>
              <w:t>assess</w:t>
            </w:r>
            <w:proofErr w:type="spellEnd"/>
            <w:r>
              <w:t xml:space="preserve"> response </w:t>
            </w:r>
            <w:proofErr w:type="spellStart"/>
            <w:r>
              <w:t>patterns</w:t>
            </w:r>
            <w:proofErr w:type="spellEnd"/>
            <w:r>
              <w:t xml:space="preserve">, </w:t>
            </w:r>
            <w:proofErr w:type="spellStart"/>
            <w:r>
              <w:t>using</w:t>
            </w:r>
            <w:proofErr w:type="spellEnd"/>
            <w:r>
              <w:t xml:space="preserve"> </w:t>
            </w:r>
            <w:proofErr w:type="spellStart"/>
            <w:r>
              <w:t>Infit</w:t>
            </w:r>
            <w:proofErr w:type="spellEnd"/>
            <w:r>
              <w:t xml:space="preserve"> </w:t>
            </w:r>
            <w:proofErr w:type="spellStart"/>
            <w:r>
              <w:t>and</w:t>
            </w:r>
            <w:proofErr w:type="spellEnd"/>
            <w:r>
              <w:t xml:space="preserve"> Outfit </w:t>
            </w:r>
            <w:proofErr w:type="spellStart"/>
            <w:r>
              <w:t>indices</w:t>
            </w:r>
            <w:proofErr w:type="spellEnd"/>
            <w:r>
              <w:t xml:space="preserve"> </w:t>
            </w:r>
            <w:proofErr w:type="spellStart"/>
            <w:r>
              <w:t>and</w:t>
            </w:r>
            <w:proofErr w:type="spellEnd"/>
            <w:r>
              <w:t xml:space="preserve"> </w:t>
            </w:r>
            <w:proofErr w:type="spellStart"/>
            <w:r>
              <w:t>the</w:t>
            </w:r>
            <w:proofErr w:type="spellEnd"/>
            <w:r>
              <w:t xml:space="preserve"> </w:t>
            </w:r>
            <w:proofErr w:type="spellStart"/>
            <w:r>
              <w:t>Partial</w:t>
            </w:r>
            <w:proofErr w:type="spellEnd"/>
            <w:r>
              <w:t xml:space="preserve"> </w:t>
            </w:r>
            <w:proofErr w:type="spellStart"/>
            <w:r>
              <w:t>Credit</w:t>
            </w:r>
            <w:proofErr w:type="spellEnd"/>
            <w:r>
              <w:t xml:space="preserve"> Model (PCM). </w:t>
            </w:r>
            <w:proofErr w:type="spellStart"/>
            <w:r>
              <w:t>Infit</w:t>
            </w:r>
            <w:proofErr w:type="spellEnd"/>
            <w:r>
              <w:t xml:space="preserve"> </w:t>
            </w:r>
            <w:proofErr w:type="spellStart"/>
            <w:r>
              <w:t>and</w:t>
            </w:r>
            <w:proofErr w:type="spellEnd"/>
            <w:r>
              <w:t xml:space="preserve"> Outfit </w:t>
            </w:r>
            <w:proofErr w:type="spellStart"/>
            <w:r>
              <w:t>values</w:t>
            </w:r>
            <w:proofErr w:type="spellEnd"/>
            <w:r>
              <w:t xml:space="preserve"> </w:t>
            </w:r>
            <w:proofErr w:type="spellStart"/>
            <w:r>
              <w:t>between</w:t>
            </w:r>
            <w:proofErr w:type="spellEnd"/>
            <w:r>
              <w:t xml:space="preserve"> 0.5 </w:t>
            </w:r>
            <w:proofErr w:type="spellStart"/>
            <w:r>
              <w:t>and</w:t>
            </w:r>
            <w:proofErr w:type="spellEnd"/>
            <w:r>
              <w:t xml:space="preserve"> 1.5 </w:t>
            </w:r>
            <w:proofErr w:type="spellStart"/>
            <w:r>
              <w:t>indicate</w:t>
            </w:r>
            <w:proofErr w:type="spellEnd"/>
            <w:r>
              <w:t xml:space="preserve"> </w:t>
            </w:r>
            <w:proofErr w:type="spellStart"/>
            <w:r>
              <w:t>adequate</w:t>
            </w:r>
            <w:proofErr w:type="spellEnd"/>
            <w:r>
              <w:t xml:space="preserve"> </w:t>
            </w:r>
            <w:proofErr w:type="spellStart"/>
            <w:r>
              <w:t>fit</w:t>
            </w:r>
            <w:proofErr w:type="spellEnd"/>
            <w:r>
              <w:t xml:space="preserve">. DIF </w:t>
            </w:r>
            <w:proofErr w:type="spellStart"/>
            <w:r>
              <w:t>effect</w:t>
            </w:r>
            <w:proofErr w:type="spellEnd"/>
            <w:r>
              <w:t xml:space="preserve"> </w:t>
            </w:r>
            <w:proofErr w:type="spellStart"/>
            <w:r>
              <w:t>size</w:t>
            </w:r>
            <w:proofErr w:type="spellEnd"/>
            <w:r>
              <w:t xml:space="preserve"> </w:t>
            </w:r>
            <w:proofErr w:type="spellStart"/>
            <w:r>
              <w:t>is</w:t>
            </w:r>
            <w:proofErr w:type="spellEnd"/>
            <w:r>
              <w:t xml:space="preserve"> </w:t>
            </w:r>
            <w:proofErr w:type="spellStart"/>
            <w:r>
              <w:t>measured</w:t>
            </w:r>
            <w:proofErr w:type="spellEnd"/>
            <w:r>
              <w:t xml:space="preserve"> </w:t>
            </w:r>
            <w:proofErr w:type="spellStart"/>
            <w:r>
              <w:t>by</w:t>
            </w:r>
            <w:proofErr w:type="spellEnd"/>
            <w:r>
              <w:t xml:space="preserve"> </w:t>
            </w:r>
            <w:proofErr w:type="spellStart"/>
            <w:r>
              <w:t>McFadden's</w:t>
            </w:r>
            <w:proofErr w:type="spellEnd"/>
            <w:r>
              <w:t xml:space="preserve"> </w:t>
            </w:r>
            <w:proofErr w:type="spellStart"/>
            <w:r>
              <w:t>and</w:t>
            </w:r>
            <w:proofErr w:type="spellEnd"/>
            <w:r>
              <w:t xml:space="preserve"> </w:t>
            </w:r>
            <w:proofErr w:type="spellStart"/>
            <w:r>
              <w:t>Nagelkerke's</w:t>
            </w:r>
            <w:proofErr w:type="spellEnd"/>
            <w:r>
              <w:t xml:space="preserve"> pseudo-R² </w:t>
            </w:r>
            <w:proofErr w:type="spellStart"/>
            <w:r>
              <w:t>coefficients</w:t>
            </w:r>
            <w:proofErr w:type="spellEnd"/>
            <w:r>
              <w:t xml:space="preserve">, </w:t>
            </w:r>
            <w:proofErr w:type="spellStart"/>
            <w:r>
              <w:t>considered</w:t>
            </w:r>
            <w:proofErr w:type="spellEnd"/>
            <w:r>
              <w:t xml:space="preserve"> </w:t>
            </w:r>
            <w:proofErr w:type="spellStart"/>
            <w:r>
              <w:t>negligible</w:t>
            </w:r>
            <w:proofErr w:type="spellEnd"/>
            <w:r>
              <w:t xml:space="preserve"> </w:t>
            </w:r>
            <w:proofErr w:type="spellStart"/>
            <w:r>
              <w:t>when</w:t>
            </w:r>
            <w:proofErr w:type="spellEnd"/>
            <w:r>
              <w:t xml:space="preserve"> </w:t>
            </w:r>
            <w:proofErr w:type="spellStart"/>
            <w:r>
              <w:t>below</w:t>
            </w:r>
            <w:proofErr w:type="spellEnd"/>
            <w:r>
              <w:t xml:space="preserve"> 0.13. </w:t>
            </w:r>
            <w:proofErr w:type="spellStart"/>
            <w:r>
              <w:t>Items</w:t>
            </w:r>
            <w:proofErr w:type="spellEnd"/>
            <w:r>
              <w:t xml:space="preserve"> </w:t>
            </w:r>
            <w:proofErr w:type="spellStart"/>
            <w:r>
              <w:t>with</w:t>
            </w:r>
            <w:proofErr w:type="spellEnd"/>
            <w:r>
              <w:t xml:space="preserve"> </w:t>
            </w:r>
            <w:proofErr w:type="spellStart"/>
            <w:r>
              <w:t>significant</w:t>
            </w:r>
            <w:proofErr w:type="spellEnd"/>
            <w:r>
              <w:t xml:space="preserve"> total </w:t>
            </w:r>
            <w:proofErr w:type="spellStart"/>
            <w:r>
              <w:t>effect</w:t>
            </w:r>
            <w:proofErr w:type="spellEnd"/>
            <w:r>
              <w:t xml:space="preserve"> (p &lt; 0.01) are </w:t>
            </w:r>
            <w:proofErr w:type="spellStart"/>
            <w:r>
              <w:t>classified</w:t>
            </w:r>
            <w:proofErr w:type="spellEnd"/>
            <w:r>
              <w:t xml:space="preserve"> as non-</w:t>
            </w:r>
            <w:proofErr w:type="spellStart"/>
            <w:r>
              <w:t>equivalent</w:t>
            </w:r>
            <w:proofErr w:type="spellEnd"/>
            <w:r>
              <w:t xml:space="preserve"> (Choi et al., 2011). DIF </w:t>
            </w:r>
            <w:proofErr w:type="spellStart"/>
            <w:r>
              <w:t>analysis</w:t>
            </w:r>
            <w:proofErr w:type="spellEnd"/>
            <w:r>
              <w:t xml:space="preserve"> </w:t>
            </w:r>
            <w:proofErr w:type="spellStart"/>
            <w:r>
              <w:t>also</w:t>
            </w:r>
            <w:proofErr w:type="spellEnd"/>
            <w:r>
              <w:t xml:space="preserve"> </w:t>
            </w:r>
            <w:proofErr w:type="spellStart"/>
            <w:r>
              <w:t>allows</w:t>
            </w:r>
            <w:proofErr w:type="spellEnd"/>
            <w:r>
              <w:t xml:space="preserve"> </w:t>
            </w:r>
            <w:proofErr w:type="spellStart"/>
            <w:r>
              <w:t>confirmation</w:t>
            </w:r>
            <w:proofErr w:type="spellEnd"/>
            <w:r>
              <w:t xml:space="preserve"> (</w:t>
            </w:r>
            <w:proofErr w:type="spellStart"/>
            <w:r>
              <w:t>or</w:t>
            </w:r>
            <w:proofErr w:type="spellEnd"/>
            <w:r>
              <w:t xml:space="preserve"> </w:t>
            </w:r>
            <w:proofErr w:type="spellStart"/>
            <w:r>
              <w:t>refutation</w:t>
            </w:r>
            <w:proofErr w:type="spellEnd"/>
            <w:r>
              <w:t xml:space="preserve">) </w:t>
            </w:r>
            <w:proofErr w:type="spellStart"/>
            <w:r>
              <w:t>of</w:t>
            </w:r>
            <w:proofErr w:type="spellEnd"/>
            <w:r>
              <w:t xml:space="preserve"> </w:t>
            </w:r>
            <w:proofErr w:type="spellStart"/>
            <w:r>
              <w:t>measurement</w:t>
            </w:r>
            <w:proofErr w:type="spellEnd"/>
            <w:r>
              <w:t xml:space="preserve"> </w:t>
            </w:r>
            <w:proofErr w:type="spellStart"/>
            <w:r>
              <w:t>invariance</w:t>
            </w:r>
            <w:proofErr w:type="spellEnd"/>
            <w:r>
              <w:t xml:space="preserve"> assessment </w:t>
            </w:r>
            <w:proofErr w:type="spellStart"/>
            <w:r>
              <w:t>between</w:t>
            </w:r>
            <w:proofErr w:type="spellEnd"/>
            <w:r>
              <w:t xml:space="preserve"> </w:t>
            </w:r>
            <w:proofErr w:type="spellStart"/>
            <w:r>
              <w:t>distinct</w:t>
            </w:r>
            <w:proofErr w:type="spellEnd"/>
            <w:r>
              <w:t xml:space="preserve"> </w:t>
            </w:r>
            <w:proofErr w:type="spellStart"/>
            <w:r>
              <w:t>groups</w:t>
            </w:r>
            <w:proofErr w:type="spellEnd"/>
            <w:r>
              <w:t xml:space="preserve">. </w:t>
            </w:r>
            <w:proofErr w:type="spellStart"/>
            <w:r>
              <w:t>Alternatively</w:t>
            </w:r>
            <w:proofErr w:type="spellEnd"/>
            <w:r>
              <w:t xml:space="preserve">, </w:t>
            </w:r>
            <w:proofErr w:type="spellStart"/>
            <w:r>
              <w:t>Cronbach's</w:t>
            </w:r>
            <w:proofErr w:type="spellEnd"/>
            <w:r>
              <w:t xml:space="preserve"> alpha </w:t>
            </w:r>
            <w:proofErr w:type="spellStart"/>
            <w:r>
              <w:t>may</w:t>
            </w:r>
            <w:proofErr w:type="spellEnd"/>
            <w:r>
              <w:t xml:space="preserve"> </w:t>
            </w:r>
            <w:proofErr w:type="spellStart"/>
            <w:r>
              <w:t>be</w:t>
            </w:r>
            <w:proofErr w:type="spellEnd"/>
            <w:r>
              <w:t xml:space="preserve"> </w:t>
            </w:r>
            <w:proofErr w:type="spellStart"/>
            <w:r>
              <w:t>considered</w:t>
            </w:r>
            <w:proofErr w:type="spellEnd"/>
            <w:r>
              <w:t xml:space="preserve"> </w:t>
            </w:r>
            <w:proofErr w:type="spellStart"/>
            <w:r>
              <w:t>to</w:t>
            </w:r>
            <w:proofErr w:type="spellEnd"/>
            <w:r>
              <w:t xml:space="preserve"> </w:t>
            </w:r>
            <w:proofErr w:type="spellStart"/>
            <w:r>
              <w:t>assess</w:t>
            </w:r>
            <w:proofErr w:type="spellEnd"/>
            <w:r>
              <w:t xml:space="preserve"> </w:t>
            </w:r>
            <w:proofErr w:type="spellStart"/>
            <w:r>
              <w:t>stability</w:t>
            </w:r>
            <w:proofErr w:type="spellEnd"/>
            <w:r>
              <w:t xml:space="preserve"> </w:t>
            </w:r>
            <w:proofErr w:type="spellStart"/>
            <w:r>
              <w:t>across</w:t>
            </w:r>
            <w:proofErr w:type="spellEnd"/>
            <w:r>
              <w:t xml:space="preserve"> </w:t>
            </w:r>
            <w:proofErr w:type="spellStart"/>
            <w:r>
              <w:t>multiple</w:t>
            </w:r>
            <w:proofErr w:type="spellEnd"/>
            <w:r>
              <w:t xml:space="preserve"> </w:t>
            </w:r>
            <w:proofErr w:type="spellStart"/>
            <w:r>
              <w:t>administrations</w:t>
            </w:r>
            <w:proofErr w:type="spellEnd"/>
            <w:r>
              <w:t xml:space="preserve"> </w:t>
            </w:r>
            <w:proofErr w:type="spellStart"/>
            <w:r>
              <w:t>of</w:t>
            </w:r>
            <w:proofErr w:type="spellEnd"/>
            <w:r>
              <w:t xml:space="preserve"> </w:t>
            </w:r>
            <w:proofErr w:type="spellStart"/>
            <w:r>
              <w:t>the</w:t>
            </w:r>
            <w:proofErr w:type="spellEnd"/>
            <w:r>
              <w:t xml:space="preserve"> </w:t>
            </w:r>
            <w:proofErr w:type="spellStart"/>
            <w:r>
              <w:t>instrument</w:t>
            </w:r>
            <w:proofErr w:type="spellEnd"/>
            <w:r>
              <w:t xml:space="preserve"> over short time </w:t>
            </w:r>
            <w:proofErr w:type="spellStart"/>
            <w:r>
              <w:t>intervals</w:t>
            </w:r>
            <w:proofErr w:type="spellEnd"/>
            <w:r>
              <w:t xml:space="preserve">, </w:t>
            </w:r>
            <w:proofErr w:type="spellStart"/>
            <w:r>
              <w:t>with</w:t>
            </w:r>
            <w:proofErr w:type="spellEnd"/>
            <w:r>
              <w:t xml:space="preserve"> </w:t>
            </w:r>
            <w:proofErr w:type="spellStart"/>
            <w:r>
              <w:t>values</w:t>
            </w:r>
            <w:proofErr w:type="spellEnd"/>
            <w:r>
              <w:t xml:space="preserve"> close </w:t>
            </w:r>
            <w:proofErr w:type="spellStart"/>
            <w:r>
              <w:t>to</w:t>
            </w:r>
            <w:proofErr w:type="spellEnd"/>
            <w:r>
              <w:t xml:space="preserve"> 1.0 </w:t>
            </w:r>
            <w:proofErr w:type="spellStart"/>
            <w:r>
              <w:t>indicating</w:t>
            </w:r>
            <w:proofErr w:type="spellEnd"/>
            <w:r>
              <w:t xml:space="preserve"> </w:t>
            </w:r>
            <w:proofErr w:type="spellStart"/>
            <w:r>
              <w:t>greater</w:t>
            </w:r>
            <w:proofErr w:type="spellEnd"/>
            <w:r>
              <w:t xml:space="preserve"> </w:t>
            </w:r>
            <w:proofErr w:type="spellStart"/>
            <w:r>
              <w:t>reliability</w:t>
            </w:r>
            <w:proofErr w:type="spellEnd"/>
            <w:r>
              <w:t xml:space="preserve"> (</w:t>
            </w:r>
            <w:proofErr w:type="spellStart"/>
            <w:r>
              <w:t>Elsman</w:t>
            </w:r>
            <w:proofErr w:type="spellEnd"/>
            <w:r>
              <w:t xml:space="preserve"> et al., 2024). </w:t>
            </w:r>
            <w:proofErr w:type="spellStart"/>
            <w:r>
              <w:t>Coefficients</w:t>
            </w:r>
            <w:proofErr w:type="spellEnd"/>
            <w:r>
              <w:t xml:space="preserve"> </w:t>
            </w:r>
            <w:proofErr w:type="spellStart"/>
            <w:r>
              <w:t>between</w:t>
            </w:r>
            <w:proofErr w:type="spellEnd"/>
            <w:r>
              <w:t xml:space="preserve"> 0.60 </w:t>
            </w:r>
            <w:proofErr w:type="spellStart"/>
            <w:r>
              <w:t>and</w:t>
            </w:r>
            <w:proofErr w:type="spellEnd"/>
            <w:r>
              <w:t xml:space="preserve"> 0.70 </w:t>
            </w:r>
            <w:proofErr w:type="spellStart"/>
            <w:r>
              <w:t>were</w:t>
            </w:r>
            <w:proofErr w:type="spellEnd"/>
            <w:r>
              <w:t xml:space="preserve"> </w:t>
            </w:r>
            <w:proofErr w:type="spellStart"/>
            <w:r>
              <w:t>considered</w:t>
            </w:r>
            <w:proofErr w:type="spellEnd"/>
            <w:r>
              <w:t xml:space="preserve"> </w:t>
            </w:r>
            <w:proofErr w:type="spellStart"/>
            <w:r>
              <w:t>acceptable</w:t>
            </w:r>
            <w:proofErr w:type="spellEnd"/>
            <w:r>
              <w:t xml:space="preserve">, </w:t>
            </w:r>
            <w:proofErr w:type="spellStart"/>
            <w:r>
              <w:t>and</w:t>
            </w:r>
            <w:proofErr w:type="spellEnd"/>
            <w:r>
              <w:t xml:space="preserve"> </w:t>
            </w:r>
            <w:proofErr w:type="spellStart"/>
            <w:r>
              <w:t>values</w:t>
            </w:r>
            <w:proofErr w:type="spellEnd"/>
            <w:r>
              <w:t xml:space="preserve"> ≥ 0.80 </w:t>
            </w:r>
            <w:proofErr w:type="spellStart"/>
            <w:r>
              <w:t>indicated</w:t>
            </w:r>
            <w:proofErr w:type="spellEnd"/>
            <w:r>
              <w:t xml:space="preserve"> </w:t>
            </w:r>
            <w:proofErr w:type="spellStart"/>
            <w:r>
              <w:t>very</w:t>
            </w:r>
            <w:proofErr w:type="spellEnd"/>
            <w:r>
              <w:t xml:space="preserve"> </w:t>
            </w:r>
            <w:proofErr w:type="spellStart"/>
            <w:r>
              <w:t>good</w:t>
            </w:r>
            <w:proofErr w:type="spellEnd"/>
            <w:r>
              <w:t xml:space="preserve"> </w:t>
            </w:r>
            <w:proofErr w:type="spellStart"/>
            <w:r>
              <w:t>reliability</w:t>
            </w:r>
            <w:proofErr w:type="spellEnd"/>
            <w:r>
              <w:t xml:space="preserve"> (</w:t>
            </w:r>
            <w:proofErr w:type="spellStart"/>
            <w:r>
              <w:t>Kalkbrenner</w:t>
            </w:r>
            <w:proofErr w:type="spellEnd"/>
            <w:r>
              <w:t xml:space="preserve">, 2024). When </w:t>
            </w:r>
            <w:proofErr w:type="spellStart"/>
            <w:r>
              <w:t>reported</w:t>
            </w:r>
            <w:proofErr w:type="spellEnd"/>
            <w:r>
              <w:t xml:space="preserve">, </w:t>
            </w:r>
            <w:proofErr w:type="spellStart"/>
            <w:r>
              <w:t>the</w:t>
            </w:r>
            <w:proofErr w:type="spellEnd"/>
            <w:r>
              <w:t xml:space="preserve"> </w:t>
            </w:r>
            <w:proofErr w:type="spellStart"/>
            <w:r>
              <w:t>omega</w:t>
            </w:r>
            <w:proofErr w:type="spellEnd"/>
            <w:r>
              <w:t xml:space="preserve"> </w:t>
            </w:r>
            <w:proofErr w:type="spellStart"/>
            <w:r>
              <w:t>coefficient</w:t>
            </w:r>
            <w:proofErr w:type="spellEnd"/>
            <w:r>
              <w:t xml:space="preserve"> </w:t>
            </w:r>
            <w:proofErr w:type="spellStart"/>
            <w:r>
              <w:t>above</w:t>
            </w:r>
            <w:proofErr w:type="spellEnd"/>
            <w:r>
              <w:t xml:space="preserve"> 0.80 </w:t>
            </w:r>
            <w:proofErr w:type="spellStart"/>
            <w:r>
              <w:t>was</w:t>
            </w:r>
            <w:proofErr w:type="spellEnd"/>
            <w:r>
              <w:t xml:space="preserve"> </w:t>
            </w:r>
            <w:proofErr w:type="spellStart"/>
            <w:r>
              <w:t>interpreted</w:t>
            </w:r>
            <w:proofErr w:type="spellEnd"/>
            <w:r>
              <w:t xml:space="preserve"> as </w:t>
            </w:r>
            <w:proofErr w:type="spellStart"/>
            <w:r>
              <w:t>good</w:t>
            </w:r>
            <w:proofErr w:type="spellEnd"/>
            <w:r>
              <w:t xml:space="preserve"> </w:t>
            </w:r>
            <w:proofErr w:type="spellStart"/>
            <w:r>
              <w:t>internal</w:t>
            </w:r>
            <w:proofErr w:type="spellEnd"/>
            <w:r>
              <w:t xml:space="preserve"> </w:t>
            </w:r>
            <w:proofErr w:type="spellStart"/>
            <w:r>
              <w:t>reliability</w:t>
            </w:r>
            <w:proofErr w:type="spellEnd"/>
            <w:r>
              <w:t xml:space="preserve"> (Hayes &amp; </w:t>
            </w:r>
            <w:proofErr w:type="spellStart"/>
            <w:r>
              <w:t>Coutts</w:t>
            </w:r>
            <w:proofErr w:type="spellEnd"/>
            <w:r>
              <w:t>, 2020).</w:t>
            </w:r>
          </w:p>
        </w:tc>
      </w:tr>
      <w:tr w:rsidR="00AB0B4E" w:rsidRPr="005A7CCE" w14:paraId="72C1B537"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C04518E" w14:textId="77777777" w:rsidR="00AB0B4E" w:rsidRDefault="00000000">
            <w:pPr>
              <w:spacing w:line="360" w:lineRule="auto"/>
              <w:jc w:val="center"/>
            </w:pPr>
            <w:r>
              <w:lastRenderedPageBreak/>
              <w:t>11</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B9C14D" w14:textId="77777777" w:rsidR="00AB0B4E" w:rsidRDefault="00000000">
            <w:pPr>
              <w:spacing w:line="360" w:lineRule="auto"/>
            </w:pPr>
            <w:proofErr w:type="spellStart"/>
            <w:r>
              <w:rPr>
                <w:b/>
                <w:bCs/>
              </w:rPr>
              <w:t>Measurement</w:t>
            </w:r>
            <w:proofErr w:type="spellEnd"/>
            <w:r>
              <w:rPr>
                <w:b/>
                <w:bCs/>
              </w:rPr>
              <w:t xml:space="preserve"> </w:t>
            </w:r>
            <w:proofErr w:type="spellStart"/>
            <w:r>
              <w:rPr>
                <w:b/>
                <w:bCs/>
              </w:rPr>
              <w:t>invariance</w:t>
            </w:r>
            <w:proofErr w:type="spellEnd"/>
            <w:r>
              <w:rPr>
                <w:b/>
                <w:bCs/>
              </w:rPr>
              <w:t xml:space="preserve"> </w:t>
            </w:r>
            <w:proofErr w:type="spellStart"/>
            <w:r>
              <w:rPr>
                <w:b/>
                <w:bCs/>
              </w:rPr>
              <w:t>evidence</w:t>
            </w:r>
            <w:proofErr w:type="spellEnd"/>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D398576" w14:textId="7A8E337A" w:rsidR="00AB0B4E" w:rsidRPr="005A7CCE" w:rsidRDefault="001C381C">
            <w:pPr>
              <w:spacing w:line="360" w:lineRule="auto"/>
              <w:jc w:val="both"/>
              <w:rPr>
                <w:lang w:val="en-US"/>
              </w:rPr>
            </w:pPr>
            <w:r>
              <w:t xml:space="preserve">It </w:t>
            </w:r>
            <w:proofErr w:type="spellStart"/>
            <w:r>
              <w:t>was</w:t>
            </w:r>
            <w:proofErr w:type="spellEnd"/>
            <w:r>
              <w:t xml:space="preserve"> </w:t>
            </w:r>
            <w:proofErr w:type="spellStart"/>
            <w:r>
              <w:t>verified</w:t>
            </w:r>
            <w:proofErr w:type="spellEnd"/>
            <w:r>
              <w:t xml:space="preserve"> </w:t>
            </w:r>
            <w:proofErr w:type="spellStart"/>
            <w:r>
              <w:t>whether</w:t>
            </w:r>
            <w:proofErr w:type="spellEnd"/>
            <w:r>
              <w:t xml:space="preserve"> </w:t>
            </w:r>
            <w:proofErr w:type="spellStart"/>
            <w:r>
              <w:t>the</w:t>
            </w:r>
            <w:proofErr w:type="spellEnd"/>
            <w:r>
              <w:t xml:space="preserve"> </w:t>
            </w:r>
            <w:proofErr w:type="spellStart"/>
            <w:r>
              <w:t>studies</w:t>
            </w:r>
            <w:proofErr w:type="spellEnd"/>
            <w:r>
              <w:t xml:space="preserve"> </w:t>
            </w:r>
            <w:proofErr w:type="spellStart"/>
            <w:r>
              <w:t>analyzed</w:t>
            </w:r>
            <w:proofErr w:type="spellEnd"/>
            <w:r>
              <w:t xml:space="preserve"> </w:t>
            </w:r>
            <w:proofErr w:type="spellStart"/>
            <w:r>
              <w:t>one</w:t>
            </w:r>
            <w:proofErr w:type="spellEnd"/>
            <w:r>
              <w:t xml:space="preserve"> </w:t>
            </w:r>
            <w:proofErr w:type="spellStart"/>
            <w:r>
              <w:t>or</w:t>
            </w:r>
            <w:proofErr w:type="spellEnd"/>
            <w:r>
              <w:t xml:space="preserve"> more </w:t>
            </w:r>
            <w:proofErr w:type="spellStart"/>
            <w:r>
              <w:t>demographic</w:t>
            </w:r>
            <w:proofErr w:type="spellEnd"/>
            <w:r>
              <w:t xml:space="preserve"> </w:t>
            </w:r>
            <w:proofErr w:type="spellStart"/>
            <w:r>
              <w:t>groups</w:t>
            </w:r>
            <w:proofErr w:type="spellEnd"/>
            <w:r>
              <w:t xml:space="preserve"> (e.g., </w:t>
            </w:r>
            <w:proofErr w:type="spellStart"/>
            <w:r>
              <w:t>gender</w:t>
            </w:r>
            <w:proofErr w:type="spellEnd"/>
            <w:r>
              <w:t xml:space="preserve">, </w:t>
            </w:r>
            <w:proofErr w:type="spellStart"/>
            <w:r>
              <w:t>ethnicity</w:t>
            </w:r>
            <w:proofErr w:type="spellEnd"/>
            <w:r>
              <w:t>/</w:t>
            </w:r>
            <w:proofErr w:type="spellStart"/>
            <w:r>
              <w:t>race</w:t>
            </w:r>
            <w:proofErr w:type="spellEnd"/>
            <w:r>
              <w:t xml:space="preserve">, </w:t>
            </w:r>
            <w:proofErr w:type="spellStart"/>
            <w:r>
              <w:t>and</w:t>
            </w:r>
            <w:proofErr w:type="spellEnd"/>
            <w:r>
              <w:t xml:space="preserve"> </w:t>
            </w:r>
            <w:proofErr w:type="spellStart"/>
            <w:r>
              <w:t>educational</w:t>
            </w:r>
            <w:proofErr w:type="spellEnd"/>
            <w:r>
              <w:t xml:space="preserve"> </w:t>
            </w:r>
            <w:proofErr w:type="spellStart"/>
            <w:r>
              <w:t>level</w:t>
            </w:r>
            <w:proofErr w:type="spellEnd"/>
            <w:r>
              <w:t xml:space="preserve">) </w:t>
            </w:r>
            <w:proofErr w:type="spellStart"/>
            <w:r>
              <w:t>using</w:t>
            </w:r>
            <w:proofErr w:type="spellEnd"/>
            <w:r>
              <w:t xml:space="preserve"> </w:t>
            </w:r>
            <w:proofErr w:type="spellStart"/>
            <w:r>
              <w:t>Multigroup</w:t>
            </w:r>
            <w:proofErr w:type="spellEnd"/>
            <w:r>
              <w:t xml:space="preserve"> </w:t>
            </w:r>
            <w:proofErr w:type="spellStart"/>
            <w:r>
              <w:t>Confirmatory</w:t>
            </w:r>
            <w:proofErr w:type="spellEnd"/>
            <w:r>
              <w:t xml:space="preserve"> Factor </w:t>
            </w:r>
            <w:proofErr w:type="spellStart"/>
            <w:r>
              <w:t>Analysis</w:t>
            </w:r>
            <w:proofErr w:type="spellEnd"/>
            <w:r>
              <w:t xml:space="preserve"> (MGCFA), a </w:t>
            </w:r>
            <w:proofErr w:type="spellStart"/>
            <w:r>
              <w:t>statistical</w:t>
            </w:r>
            <w:proofErr w:type="spellEnd"/>
            <w:r>
              <w:t xml:space="preserve"> procedure </w:t>
            </w:r>
            <w:proofErr w:type="spellStart"/>
            <w:r>
              <w:t>that</w:t>
            </w:r>
            <w:proofErr w:type="spellEnd"/>
            <w:r>
              <w:t xml:space="preserve"> </w:t>
            </w:r>
            <w:proofErr w:type="spellStart"/>
            <w:r>
              <w:t>evaluates</w:t>
            </w:r>
            <w:proofErr w:type="spellEnd"/>
            <w:r>
              <w:t xml:space="preserve"> </w:t>
            </w:r>
            <w:proofErr w:type="spellStart"/>
            <w:r>
              <w:t>the</w:t>
            </w:r>
            <w:proofErr w:type="spellEnd"/>
            <w:r>
              <w:t xml:space="preserve"> </w:t>
            </w:r>
            <w:proofErr w:type="spellStart"/>
            <w:r>
              <w:t>equivalence</w:t>
            </w:r>
            <w:proofErr w:type="spellEnd"/>
            <w:r>
              <w:t xml:space="preserve"> </w:t>
            </w:r>
            <w:proofErr w:type="spellStart"/>
            <w:r>
              <w:t>of</w:t>
            </w:r>
            <w:proofErr w:type="spellEnd"/>
            <w:r>
              <w:t xml:space="preserve"> </w:t>
            </w:r>
            <w:proofErr w:type="spellStart"/>
            <w:r>
              <w:t>the</w:t>
            </w:r>
            <w:proofErr w:type="spellEnd"/>
            <w:r>
              <w:t xml:space="preserve"> </w:t>
            </w:r>
            <w:proofErr w:type="spellStart"/>
            <w:r>
              <w:t>structural</w:t>
            </w:r>
            <w:proofErr w:type="spellEnd"/>
            <w:r>
              <w:t xml:space="preserve"> </w:t>
            </w:r>
            <w:proofErr w:type="spellStart"/>
            <w:r>
              <w:t>equation</w:t>
            </w:r>
            <w:proofErr w:type="spellEnd"/>
            <w:r>
              <w:t xml:space="preserve"> model </w:t>
            </w:r>
            <w:proofErr w:type="spellStart"/>
            <w:r>
              <w:t>across</w:t>
            </w:r>
            <w:proofErr w:type="spellEnd"/>
            <w:r>
              <w:t xml:space="preserve"> </w:t>
            </w:r>
            <w:proofErr w:type="spellStart"/>
            <w:r>
              <w:t>different</w:t>
            </w:r>
            <w:proofErr w:type="spellEnd"/>
            <w:r>
              <w:t xml:space="preserve"> </w:t>
            </w:r>
            <w:proofErr w:type="spellStart"/>
            <w:r>
              <w:t>groups</w:t>
            </w:r>
            <w:proofErr w:type="spellEnd"/>
            <w:r>
              <w:t xml:space="preserve"> </w:t>
            </w:r>
            <w:proofErr w:type="spellStart"/>
            <w:r>
              <w:t>or</w:t>
            </w:r>
            <w:proofErr w:type="spellEnd"/>
            <w:r>
              <w:t xml:space="preserve"> </w:t>
            </w:r>
            <w:proofErr w:type="spellStart"/>
            <w:r>
              <w:t>populations</w:t>
            </w:r>
            <w:proofErr w:type="spellEnd"/>
            <w:r>
              <w:t xml:space="preserve"> (</w:t>
            </w:r>
            <w:proofErr w:type="spellStart"/>
            <w:r>
              <w:t>Marôco</w:t>
            </w:r>
            <w:proofErr w:type="spellEnd"/>
            <w:r>
              <w:t xml:space="preserve">, 2021). The </w:t>
            </w:r>
            <w:proofErr w:type="spellStart"/>
            <w:r>
              <w:t>invariance</w:t>
            </w:r>
            <w:proofErr w:type="spellEnd"/>
            <w:r>
              <w:t xml:space="preserve"> models </w:t>
            </w:r>
            <w:proofErr w:type="spellStart"/>
            <w:r>
              <w:t>tested</w:t>
            </w:r>
            <w:proofErr w:type="spellEnd"/>
            <w:r>
              <w:t xml:space="preserve"> </w:t>
            </w:r>
            <w:proofErr w:type="spellStart"/>
            <w:r>
              <w:t>were</w:t>
            </w:r>
            <w:proofErr w:type="spellEnd"/>
            <w:r>
              <w:t xml:space="preserve">: </w:t>
            </w:r>
            <w:proofErr w:type="spellStart"/>
            <w:r>
              <w:t>configural</w:t>
            </w:r>
            <w:proofErr w:type="spellEnd"/>
            <w:r>
              <w:t xml:space="preserve">, </w:t>
            </w:r>
            <w:proofErr w:type="spellStart"/>
            <w:r>
              <w:t>threshold</w:t>
            </w:r>
            <w:proofErr w:type="spellEnd"/>
            <w:r>
              <w:t xml:space="preserve">, </w:t>
            </w:r>
            <w:proofErr w:type="spellStart"/>
            <w:r>
              <w:t>metric</w:t>
            </w:r>
            <w:proofErr w:type="spellEnd"/>
            <w:r>
              <w:t xml:space="preserve">, </w:t>
            </w:r>
            <w:proofErr w:type="spellStart"/>
            <w:r>
              <w:t>and</w:t>
            </w:r>
            <w:proofErr w:type="spellEnd"/>
            <w:r>
              <w:t xml:space="preserve"> </w:t>
            </w:r>
            <w:proofErr w:type="spellStart"/>
            <w:r>
              <w:t>scalar</w:t>
            </w:r>
            <w:proofErr w:type="spellEnd"/>
            <w:r>
              <w:t xml:space="preserve">. </w:t>
            </w:r>
            <w:proofErr w:type="spellStart"/>
            <w:r>
              <w:t>An</w:t>
            </w:r>
            <w:proofErr w:type="spellEnd"/>
            <w:r>
              <w:t xml:space="preserve"> </w:t>
            </w:r>
            <w:proofErr w:type="spellStart"/>
            <w:r>
              <w:t>instrument</w:t>
            </w:r>
            <w:proofErr w:type="spellEnd"/>
            <w:r>
              <w:t xml:space="preserve"> </w:t>
            </w:r>
            <w:proofErr w:type="spellStart"/>
            <w:r>
              <w:t>is</w:t>
            </w:r>
            <w:proofErr w:type="spellEnd"/>
            <w:r>
              <w:t xml:space="preserve"> </w:t>
            </w:r>
            <w:proofErr w:type="spellStart"/>
            <w:r>
              <w:t>considered</w:t>
            </w:r>
            <w:proofErr w:type="spellEnd"/>
            <w:r>
              <w:t xml:space="preserve"> non-</w:t>
            </w:r>
            <w:proofErr w:type="spellStart"/>
            <w:r>
              <w:t>invariant</w:t>
            </w:r>
            <w:proofErr w:type="spellEnd"/>
            <w:r>
              <w:t xml:space="preserve"> </w:t>
            </w:r>
            <w:proofErr w:type="spellStart"/>
            <w:r>
              <w:t>if</w:t>
            </w:r>
            <w:proofErr w:type="spellEnd"/>
            <w:r>
              <w:t xml:space="preserve"> it </w:t>
            </w:r>
            <w:proofErr w:type="spellStart"/>
            <w:r>
              <w:t>meets</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variation</w:t>
            </w:r>
            <w:proofErr w:type="spellEnd"/>
            <w:r>
              <w:t xml:space="preserve"> (Δ) </w:t>
            </w:r>
            <w:proofErr w:type="spellStart"/>
            <w:r>
              <w:t>criteria</w:t>
            </w:r>
            <w:proofErr w:type="spellEnd"/>
            <w:r>
              <w:t xml:space="preserve"> </w:t>
            </w:r>
            <w:proofErr w:type="spellStart"/>
            <w:r>
              <w:t>across</w:t>
            </w:r>
            <w:proofErr w:type="spellEnd"/>
            <w:r>
              <w:t xml:space="preserve"> </w:t>
            </w:r>
            <w:proofErr w:type="spellStart"/>
            <w:r>
              <w:t>hierarchically</w:t>
            </w:r>
            <w:proofErr w:type="spellEnd"/>
            <w:r>
              <w:t xml:space="preserve"> </w:t>
            </w:r>
            <w:proofErr w:type="spellStart"/>
            <w:r>
              <w:t>nested</w:t>
            </w:r>
            <w:proofErr w:type="spellEnd"/>
            <w:r>
              <w:t xml:space="preserve"> models (</w:t>
            </w:r>
            <w:proofErr w:type="spellStart"/>
            <w:r>
              <w:t>configural</w:t>
            </w:r>
            <w:proofErr w:type="spellEnd"/>
            <w:r>
              <w:t xml:space="preserve"> → </w:t>
            </w:r>
            <w:proofErr w:type="spellStart"/>
            <w:r>
              <w:t>threshold</w:t>
            </w:r>
            <w:proofErr w:type="spellEnd"/>
            <w:r>
              <w:t xml:space="preserve"> → </w:t>
            </w:r>
            <w:proofErr w:type="spellStart"/>
            <w:r>
              <w:t>metric</w:t>
            </w:r>
            <w:proofErr w:type="spellEnd"/>
            <w:r>
              <w:t xml:space="preserve"> → </w:t>
            </w:r>
            <w:proofErr w:type="spellStart"/>
            <w:r>
              <w:t>scalar</w:t>
            </w:r>
            <w:proofErr w:type="spellEnd"/>
            <w:r>
              <w:t xml:space="preserve">): ΔCFI ≤ -0.010, ΔRMSEA ≥ 0.015, ΔSRMR ≥ 0.010, </w:t>
            </w:r>
            <w:proofErr w:type="spellStart"/>
            <w:r>
              <w:t>ΔMcDonald's</w:t>
            </w:r>
            <w:proofErr w:type="spellEnd"/>
            <w:r>
              <w:t xml:space="preserve"> NCI ≤ -0.020, </w:t>
            </w:r>
            <w:proofErr w:type="spellStart"/>
            <w:r>
              <w:t>and</w:t>
            </w:r>
            <w:proofErr w:type="spellEnd"/>
            <w:r>
              <w:t xml:space="preserve"> </w:t>
            </w:r>
            <w:proofErr w:type="spellStart"/>
            <w:r>
              <w:t>ΔGamma</w:t>
            </w:r>
            <w:proofErr w:type="spellEnd"/>
            <w:r>
              <w:t xml:space="preserve"> </w:t>
            </w:r>
            <w:proofErr w:type="spellStart"/>
            <w:r>
              <w:t>hat</w:t>
            </w:r>
            <w:proofErr w:type="spellEnd"/>
            <w:r>
              <w:t xml:space="preserve"> ≤ 0.008.</w:t>
            </w:r>
          </w:p>
        </w:tc>
      </w:tr>
      <w:tr w:rsidR="00AB0B4E" w:rsidRPr="005A7CCE" w14:paraId="2A9B93A9"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C51E569" w14:textId="77777777" w:rsidR="00AB0B4E" w:rsidRDefault="00000000">
            <w:pPr>
              <w:spacing w:line="360" w:lineRule="auto"/>
              <w:jc w:val="center"/>
            </w:pPr>
            <w:r>
              <w:t>12</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CDAAC4F" w14:textId="77777777" w:rsidR="00AB0B4E" w:rsidRPr="005A7CCE" w:rsidRDefault="00000000">
            <w:pPr>
              <w:spacing w:line="360" w:lineRule="auto"/>
              <w:rPr>
                <w:lang w:val="en-US"/>
              </w:rPr>
            </w:pPr>
            <w:r w:rsidRPr="005A7CCE">
              <w:rPr>
                <w:b/>
                <w:bCs/>
                <w:lang w:val="en-US"/>
              </w:rPr>
              <w:t>Other psychometric properties (item quality assessment)</w:t>
            </w:r>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C113143" w14:textId="11695A22" w:rsidR="00AB0B4E" w:rsidRPr="005A7CCE" w:rsidRDefault="00000000">
            <w:pPr>
              <w:spacing w:line="360" w:lineRule="auto"/>
              <w:jc w:val="both"/>
              <w:rPr>
                <w:lang w:val="en-US"/>
              </w:rPr>
            </w:pPr>
            <w:r w:rsidRPr="005A7CCE">
              <w:rPr>
                <w:lang w:val="en-US"/>
              </w:rPr>
              <w:t>It was verified whether studies reported reliability considering variance attributable to true differences between participants, assessed by item consistency (how items capture variations in participants’ abilities) and by precision of latent trait (</w:t>
            </w:r>
            <w:r>
              <w:t>θ</w:t>
            </w:r>
            <w:r w:rsidRPr="005A7CCE">
              <w:rPr>
                <w:lang w:val="en-US"/>
              </w:rPr>
              <w:t xml:space="preserve">) estimates, based on the discrimination (a) and difficulty (b) parameters. IRT with </w:t>
            </w:r>
            <w:proofErr w:type="spellStart"/>
            <w:r w:rsidRPr="005A7CCE">
              <w:rPr>
                <w:lang w:val="en-US"/>
              </w:rPr>
              <w:t>Reckase’s</w:t>
            </w:r>
            <w:proofErr w:type="spellEnd"/>
            <w:r w:rsidRPr="005A7CCE">
              <w:rPr>
                <w:lang w:val="en-US"/>
              </w:rPr>
              <w:t xml:space="preserve"> (1985) MIRT may be used for item quality assessment, suitable for ordered polytomous categories such as “almost never” to “almost always” on a multidimensional Likert-</w:t>
            </w:r>
            <w:r w:rsidRPr="005A7CCE">
              <w:rPr>
                <w:lang w:val="en-US"/>
              </w:rPr>
              <w:lastRenderedPageBreak/>
              <w:t xml:space="preserve">type scale like the CS. Parameter </w:t>
            </w:r>
            <w:proofErr w:type="gramStart"/>
            <w:r w:rsidRPr="005A7CCE">
              <w:rPr>
                <w:lang w:val="en-US"/>
              </w:rPr>
              <w:t>a</w:t>
            </w:r>
            <w:proofErr w:type="gramEnd"/>
            <w:r w:rsidRPr="005A7CCE">
              <w:rPr>
                <w:lang w:val="en-US"/>
              </w:rPr>
              <w:t xml:space="preserve"> expresses the item’s ability to distinguish individuals at different latent trait levels: values above 1.35 indicate high discrimination, between </w:t>
            </w:r>
            <w:r w:rsidR="001C381C">
              <w:rPr>
                <w:lang w:val="en-US"/>
              </w:rPr>
              <w:t>0</w:t>
            </w:r>
            <w:r w:rsidRPr="005A7CCE">
              <w:rPr>
                <w:lang w:val="en-US"/>
              </w:rPr>
              <w:t xml:space="preserve">.65 and 1.34 moderate discrimination, and below </w:t>
            </w:r>
            <w:r w:rsidR="001C381C">
              <w:rPr>
                <w:lang w:val="en-US"/>
              </w:rPr>
              <w:t>0</w:t>
            </w:r>
            <w:r w:rsidRPr="005A7CCE">
              <w:rPr>
                <w:lang w:val="en-US"/>
              </w:rPr>
              <w:t xml:space="preserve">.65 low discrimination. Parameter b reflects the trait level required for a 50% probability of a positive response, indicating item difficulty. Positive </w:t>
            </w:r>
            <w:r>
              <w:t>θ</w:t>
            </w:r>
            <w:r w:rsidRPr="005A7CCE">
              <w:rPr>
                <w:lang w:val="en-US"/>
              </w:rPr>
              <w:t xml:space="preserve"> values correspond to greater trait presence; negative values indicate lower presence. Reliability interpretation in IRT is based on two main parameters: the standard error of measurement (SE) and the test information function I(</w:t>
            </w:r>
            <w:r>
              <w:t>θ</w:t>
            </w:r>
            <w:r w:rsidRPr="005A7CCE">
              <w:rPr>
                <w:lang w:val="en-US"/>
              </w:rPr>
              <w:t xml:space="preserve">). Lower SE indicates greater precision in latent trait </w:t>
            </w:r>
            <w:r>
              <w:t>θ</w:t>
            </w:r>
            <w:r w:rsidRPr="005A7CCE">
              <w:rPr>
                <w:lang w:val="en-US"/>
              </w:rPr>
              <w:t xml:space="preserve"> estimation. The I(</w:t>
            </w:r>
            <w:r>
              <w:t>θ</w:t>
            </w:r>
            <w:r w:rsidRPr="005A7CCE">
              <w:rPr>
                <w:lang w:val="en-US"/>
              </w:rPr>
              <w:t>) function is computed as 1/SE², where higher values indicate greater measurement precision. Therefore, regions with low SE and high I(</w:t>
            </w:r>
            <w:r>
              <w:t>θ</w:t>
            </w:r>
            <w:r w:rsidRPr="005A7CCE">
              <w:rPr>
                <w:lang w:val="en-US"/>
              </w:rPr>
              <w:t>) provide more reliable latent trait estimates. Alternatively, Rasch analysis — traditionally applied to unidimensional instruments but also adaptable to multidimensional ones (Müller, 2020) — allows assessment of response consistency and item difficulty, as well as analysis of Infit (Information-weighted Fit) and Outfit (Outlier-sensitive Fit) values, which indicate item adequacy and respondent fit (values between 0.5 and 1.5 indicate good fit to the Partial Credit Model — PCM; Bond et al., 2020).</w:t>
            </w:r>
          </w:p>
        </w:tc>
      </w:tr>
      <w:tr w:rsidR="00AB0B4E" w:rsidRPr="005A7CCE" w14:paraId="66EDFFDE"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D7C7657" w14:textId="77777777" w:rsidR="00AB0B4E" w:rsidRDefault="00000000">
            <w:pPr>
              <w:spacing w:line="360" w:lineRule="auto"/>
              <w:jc w:val="center"/>
            </w:pPr>
            <w:r>
              <w:lastRenderedPageBreak/>
              <w:t>13</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AD4A713" w14:textId="77777777" w:rsidR="00AB0B4E" w:rsidRDefault="00000000">
            <w:pPr>
              <w:spacing w:line="360" w:lineRule="auto"/>
            </w:pPr>
            <w:proofErr w:type="spellStart"/>
            <w:r>
              <w:rPr>
                <w:b/>
                <w:bCs/>
              </w:rPr>
              <w:t>Measurement</w:t>
            </w:r>
            <w:proofErr w:type="spellEnd"/>
            <w:r>
              <w:rPr>
                <w:b/>
                <w:bCs/>
              </w:rPr>
              <w:t xml:space="preserve"> </w:t>
            </w:r>
            <w:proofErr w:type="spellStart"/>
            <w:r>
              <w:rPr>
                <w:b/>
                <w:bCs/>
              </w:rPr>
              <w:t>error</w:t>
            </w:r>
            <w:proofErr w:type="spellEnd"/>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B1A319B" w14:textId="77777777" w:rsidR="00AB0B4E" w:rsidRPr="005A7CCE" w:rsidRDefault="00000000">
            <w:pPr>
              <w:spacing w:line="360" w:lineRule="auto"/>
              <w:jc w:val="both"/>
              <w:rPr>
                <w:lang w:val="en-US"/>
              </w:rPr>
            </w:pPr>
            <w:r w:rsidRPr="005A7CCE">
              <w:rPr>
                <w:lang w:val="en-US"/>
              </w:rPr>
              <w:t>It was recorded whether authors reported procedures to monitor measurement error, which represents the portion of the score that does not reflect true changes in the construct, quantified by separating random error from true construct variation (</w:t>
            </w:r>
            <w:proofErr w:type="spellStart"/>
            <w:r w:rsidRPr="005A7CCE">
              <w:rPr>
                <w:lang w:val="en-US"/>
              </w:rPr>
              <w:t>Rhemtulla</w:t>
            </w:r>
            <w:proofErr w:type="spellEnd"/>
            <w:r w:rsidRPr="005A7CCE">
              <w:rPr>
                <w:lang w:val="en-US"/>
              </w:rPr>
              <w:t xml:space="preserve"> et al., 2020). In IRT, this process is achieved by adjusting scores based on item discrimination and difficulty parameters (Lang &amp; Tay, 2021). In Rasch analysis, error is modeled from the difference between observed and expected scores, considering item difficulty and respondent ability, ensuring more precise estimates (Bond et al., 2020).</w:t>
            </w:r>
          </w:p>
        </w:tc>
      </w:tr>
      <w:tr w:rsidR="00AB0B4E" w:rsidRPr="005A7CCE" w14:paraId="46C4A636"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37DCB87" w14:textId="77777777" w:rsidR="00AB0B4E" w:rsidRDefault="00000000">
            <w:pPr>
              <w:spacing w:line="360" w:lineRule="auto"/>
              <w:jc w:val="center"/>
            </w:pPr>
            <w:r>
              <w:t>14</w:t>
            </w:r>
          </w:p>
        </w:tc>
        <w:tc>
          <w:tcPr>
            <w:tcW w:w="2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F5D8C1" w14:textId="77777777" w:rsidR="00AB0B4E" w:rsidRPr="005A7CCE" w:rsidRDefault="00000000">
            <w:pPr>
              <w:spacing w:line="360" w:lineRule="auto"/>
              <w:rPr>
                <w:lang w:val="en-US"/>
              </w:rPr>
            </w:pPr>
            <w:r w:rsidRPr="005A7CCE">
              <w:rPr>
                <w:b/>
                <w:bCs/>
                <w:lang w:val="en-US"/>
              </w:rPr>
              <w:t>Limitations and gaps in studies on the psychometric properties of the CS</w:t>
            </w:r>
          </w:p>
        </w:tc>
        <w:tc>
          <w:tcPr>
            <w:tcW w:w="56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1892E5E" w14:textId="77777777" w:rsidR="00AB0B4E" w:rsidRPr="005A7CCE" w:rsidRDefault="00000000">
            <w:pPr>
              <w:spacing w:line="360" w:lineRule="auto"/>
              <w:jc w:val="both"/>
              <w:rPr>
                <w:lang w:val="en-US"/>
              </w:rPr>
            </w:pPr>
            <w:r w:rsidRPr="005A7CCE">
              <w:rPr>
                <w:lang w:val="en-US"/>
              </w:rPr>
              <w:t>It was verified whether the studies acknowledged methodological limitations, reporting gaps, and identified directions for future research on CS psychometric properties.</w:t>
            </w:r>
          </w:p>
        </w:tc>
      </w:tr>
    </w:tbl>
    <w:p w14:paraId="26D3BA5F" w14:textId="412F8052" w:rsidR="0095509B" w:rsidRPr="005A7CCE" w:rsidRDefault="00000000">
      <w:pPr>
        <w:spacing w:before="240" w:after="240" w:line="360" w:lineRule="auto"/>
        <w:jc w:val="both"/>
        <w:rPr>
          <w:lang w:val="en-US"/>
        </w:rPr>
      </w:pPr>
      <w:r w:rsidRPr="005A7CCE">
        <w:rPr>
          <w:b/>
          <w:bCs/>
          <w:i/>
          <w:iCs/>
          <w:lang w:val="en-US"/>
        </w:rPr>
        <w:t xml:space="preserve">Note. </w:t>
      </w:r>
      <w:r w:rsidRPr="005A7CCE">
        <w:rPr>
          <w:lang w:val="en-US"/>
        </w:rPr>
        <w:t xml:space="preserve">CS = Compassion Scale; CFA = Confirmatory Factor Analysis; ESEM = Exploratory Structural Equation Modeling; SEM = Structural Equation Modeling; IRT = Item Response Theory; MIRT = Multidimensional Item Response Theory; GRM = Graded Response Model; PCM = Partial Credit Model; DIF = Differential Item </w:t>
      </w:r>
      <w:r w:rsidRPr="005A7CCE">
        <w:rPr>
          <w:lang w:val="en-US"/>
        </w:rPr>
        <w:lastRenderedPageBreak/>
        <w:t xml:space="preserve">Functioning; MGCFA = Multigroup Confirmatory Factor Analysis; AVE = Average Variance Extracted; CR = Composite Reliability; HTMT = </w:t>
      </w:r>
      <w:proofErr w:type="spellStart"/>
      <w:r w:rsidRPr="005A7CCE">
        <w:rPr>
          <w:lang w:val="en-US"/>
        </w:rPr>
        <w:t>Heterotrait</w:t>
      </w:r>
      <w:proofErr w:type="spellEnd"/>
      <w:r w:rsidRPr="005A7CCE">
        <w:rPr>
          <w:lang w:val="en-US"/>
        </w:rPr>
        <w:t>–</w:t>
      </w:r>
      <w:proofErr w:type="spellStart"/>
      <w:r w:rsidRPr="005A7CCE">
        <w:rPr>
          <w:lang w:val="en-US"/>
        </w:rPr>
        <w:t>Monotrait</w:t>
      </w:r>
      <w:proofErr w:type="spellEnd"/>
      <w:r w:rsidRPr="005A7CCE">
        <w:rPr>
          <w:lang w:val="en-US"/>
        </w:rPr>
        <w:t xml:space="preserve"> Ratio; CFI = Comparative Fit Index; TLI = Tucker–Lewis Index; SRMR = Standardized Root Mean Square Residual; RMSEA = Root Mean Square Error of Approximation; AIC = Akaike Information Criterion; BIC = Bayesian Information Criterion. Data extraction was conducted by the first author and validated by the second author, who has expertise in Psychological Assessment and instrument development.</w:t>
      </w:r>
    </w:p>
    <w:p w14:paraId="285CE731" w14:textId="77777777" w:rsidR="00AB0B4E" w:rsidRPr="005A7CCE" w:rsidRDefault="00000000">
      <w:pPr>
        <w:spacing w:before="360" w:after="120"/>
        <w:rPr>
          <w:lang w:val="en-US"/>
        </w:rPr>
      </w:pPr>
      <w:r w:rsidRPr="005A7CCE">
        <w:rPr>
          <w:b/>
          <w:bCs/>
          <w:sz w:val="22"/>
          <w:szCs w:val="22"/>
          <w:lang w:val="en-US"/>
        </w:rPr>
        <w:t>References</w:t>
      </w:r>
    </w:p>
    <w:p w14:paraId="69043325" w14:textId="77777777" w:rsidR="00A82721" w:rsidRPr="005A7CCE" w:rsidRDefault="00A82721">
      <w:pPr>
        <w:spacing w:after="120" w:line="360" w:lineRule="auto"/>
        <w:ind w:left="720" w:hanging="720"/>
        <w:rPr>
          <w:lang w:val="en-US"/>
        </w:rPr>
      </w:pPr>
      <w:r w:rsidRPr="005A7CCE">
        <w:rPr>
          <w:lang w:val="en-US"/>
        </w:rPr>
        <w:t xml:space="preserve">Baker, F. B. (2001). </w:t>
      </w:r>
      <w:r w:rsidRPr="005A7CCE">
        <w:rPr>
          <w:i/>
          <w:iCs/>
          <w:lang w:val="en-US"/>
        </w:rPr>
        <w:t>The basics of item response theory</w:t>
      </w:r>
      <w:r w:rsidRPr="005A7CCE">
        <w:rPr>
          <w:lang w:val="en-US"/>
        </w:rPr>
        <w:t xml:space="preserve"> </w:t>
      </w:r>
      <w:r w:rsidRPr="005A7CCE">
        <w:rPr>
          <w:i/>
          <w:iCs/>
          <w:lang w:val="en-US"/>
        </w:rPr>
        <w:t>(2nd ed.).</w:t>
      </w:r>
      <w:r w:rsidRPr="005A7CCE">
        <w:rPr>
          <w:lang w:val="en-US"/>
        </w:rPr>
        <w:t xml:space="preserve"> ERIC Clearinghouse on Assessment and Evaluation.</w:t>
      </w:r>
    </w:p>
    <w:p w14:paraId="0F1E1228" w14:textId="131007B4" w:rsidR="00AB0B4E" w:rsidRPr="005A7CCE" w:rsidRDefault="00000000">
      <w:pPr>
        <w:spacing w:after="120" w:line="360" w:lineRule="auto"/>
        <w:ind w:left="720" w:hanging="720"/>
        <w:rPr>
          <w:lang w:val="en-US"/>
        </w:rPr>
      </w:pPr>
      <w:r w:rsidRPr="005A7CCE">
        <w:rPr>
          <w:lang w:val="en-US"/>
        </w:rPr>
        <w:t>Bond, T., Yan, Z., &amp; Heene, M. (2020). Applying the Rasch model: Fundamental measurement in the human sciences (4th ed.). Routledge.</w:t>
      </w:r>
    </w:p>
    <w:p w14:paraId="0FAB2EDC" w14:textId="77777777" w:rsidR="00AB0B4E" w:rsidRPr="005A7CCE" w:rsidRDefault="00000000">
      <w:pPr>
        <w:spacing w:after="120" w:line="360" w:lineRule="auto"/>
        <w:ind w:left="720" w:hanging="720"/>
        <w:rPr>
          <w:lang w:val="en-US"/>
        </w:rPr>
      </w:pPr>
      <w:r w:rsidRPr="005A7CCE">
        <w:rPr>
          <w:lang w:val="en-US"/>
        </w:rPr>
        <w:t xml:space="preserve">Choi, S. W., Gibbons, L. E., &amp; Crane, P. K. (2011). </w:t>
      </w:r>
      <w:proofErr w:type="spellStart"/>
      <w:r w:rsidRPr="005A7CCE">
        <w:rPr>
          <w:lang w:val="en-US"/>
        </w:rPr>
        <w:t>lordif</w:t>
      </w:r>
      <w:proofErr w:type="spellEnd"/>
      <w:r w:rsidRPr="005A7CCE">
        <w:rPr>
          <w:lang w:val="en-US"/>
        </w:rPr>
        <w:t>: An R package for detecting differential item functioning using iterative hybrid ordinal logistic regression/item response theory and Monte Carlo simulations. Journal of Statistical Software, 39(8), 1–30. https://doi.org/10.18637/jss.v039.i08</w:t>
      </w:r>
    </w:p>
    <w:p w14:paraId="35317119" w14:textId="77777777" w:rsidR="00AB0B4E" w:rsidRPr="005A7CCE" w:rsidRDefault="00000000">
      <w:pPr>
        <w:spacing w:after="120" w:line="360" w:lineRule="auto"/>
        <w:ind w:left="720" w:hanging="720"/>
        <w:rPr>
          <w:lang w:val="en-US"/>
        </w:rPr>
      </w:pPr>
      <w:r w:rsidRPr="005A7CCE">
        <w:rPr>
          <w:lang w:val="en-US"/>
        </w:rPr>
        <w:t>Cohen, J. (2013). Statistical power analysis for the behavioral sciences (2nd ed., revised). Routledge.</w:t>
      </w:r>
    </w:p>
    <w:p w14:paraId="44CC8CA2" w14:textId="77777777" w:rsidR="00AB0B4E" w:rsidRPr="005A7CCE" w:rsidRDefault="00000000">
      <w:pPr>
        <w:spacing w:after="120" w:line="360" w:lineRule="auto"/>
        <w:ind w:left="720" w:hanging="720"/>
        <w:rPr>
          <w:lang w:val="en-US"/>
        </w:rPr>
      </w:pPr>
      <w:r w:rsidRPr="005A7CCE">
        <w:rPr>
          <w:lang w:val="en-US"/>
        </w:rPr>
        <w:t xml:space="preserve">Elsman, E. B., </w:t>
      </w:r>
      <w:proofErr w:type="spellStart"/>
      <w:r w:rsidRPr="005A7CCE">
        <w:rPr>
          <w:lang w:val="en-US"/>
        </w:rPr>
        <w:t>Mokkink</w:t>
      </w:r>
      <w:proofErr w:type="spellEnd"/>
      <w:r w:rsidRPr="005A7CCE">
        <w:rPr>
          <w:lang w:val="en-US"/>
        </w:rPr>
        <w:t xml:space="preserve">, L. B., </w:t>
      </w:r>
      <w:proofErr w:type="spellStart"/>
      <w:r w:rsidRPr="005A7CCE">
        <w:rPr>
          <w:lang w:val="en-US"/>
        </w:rPr>
        <w:t>Terwee</w:t>
      </w:r>
      <w:proofErr w:type="spellEnd"/>
      <w:r w:rsidRPr="005A7CCE">
        <w:rPr>
          <w:lang w:val="en-US"/>
        </w:rPr>
        <w:t xml:space="preserve">, C. B., Beaton, D., Gagnier, J. J., </w:t>
      </w:r>
      <w:proofErr w:type="spellStart"/>
      <w:r w:rsidRPr="005A7CCE">
        <w:rPr>
          <w:lang w:val="en-US"/>
        </w:rPr>
        <w:t>Tricco</w:t>
      </w:r>
      <w:proofErr w:type="spellEnd"/>
      <w:r w:rsidRPr="005A7CCE">
        <w:rPr>
          <w:lang w:val="en-US"/>
        </w:rPr>
        <w:t xml:space="preserve">, A. C., … </w:t>
      </w:r>
      <w:r>
        <w:t xml:space="preserve">&amp; </w:t>
      </w:r>
      <w:proofErr w:type="spellStart"/>
      <w:r>
        <w:t>Offringa</w:t>
      </w:r>
      <w:proofErr w:type="spellEnd"/>
      <w:r>
        <w:t xml:space="preserve">, M. (2024). </w:t>
      </w:r>
      <w:r w:rsidRPr="005A7CCE">
        <w:rPr>
          <w:lang w:val="en-US"/>
        </w:rPr>
        <w:t>Guideline for reporting systematic reviews of outcome measurement instruments (OMIs): PRISMA-COSMIN for OMIs 2024. Quality of Life Research, 33, 2029–2046. https://doi.org/10.1007/s11136-024-03634-y</w:t>
      </w:r>
    </w:p>
    <w:p w14:paraId="763BFC0D" w14:textId="77777777" w:rsidR="00AB0B4E" w:rsidRPr="005A7CCE" w:rsidRDefault="00000000">
      <w:pPr>
        <w:spacing w:after="120" w:line="360" w:lineRule="auto"/>
        <w:ind w:left="720" w:hanging="720"/>
        <w:rPr>
          <w:lang w:val="en-US"/>
        </w:rPr>
      </w:pPr>
      <w:r w:rsidRPr="005A7CCE">
        <w:rPr>
          <w:lang w:val="en-US"/>
        </w:rPr>
        <w:t>Fornell, C., &amp; Larcker, D. F. (1981). Evaluating structural equation models with unobservable variables and measurement error. Journal of Marketing Research, 18(1), 39–50. https://doi.org/10.2307/3151312</w:t>
      </w:r>
    </w:p>
    <w:p w14:paraId="7641751B" w14:textId="77777777" w:rsidR="00AB0B4E" w:rsidRPr="005A7CCE" w:rsidRDefault="00000000">
      <w:pPr>
        <w:spacing w:after="120" w:line="360" w:lineRule="auto"/>
        <w:ind w:left="720" w:hanging="720"/>
        <w:rPr>
          <w:lang w:val="en-US"/>
        </w:rPr>
      </w:pPr>
      <w:r w:rsidRPr="005A7CCE">
        <w:rPr>
          <w:lang w:val="en-US"/>
        </w:rPr>
        <w:t xml:space="preserve">Hair Jr, J. F., Howard, M. C., &amp; </w:t>
      </w:r>
      <w:proofErr w:type="spellStart"/>
      <w:r w:rsidRPr="005A7CCE">
        <w:rPr>
          <w:lang w:val="en-US"/>
        </w:rPr>
        <w:t>Nitzl</w:t>
      </w:r>
      <w:proofErr w:type="spellEnd"/>
      <w:r w:rsidRPr="005A7CCE">
        <w:rPr>
          <w:lang w:val="en-US"/>
        </w:rPr>
        <w:t>, C. (2020). Assessing measurement model quality in PLS-SEM using confirmatory composite analysis. Journal of Business Research, 109, 101–110. https://doi.org/10.1016/j.jbusres.2019.11.069</w:t>
      </w:r>
    </w:p>
    <w:p w14:paraId="48368CB6" w14:textId="77777777" w:rsidR="00AB0B4E" w:rsidRPr="005A7CCE" w:rsidRDefault="00000000">
      <w:pPr>
        <w:spacing w:after="120" w:line="360" w:lineRule="auto"/>
        <w:ind w:left="720" w:hanging="720"/>
        <w:rPr>
          <w:lang w:val="en-US"/>
        </w:rPr>
      </w:pPr>
      <w:r w:rsidRPr="005A7CCE">
        <w:rPr>
          <w:lang w:val="en-US"/>
        </w:rPr>
        <w:t>Hanafiah, M. H. (2020). Formative vs. reflective measurement model: Guidelines for structural equation modeling research. International Journal of Analysis and Applications, 18(5), 876–889.</w:t>
      </w:r>
    </w:p>
    <w:p w14:paraId="6FC0FE5A" w14:textId="77777777" w:rsidR="00AB0B4E" w:rsidRPr="005A7CCE" w:rsidRDefault="00000000">
      <w:pPr>
        <w:spacing w:after="120" w:line="360" w:lineRule="auto"/>
        <w:ind w:left="720" w:hanging="720"/>
        <w:rPr>
          <w:lang w:val="en-US"/>
        </w:rPr>
      </w:pPr>
      <w:r w:rsidRPr="005A7CCE">
        <w:rPr>
          <w:lang w:val="en-US"/>
        </w:rPr>
        <w:t>Hayes, A. F., &amp; Coutts, J. J. (2020). Use omega rather than Cronbach’s alpha for estimating reliability. But…. Communication Methods and Measures, 14(1), 1–24. https://doi.org/10.1080/19312458.2020.1718629</w:t>
      </w:r>
    </w:p>
    <w:p w14:paraId="59EAB389" w14:textId="77777777" w:rsidR="00AB0B4E" w:rsidRPr="005A7CCE" w:rsidRDefault="00000000">
      <w:pPr>
        <w:spacing w:after="120" w:line="360" w:lineRule="auto"/>
        <w:ind w:left="720" w:hanging="720"/>
        <w:rPr>
          <w:lang w:val="en-US"/>
        </w:rPr>
      </w:pPr>
      <w:r w:rsidRPr="005A7CCE">
        <w:rPr>
          <w:lang w:val="en-US"/>
        </w:rPr>
        <w:t>Henseler, J., Ringle, C. M., &amp; Sarstedt, M. (2015). A new criterion for assessing discriminant validity in variance-based structural equation modeling. Journal of the Academy of Marketing Science, 43, 115–135. https://doi.org/10.1007/s11747-014-0403-8</w:t>
      </w:r>
    </w:p>
    <w:p w14:paraId="1BF67DBE" w14:textId="77777777" w:rsidR="00AB0B4E" w:rsidRPr="005A7CCE" w:rsidRDefault="00000000">
      <w:pPr>
        <w:spacing w:after="120" w:line="360" w:lineRule="auto"/>
        <w:ind w:left="720" w:hanging="720"/>
        <w:rPr>
          <w:lang w:val="en-US"/>
        </w:rPr>
      </w:pPr>
      <w:r w:rsidRPr="005A7CCE">
        <w:rPr>
          <w:lang w:val="es-CO"/>
        </w:rPr>
        <w:t xml:space="preserve">Hernández, A., Hidalgo, M. D., Hambleton, R. K., &amp; Gómez-Benito, J. (2020). </w:t>
      </w:r>
      <w:r w:rsidRPr="005A7CCE">
        <w:rPr>
          <w:lang w:val="en-US"/>
        </w:rPr>
        <w:t xml:space="preserve">International Test Commission guidelines for test adaptation: A criterion checklist. </w:t>
      </w:r>
      <w:proofErr w:type="spellStart"/>
      <w:r w:rsidRPr="005A7CCE">
        <w:rPr>
          <w:lang w:val="en-US"/>
        </w:rPr>
        <w:t>Psicothema</w:t>
      </w:r>
      <w:proofErr w:type="spellEnd"/>
      <w:r w:rsidRPr="005A7CCE">
        <w:rPr>
          <w:lang w:val="en-US"/>
        </w:rPr>
        <w:t>, 32(3), 390–398. https://doi.org/10.7334/psicothema2019.306</w:t>
      </w:r>
    </w:p>
    <w:p w14:paraId="5A4295DF" w14:textId="77777777" w:rsidR="00AB0B4E" w:rsidRPr="005A7CCE" w:rsidRDefault="00000000">
      <w:pPr>
        <w:spacing w:after="120" w:line="360" w:lineRule="auto"/>
        <w:ind w:left="720" w:hanging="720"/>
        <w:rPr>
          <w:lang w:val="en-US"/>
        </w:rPr>
      </w:pPr>
      <w:proofErr w:type="spellStart"/>
      <w:r w:rsidRPr="005A7CCE">
        <w:rPr>
          <w:lang w:val="en-US"/>
        </w:rPr>
        <w:lastRenderedPageBreak/>
        <w:t>Jané</w:t>
      </w:r>
      <w:proofErr w:type="spellEnd"/>
      <w:r w:rsidRPr="005A7CCE">
        <w:rPr>
          <w:lang w:val="en-US"/>
        </w:rPr>
        <w:t xml:space="preserve">, M., Xiao, Q., Yeung, S., Ben-Shachar, M. S., Caldwell, A., Cousineau, D., … </w:t>
      </w:r>
      <w:r>
        <w:t xml:space="preserve">&amp; Feldman, G. (2024). </w:t>
      </w:r>
      <w:r w:rsidRPr="005A7CCE">
        <w:rPr>
          <w:lang w:val="en-US"/>
        </w:rPr>
        <w:t>Guide to effect sizes and confidence intervals. https://doi.org/10.17605/OSF.IO/D8C4G</w:t>
      </w:r>
    </w:p>
    <w:p w14:paraId="477C8086" w14:textId="77777777" w:rsidR="00AB0B4E" w:rsidRPr="005A7CCE" w:rsidRDefault="00000000">
      <w:pPr>
        <w:spacing w:after="120" w:line="360" w:lineRule="auto"/>
        <w:ind w:left="720" w:hanging="720"/>
        <w:rPr>
          <w:lang w:val="en-US"/>
        </w:rPr>
      </w:pPr>
      <w:proofErr w:type="spellStart"/>
      <w:r>
        <w:t>Jayaweera</w:t>
      </w:r>
      <w:proofErr w:type="spellEnd"/>
      <w:r>
        <w:t xml:space="preserve">, I. N., &amp; Trindade, A. A. (2024). </w:t>
      </w:r>
      <w:r w:rsidRPr="005A7CCE">
        <w:rPr>
          <w:lang w:val="en-US"/>
        </w:rPr>
        <w:t>How certain are you of your minimum AIC or BIC values? Sankhya A, 86, 880–919. https://doi.org/10.1007/s13171-024-00344-y</w:t>
      </w:r>
    </w:p>
    <w:p w14:paraId="0E5B7FD5" w14:textId="77777777" w:rsidR="00AB0B4E" w:rsidRPr="005A7CCE" w:rsidRDefault="00000000">
      <w:pPr>
        <w:spacing w:after="120" w:line="360" w:lineRule="auto"/>
        <w:ind w:left="720" w:hanging="720"/>
        <w:rPr>
          <w:lang w:val="en-US"/>
        </w:rPr>
      </w:pPr>
      <w:r w:rsidRPr="005A7CCE">
        <w:rPr>
          <w:lang w:val="en-US"/>
        </w:rPr>
        <w:t>Kalkbrenner, M. T. (2024). Choosing between Cronbach’s coefficient alpha, McDonald’s coefficient omega, and coefficient H: Confidence intervals and the advantages and drawbacks of interpretive guidelines. Measurement and Evaluation in Counseling and Development, 57(2), 93–105. https://doi.org/10.1080/07481756.2023.2283637</w:t>
      </w:r>
    </w:p>
    <w:p w14:paraId="6743B81D" w14:textId="77777777" w:rsidR="00AB0B4E" w:rsidRPr="005A7CCE" w:rsidRDefault="00000000">
      <w:pPr>
        <w:spacing w:after="120" w:line="360" w:lineRule="auto"/>
        <w:ind w:left="720" w:hanging="720"/>
        <w:rPr>
          <w:lang w:val="en-US"/>
        </w:rPr>
      </w:pPr>
      <w:r w:rsidRPr="005A7CCE">
        <w:rPr>
          <w:lang w:val="en-US"/>
        </w:rPr>
        <w:t>Kline, R. B. (2023). Principles and practice of structural equation modeling (5th ed.). Guilford Publications.</w:t>
      </w:r>
    </w:p>
    <w:p w14:paraId="2BFB110B" w14:textId="77777777" w:rsidR="00AB0B4E" w:rsidRPr="005A7CCE" w:rsidRDefault="00000000">
      <w:pPr>
        <w:spacing w:after="120" w:line="360" w:lineRule="auto"/>
        <w:ind w:left="720" w:hanging="720"/>
        <w:rPr>
          <w:lang w:val="en-US"/>
        </w:rPr>
      </w:pPr>
      <w:r w:rsidRPr="005A7CCE">
        <w:rPr>
          <w:lang w:val="en-US"/>
        </w:rPr>
        <w:t>Lambert, L. S., &amp; Newman, D. A. (2023). Construct development and validation in three practical steps: Recommendations for reviewers, editors, and authors. Organizational Research Methods, 26(4), 574–607. https://doi.org/10.1177/10944281221115374</w:t>
      </w:r>
    </w:p>
    <w:p w14:paraId="59C9AB09" w14:textId="77777777" w:rsidR="00AB0B4E" w:rsidRPr="005A7CCE" w:rsidRDefault="00000000">
      <w:pPr>
        <w:spacing w:after="120" w:line="360" w:lineRule="auto"/>
        <w:ind w:left="720" w:hanging="720"/>
        <w:rPr>
          <w:lang w:val="en-US"/>
        </w:rPr>
      </w:pPr>
      <w:r w:rsidRPr="005A7CCE">
        <w:rPr>
          <w:lang w:val="en-US"/>
        </w:rPr>
        <w:t>Lang, J. W., &amp; Tay, L. (2021). The science and practice of item response theory in organizations. Annual Review of Organizational Psychology and Organizational Behavior, 8(1), 311–338. https://doi.org/10.1146/annurev-orgpsych-012420-061705</w:t>
      </w:r>
    </w:p>
    <w:p w14:paraId="04D75186" w14:textId="77777777" w:rsidR="00AB0B4E" w:rsidRPr="005A7CCE" w:rsidRDefault="00000000">
      <w:pPr>
        <w:spacing w:after="120" w:line="360" w:lineRule="auto"/>
        <w:ind w:left="720" w:hanging="720"/>
        <w:rPr>
          <w:lang w:val="en-US"/>
        </w:rPr>
      </w:pPr>
      <w:proofErr w:type="spellStart"/>
      <w:r>
        <w:t>Marôco</w:t>
      </w:r>
      <w:proofErr w:type="spellEnd"/>
      <w:r>
        <w:t xml:space="preserve">, J. (2021). Análise de equações estruturais: Fundamentos teóricos, software &amp; aplicações (3rd ed.). </w:t>
      </w:r>
      <w:r w:rsidRPr="005A7CCE">
        <w:rPr>
          <w:lang w:val="en-US"/>
        </w:rPr>
        <w:t>ReportNumber.</w:t>
      </w:r>
    </w:p>
    <w:p w14:paraId="535F46EA" w14:textId="77777777" w:rsidR="00AB0B4E" w:rsidRPr="005A7CCE" w:rsidRDefault="00000000">
      <w:pPr>
        <w:spacing w:after="120" w:line="360" w:lineRule="auto"/>
        <w:ind w:left="720" w:hanging="720"/>
        <w:rPr>
          <w:lang w:val="en-US"/>
        </w:rPr>
      </w:pPr>
      <w:proofErr w:type="spellStart"/>
      <w:r w:rsidRPr="005A7CCE">
        <w:rPr>
          <w:lang w:val="en-US"/>
        </w:rPr>
        <w:t>Mokkink</w:t>
      </w:r>
      <w:proofErr w:type="spellEnd"/>
      <w:r w:rsidRPr="005A7CCE">
        <w:rPr>
          <w:lang w:val="en-US"/>
        </w:rPr>
        <w:t xml:space="preserve">, L. B., Elsman, E., &amp; </w:t>
      </w:r>
      <w:proofErr w:type="spellStart"/>
      <w:r w:rsidRPr="005A7CCE">
        <w:rPr>
          <w:lang w:val="en-US"/>
        </w:rPr>
        <w:t>Terwee</w:t>
      </w:r>
      <w:proofErr w:type="spellEnd"/>
      <w:r w:rsidRPr="005A7CCE">
        <w:rPr>
          <w:lang w:val="en-US"/>
        </w:rPr>
        <w:t>, C. B. (2024). Conducting a systematic review of patient-reported outcome measures (COSMIN manual version 2.0). https://www.cosmin.nl/wp-content/uploads/COSMIN-manual-V2_7_4_final.pdf</w:t>
      </w:r>
    </w:p>
    <w:p w14:paraId="0930528E" w14:textId="77777777" w:rsidR="00AB0B4E" w:rsidRPr="005A7CCE" w:rsidRDefault="00000000">
      <w:pPr>
        <w:spacing w:after="120" w:line="360" w:lineRule="auto"/>
        <w:ind w:left="720" w:hanging="720"/>
        <w:rPr>
          <w:lang w:val="en-US"/>
        </w:rPr>
      </w:pPr>
      <w:r w:rsidRPr="005A7CCE">
        <w:rPr>
          <w:lang w:val="en-US"/>
        </w:rPr>
        <w:t>Müller, M. (2020). Item fit statistics for Rasch analysis: Can we trust them? Journal of Statistical Distributions and Applications, 7(5), 1–12. https://doi.org/10.1186/s40488-020-00108-7</w:t>
      </w:r>
    </w:p>
    <w:p w14:paraId="1DDBD95F" w14:textId="77777777" w:rsidR="00AB0B4E" w:rsidRPr="005A7CCE" w:rsidRDefault="00000000">
      <w:pPr>
        <w:spacing w:after="120" w:line="360" w:lineRule="auto"/>
        <w:ind w:left="720" w:hanging="720"/>
        <w:rPr>
          <w:lang w:val="en-US"/>
        </w:rPr>
      </w:pPr>
      <w:r w:rsidRPr="005A7CCE">
        <w:rPr>
          <w:lang w:val="en-US"/>
        </w:rPr>
        <w:t>Okoye, K., &amp; Hosseini, S. (2024). Correlation tests in R: Pearson Cor, Kendall’s Tau, and Spearman’s Rho. In K. Okoye &amp; S. Hosseini (Eds.), R programming: Statistical data analysis in research. Springer.</w:t>
      </w:r>
    </w:p>
    <w:p w14:paraId="162EC571" w14:textId="77777777" w:rsidR="00AB0B4E" w:rsidRPr="005A7CCE" w:rsidRDefault="00000000">
      <w:pPr>
        <w:spacing w:after="120" w:line="360" w:lineRule="auto"/>
        <w:ind w:left="720" w:hanging="720"/>
        <w:rPr>
          <w:lang w:val="en-US"/>
        </w:rPr>
      </w:pPr>
      <w:r w:rsidRPr="005A7CCE">
        <w:rPr>
          <w:lang w:val="en-US"/>
        </w:rPr>
        <w:t>Pommier, E., Neff, K. D., &amp; Tóth-Király, I. (2020). The development and validation of the Compassion Scale. Assessment, 27(1), 21–39. https://doi.org/10.1177/1073191119874108</w:t>
      </w:r>
    </w:p>
    <w:p w14:paraId="1B592ECF" w14:textId="77777777" w:rsidR="00AB0B4E" w:rsidRPr="005A7CCE" w:rsidRDefault="00000000">
      <w:pPr>
        <w:spacing w:after="120" w:line="360" w:lineRule="auto"/>
        <w:ind w:left="720" w:hanging="720"/>
        <w:rPr>
          <w:lang w:val="en-US"/>
        </w:rPr>
      </w:pPr>
      <w:proofErr w:type="spellStart"/>
      <w:r w:rsidRPr="005A7CCE">
        <w:rPr>
          <w:lang w:val="en-US"/>
        </w:rPr>
        <w:t>Reckase</w:t>
      </w:r>
      <w:proofErr w:type="spellEnd"/>
      <w:r w:rsidRPr="005A7CCE">
        <w:rPr>
          <w:lang w:val="en-US"/>
        </w:rPr>
        <w:t>, M. D. (1985). The difficulty of test items that measure more than one ability. Applied Psychological Measurement, 9(4), 401–412. https://doi.org/10.1177/014662168500900409</w:t>
      </w:r>
    </w:p>
    <w:p w14:paraId="47657BDD" w14:textId="77777777" w:rsidR="00AB0B4E" w:rsidRPr="005A7CCE" w:rsidRDefault="00000000">
      <w:pPr>
        <w:spacing w:after="120" w:line="360" w:lineRule="auto"/>
        <w:ind w:left="720" w:hanging="720"/>
        <w:rPr>
          <w:lang w:val="en-US"/>
        </w:rPr>
      </w:pPr>
      <w:proofErr w:type="spellStart"/>
      <w:r w:rsidRPr="005A7CCE">
        <w:rPr>
          <w:lang w:val="en-US"/>
        </w:rPr>
        <w:t>Reckase</w:t>
      </w:r>
      <w:proofErr w:type="spellEnd"/>
      <w:r w:rsidRPr="005A7CCE">
        <w:rPr>
          <w:lang w:val="en-US"/>
        </w:rPr>
        <w:t>, M. D., &amp; McKinley, R. L. (1991). The discriminating power of items that measure more than one dimension. Applied Psychological Measurement, 15(4), 361–373. https://doi.org/10.1177/014662169101500407</w:t>
      </w:r>
    </w:p>
    <w:p w14:paraId="1B4D9DC3" w14:textId="5A630CCA" w:rsidR="00AB0B4E" w:rsidRPr="005A7CCE" w:rsidRDefault="00000000">
      <w:pPr>
        <w:spacing w:after="120" w:line="360" w:lineRule="auto"/>
        <w:ind w:left="720" w:hanging="720"/>
        <w:rPr>
          <w:lang w:val="en-US"/>
        </w:rPr>
      </w:pPr>
      <w:proofErr w:type="spellStart"/>
      <w:r w:rsidRPr="005A7CCE">
        <w:rPr>
          <w:lang w:val="en-US"/>
        </w:rPr>
        <w:t>Rhemtulla</w:t>
      </w:r>
      <w:proofErr w:type="spellEnd"/>
      <w:r w:rsidRPr="005A7CCE">
        <w:rPr>
          <w:lang w:val="en-US"/>
        </w:rPr>
        <w:t xml:space="preserve">, M., van Bork, R., &amp; Borsboom, D. (2020). Worse than measurement error: Consequences of inappropriate latent variable measurement models. Psychological Methods, 25(1), 30–45. </w:t>
      </w:r>
      <w:r w:rsidR="0095509B" w:rsidRPr="005A7CCE">
        <w:rPr>
          <w:lang w:val="en-US"/>
        </w:rPr>
        <w:t>https://doi.org/10.1037/met0000220</w:t>
      </w:r>
    </w:p>
    <w:p w14:paraId="2D996F9A" w14:textId="67E6688E" w:rsidR="00636DB3" w:rsidRPr="005A7CCE" w:rsidRDefault="0095509B" w:rsidP="00636DB3">
      <w:pPr>
        <w:ind w:left="720" w:hanging="720"/>
        <w:jc w:val="both"/>
        <w:rPr>
          <w:rStyle w:val="anchor-text"/>
          <w:color w:val="000000" w:themeColor="text1"/>
          <w:lang w:val="en-US"/>
        </w:rPr>
      </w:pPr>
      <w:r w:rsidRPr="0095509B">
        <w:rPr>
          <w:color w:val="000000" w:themeColor="text1"/>
          <w:lang w:val="en-US"/>
        </w:rPr>
        <w:lastRenderedPageBreak/>
        <w:t xml:space="preserve">Toland, M. D., Sulis, I., Giambona, F., Porcu, M., &amp; Campbell, J. M. (2017). Introduction to bifactor polytomous item response theory analysis. </w:t>
      </w:r>
      <w:r w:rsidRPr="0095509B">
        <w:rPr>
          <w:i/>
          <w:iCs/>
          <w:color w:val="000000" w:themeColor="text1"/>
          <w:lang w:val="en-US"/>
        </w:rPr>
        <w:t>Journal of School Psychology, 60</w:t>
      </w:r>
      <w:r w:rsidRPr="0095509B">
        <w:rPr>
          <w:color w:val="000000" w:themeColor="text1"/>
          <w:lang w:val="en-US"/>
        </w:rPr>
        <w:t xml:space="preserve">, 41-63. </w:t>
      </w:r>
      <w:r w:rsidR="00636DB3" w:rsidRPr="005A7CCE">
        <w:rPr>
          <w:rStyle w:val="anchor-text"/>
          <w:color w:val="000000" w:themeColor="text1"/>
          <w:lang w:val="en-US"/>
        </w:rPr>
        <w:t>https://doi.org/10.1016/j.jsp.2016.11.001</w:t>
      </w:r>
    </w:p>
    <w:p w14:paraId="5608A7F9" w14:textId="77777777" w:rsidR="00636DB3" w:rsidRPr="005A7CCE" w:rsidRDefault="00636DB3" w:rsidP="00636DB3">
      <w:pPr>
        <w:ind w:left="720" w:hanging="720"/>
        <w:jc w:val="both"/>
        <w:rPr>
          <w:color w:val="000000" w:themeColor="text1"/>
          <w:lang w:val="en-US"/>
        </w:rPr>
      </w:pPr>
    </w:p>
    <w:p w14:paraId="2F678470" w14:textId="77777777" w:rsidR="00636DB3" w:rsidRPr="005A7CCE" w:rsidRDefault="00000000" w:rsidP="00636DB3">
      <w:pPr>
        <w:spacing w:afterLines="120" w:after="288" w:line="360" w:lineRule="auto"/>
        <w:ind w:left="720" w:hanging="720"/>
        <w:jc w:val="both"/>
        <w:rPr>
          <w:lang w:val="en-US"/>
        </w:rPr>
      </w:pPr>
      <w:proofErr w:type="spellStart"/>
      <w:r>
        <w:t>Verma</w:t>
      </w:r>
      <w:proofErr w:type="spellEnd"/>
      <w:r>
        <w:t xml:space="preserve">, J. P., &amp; </w:t>
      </w:r>
      <w:proofErr w:type="spellStart"/>
      <w:r>
        <w:t>Verma</w:t>
      </w:r>
      <w:proofErr w:type="spellEnd"/>
      <w:r>
        <w:t xml:space="preserve">, P. (2024). </w:t>
      </w:r>
      <w:r w:rsidRPr="005A7CCE">
        <w:rPr>
          <w:lang w:val="en-US"/>
        </w:rPr>
        <w:t>Confirmatory factor analysis with structural equation modelling. In Understanding structural equation modeling: A manual for researchers (pp. 149–197). Springer.</w:t>
      </w:r>
    </w:p>
    <w:p w14:paraId="12ADB0AB" w14:textId="06D18853" w:rsidR="00AB0B4E" w:rsidRDefault="00000000" w:rsidP="00636DB3">
      <w:pPr>
        <w:spacing w:afterLines="120" w:after="288" w:line="360" w:lineRule="auto"/>
        <w:ind w:left="720" w:hanging="720"/>
        <w:jc w:val="both"/>
      </w:pPr>
      <w:r w:rsidRPr="005A7CCE">
        <w:rPr>
          <w:lang w:val="en-US"/>
        </w:rPr>
        <w:t xml:space="preserve">Widaman, K. F., &amp; Helm, J. L. (2023). Exploratory factor analysis and confirmatory factor analysis. In H. Cooper, M. N. </w:t>
      </w:r>
      <w:proofErr w:type="spellStart"/>
      <w:r w:rsidRPr="005A7CCE">
        <w:rPr>
          <w:lang w:val="en-US"/>
        </w:rPr>
        <w:t>Coutanche</w:t>
      </w:r>
      <w:proofErr w:type="spellEnd"/>
      <w:r w:rsidRPr="005A7CCE">
        <w:rPr>
          <w:lang w:val="en-US"/>
        </w:rPr>
        <w:t xml:space="preserve">, L. M. McMullen, A. T. Panter, D. </w:t>
      </w:r>
      <w:proofErr w:type="spellStart"/>
      <w:r w:rsidRPr="005A7CCE">
        <w:rPr>
          <w:lang w:val="en-US"/>
        </w:rPr>
        <w:t>Rindskopf</w:t>
      </w:r>
      <w:proofErr w:type="spellEnd"/>
      <w:r w:rsidRPr="005A7CCE">
        <w:rPr>
          <w:lang w:val="en-US"/>
        </w:rPr>
        <w:t xml:space="preserve">, &amp; K. J. Sher (Eds.), </w:t>
      </w:r>
      <w:r w:rsidRPr="005A7CCE">
        <w:rPr>
          <w:i/>
          <w:iCs/>
          <w:lang w:val="en-US"/>
        </w:rPr>
        <w:t>APA handbook of research methods in psychology: Data analysis and research publication</w:t>
      </w:r>
      <w:r w:rsidRPr="005A7CCE">
        <w:rPr>
          <w:lang w:val="en-US"/>
        </w:rPr>
        <w:t xml:space="preserve"> (2nd ed., pp. 379–410). </w:t>
      </w:r>
      <w:r>
        <w:t xml:space="preserve">American </w:t>
      </w:r>
      <w:proofErr w:type="spellStart"/>
      <w:r>
        <w:t>Psychological</w:t>
      </w:r>
      <w:proofErr w:type="spellEnd"/>
      <w:r>
        <w:t xml:space="preserve"> </w:t>
      </w:r>
      <w:proofErr w:type="spellStart"/>
      <w:r>
        <w:t>Association</w:t>
      </w:r>
      <w:proofErr w:type="spellEnd"/>
      <w:r>
        <w:t>.</w:t>
      </w:r>
    </w:p>
    <w:sectPr w:rsidR="00AB0B4E">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EE02DE" w14:textId="77777777" w:rsidR="00796106" w:rsidRDefault="00796106" w:rsidP="005A7CCE">
      <w:r>
        <w:separator/>
      </w:r>
    </w:p>
  </w:endnote>
  <w:endnote w:type="continuationSeparator" w:id="0">
    <w:p w14:paraId="3F4F805F" w14:textId="77777777" w:rsidR="00796106" w:rsidRDefault="00796106" w:rsidP="005A7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6FB2C" w14:textId="77777777" w:rsidR="00796106" w:rsidRDefault="00796106" w:rsidP="005A7CCE">
      <w:r>
        <w:separator/>
      </w:r>
    </w:p>
  </w:footnote>
  <w:footnote w:type="continuationSeparator" w:id="0">
    <w:p w14:paraId="0DD3FB31" w14:textId="77777777" w:rsidR="00796106" w:rsidRDefault="00796106" w:rsidP="005A7C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3066A9"/>
    <w:multiLevelType w:val="hybridMultilevel"/>
    <w:tmpl w:val="70944124"/>
    <w:lvl w:ilvl="0" w:tplc="82AEAD0C">
      <w:start w:val="1"/>
      <w:numFmt w:val="bullet"/>
      <w:lvlText w:val="●"/>
      <w:lvlJc w:val="left"/>
      <w:pPr>
        <w:ind w:left="720" w:hanging="360"/>
      </w:pPr>
    </w:lvl>
    <w:lvl w:ilvl="1" w:tplc="24EE0362">
      <w:start w:val="1"/>
      <w:numFmt w:val="bullet"/>
      <w:lvlText w:val="○"/>
      <w:lvlJc w:val="left"/>
      <w:pPr>
        <w:ind w:left="1440" w:hanging="360"/>
      </w:pPr>
    </w:lvl>
    <w:lvl w:ilvl="2" w:tplc="07CA2532">
      <w:start w:val="1"/>
      <w:numFmt w:val="bullet"/>
      <w:lvlText w:val="■"/>
      <w:lvlJc w:val="left"/>
      <w:pPr>
        <w:ind w:left="2160" w:hanging="360"/>
      </w:pPr>
    </w:lvl>
    <w:lvl w:ilvl="3" w:tplc="5408278C">
      <w:start w:val="1"/>
      <w:numFmt w:val="bullet"/>
      <w:lvlText w:val="●"/>
      <w:lvlJc w:val="left"/>
      <w:pPr>
        <w:ind w:left="2880" w:hanging="360"/>
      </w:pPr>
    </w:lvl>
    <w:lvl w:ilvl="4" w:tplc="86CA7EA8">
      <w:start w:val="1"/>
      <w:numFmt w:val="bullet"/>
      <w:lvlText w:val="○"/>
      <w:lvlJc w:val="left"/>
      <w:pPr>
        <w:ind w:left="3600" w:hanging="360"/>
      </w:pPr>
    </w:lvl>
    <w:lvl w:ilvl="5" w:tplc="7DC09292">
      <w:start w:val="1"/>
      <w:numFmt w:val="bullet"/>
      <w:lvlText w:val="■"/>
      <w:lvlJc w:val="left"/>
      <w:pPr>
        <w:ind w:left="4320" w:hanging="360"/>
      </w:pPr>
    </w:lvl>
    <w:lvl w:ilvl="6" w:tplc="871846BC">
      <w:start w:val="1"/>
      <w:numFmt w:val="bullet"/>
      <w:lvlText w:val="●"/>
      <w:lvlJc w:val="left"/>
      <w:pPr>
        <w:ind w:left="5040" w:hanging="360"/>
      </w:pPr>
    </w:lvl>
    <w:lvl w:ilvl="7" w:tplc="04187A60">
      <w:start w:val="1"/>
      <w:numFmt w:val="bullet"/>
      <w:lvlText w:val="●"/>
      <w:lvlJc w:val="left"/>
      <w:pPr>
        <w:ind w:left="5760" w:hanging="360"/>
      </w:pPr>
    </w:lvl>
    <w:lvl w:ilvl="8" w:tplc="3404DD22">
      <w:start w:val="1"/>
      <w:numFmt w:val="bullet"/>
      <w:lvlText w:val="●"/>
      <w:lvlJc w:val="left"/>
      <w:pPr>
        <w:ind w:left="6480" w:hanging="360"/>
      </w:pPr>
    </w:lvl>
  </w:abstractNum>
  <w:num w:numId="1" w16cid:durableId="204131700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B4E"/>
    <w:rsid w:val="00103848"/>
    <w:rsid w:val="001C381C"/>
    <w:rsid w:val="001D29BC"/>
    <w:rsid w:val="00414904"/>
    <w:rsid w:val="0058787F"/>
    <w:rsid w:val="005A7CCE"/>
    <w:rsid w:val="005B31AC"/>
    <w:rsid w:val="005C392E"/>
    <w:rsid w:val="00636DB3"/>
    <w:rsid w:val="006C21EC"/>
    <w:rsid w:val="00796106"/>
    <w:rsid w:val="0095509B"/>
    <w:rsid w:val="0099425A"/>
    <w:rsid w:val="00A16388"/>
    <w:rsid w:val="00A82721"/>
    <w:rsid w:val="00AB0B4E"/>
    <w:rsid w:val="00C34890"/>
    <w:rsid w:val="00CC66A8"/>
    <w:rsid w:val="00DD1F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08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style>
  <w:style w:type="character" w:customStyle="1" w:styleId="TextodenotadefimChar">
    <w:name w:val="Texto de nota de fim Char"/>
    <w:link w:val="Textodenotadefim"/>
    <w:uiPriority w:val="99"/>
    <w:semiHidden/>
    <w:unhideWhenUsed/>
    <w:rPr>
      <w:sz w:val="20"/>
      <w:szCs w:val="20"/>
    </w:rPr>
  </w:style>
  <w:style w:type="character" w:styleId="MenoPendente">
    <w:name w:val="Unresolved Mention"/>
    <w:basedOn w:val="Fontepargpadro"/>
    <w:uiPriority w:val="99"/>
    <w:semiHidden/>
    <w:unhideWhenUsed/>
    <w:rsid w:val="0095509B"/>
    <w:rPr>
      <w:color w:val="605E5C"/>
      <w:shd w:val="clear" w:color="auto" w:fill="E1DFDD"/>
    </w:rPr>
  </w:style>
  <w:style w:type="character" w:customStyle="1" w:styleId="anchor-text">
    <w:name w:val="anchor-text"/>
    <w:basedOn w:val="Fontepargpadro"/>
    <w:rsid w:val="0095509B"/>
  </w:style>
  <w:style w:type="character" w:styleId="HiperlinkVisitado">
    <w:name w:val="FollowedHyperlink"/>
    <w:basedOn w:val="Fontepargpadro"/>
    <w:uiPriority w:val="99"/>
    <w:semiHidden/>
    <w:unhideWhenUsed/>
    <w:rsid w:val="0095509B"/>
    <w:rPr>
      <w:color w:val="96607D" w:themeColor="followedHyperlink"/>
      <w:u w:val="single"/>
    </w:rPr>
  </w:style>
  <w:style w:type="paragraph" w:styleId="Cabealho">
    <w:name w:val="header"/>
    <w:basedOn w:val="Normal"/>
    <w:link w:val="CabealhoChar"/>
    <w:uiPriority w:val="99"/>
    <w:unhideWhenUsed/>
    <w:rsid w:val="005A7CCE"/>
    <w:pPr>
      <w:tabs>
        <w:tab w:val="center" w:pos="4252"/>
        <w:tab w:val="right" w:pos="8504"/>
      </w:tabs>
    </w:pPr>
  </w:style>
  <w:style w:type="character" w:customStyle="1" w:styleId="CabealhoChar">
    <w:name w:val="Cabeçalho Char"/>
    <w:basedOn w:val="Fontepargpadro"/>
    <w:link w:val="Cabealho"/>
    <w:uiPriority w:val="99"/>
    <w:rsid w:val="005A7CCE"/>
  </w:style>
  <w:style w:type="paragraph" w:styleId="Rodap">
    <w:name w:val="footer"/>
    <w:basedOn w:val="Normal"/>
    <w:link w:val="RodapChar"/>
    <w:uiPriority w:val="99"/>
    <w:unhideWhenUsed/>
    <w:rsid w:val="005A7CCE"/>
    <w:pPr>
      <w:tabs>
        <w:tab w:val="center" w:pos="4252"/>
        <w:tab w:val="right" w:pos="8504"/>
      </w:tabs>
    </w:pPr>
  </w:style>
  <w:style w:type="character" w:customStyle="1" w:styleId="RodapChar">
    <w:name w:val="Rodapé Char"/>
    <w:basedOn w:val="Fontepargpadro"/>
    <w:link w:val="Rodap"/>
    <w:uiPriority w:val="99"/>
    <w:rsid w:val="005A7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2642</Words>
  <Characters>15853</Characters>
  <Application>Microsoft Office Word</Application>
  <DocSecurity>0</DocSecurity>
  <Lines>283</Lines>
  <Paragraphs>136</Paragraphs>
  <ScaleCrop>false</ScaleCrop>
  <Company/>
  <LinksUpToDate>false</LinksUpToDate>
  <CharactersWithSpaces>18359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2026-05-08T12:37:00Z</dcterms:created>
  <dcterms:modified xsi:type="dcterms:W3CDTF">2026-06-18T03:07:00Z</dcterms:modified>
</cp:coreProperties>
</file>