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486" w:rsidRPr="001D38C9" w:rsidRDefault="009C770F" w:rsidP="001D38C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1</w:t>
      </w:r>
    </w:p>
    <w:p w:rsidR="001D38C9" w:rsidRDefault="001D38C9"/>
    <w:p w:rsidR="001D38C9" w:rsidRPr="001D38C9" w:rsidRDefault="001D38C9" w:rsidP="001D38C9">
      <w:pPr>
        <w:widowControl w:val="0"/>
        <w:spacing w:after="0" w:line="360" w:lineRule="auto"/>
        <w:jc w:val="center"/>
        <w:rPr>
          <w:rFonts w:ascii="Times New Roman" w:eastAsia="Cambria" w:hAnsi="Times New Roman" w:cs="Times New Roman"/>
          <w:b/>
          <w:bCs/>
          <w:kern w:val="2"/>
          <w:sz w:val="28"/>
          <w:szCs w:val="28"/>
          <w:lang w:eastAsia="zh-CN"/>
        </w:rPr>
      </w:pPr>
      <w:r w:rsidRPr="001D38C9">
        <w:rPr>
          <w:rFonts w:ascii="Times New Roman" w:eastAsia="Cambria" w:hAnsi="Times New Roman" w:cs="Times New Roman"/>
          <w:b/>
          <w:bCs/>
          <w:kern w:val="2"/>
          <w:sz w:val="28"/>
          <w:szCs w:val="28"/>
          <w:lang w:eastAsia="zh-CN"/>
        </w:rPr>
        <w:t>Meta</w:t>
      </w:r>
      <w:r w:rsidRPr="001D38C9">
        <w:rPr>
          <w:rFonts w:ascii="Times New Roman" w:eastAsia="Cambria" w:hAnsi="Times New Roman" w:cs="Times New Roman"/>
          <w:b/>
          <w:bCs/>
          <w:color w:val="000000" w:themeColor="text1"/>
          <w:kern w:val="2"/>
          <w:sz w:val="28"/>
          <w:szCs w:val="28"/>
          <w:lang w:eastAsia="zh-CN"/>
        </w:rPr>
        <w:t>static</w:t>
      </w:r>
      <w:r w:rsidRPr="001D38C9">
        <w:rPr>
          <w:rFonts w:ascii="Times New Roman" w:eastAsia="Cambria" w:hAnsi="Times New Roman" w:cs="Times New Roman"/>
          <w:b/>
          <w:bCs/>
          <w:kern w:val="2"/>
          <w:sz w:val="28"/>
          <w:szCs w:val="28"/>
          <w:lang w:eastAsia="zh-CN"/>
        </w:rPr>
        <w:t xml:space="preserve"> Pheochromocytoma and Paraganglioma: </w:t>
      </w:r>
    </w:p>
    <w:p w:rsidR="001D38C9" w:rsidRPr="001D38C9" w:rsidRDefault="001D38C9" w:rsidP="001D38C9">
      <w:pPr>
        <w:widowControl w:val="0"/>
        <w:spacing w:after="120" w:line="480" w:lineRule="auto"/>
        <w:jc w:val="center"/>
        <w:rPr>
          <w:rFonts w:ascii="Times New Roman" w:eastAsia="Cambria" w:hAnsi="Times New Roman" w:cs="Times New Roman"/>
          <w:b/>
          <w:bCs/>
          <w:kern w:val="2"/>
          <w:sz w:val="28"/>
          <w:szCs w:val="28"/>
          <w:lang w:eastAsia="zh-CN"/>
        </w:rPr>
      </w:pPr>
      <w:r w:rsidRPr="001D38C9">
        <w:rPr>
          <w:rFonts w:ascii="Times New Roman" w:eastAsia="Cambria" w:hAnsi="Times New Roman" w:cs="Times New Roman"/>
          <w:b/>
          <w:bCs/>
          <w:kern w:val="2"/>
          <w:sz w:val="28"/>
          <w:szCs w:val="28"/>
          <w:lang w:eastAsia="zh-CN"/>
        </w:rPr>
        <w:t>Signs and Symptoms Related to Catecholamine Secretion</w:t>
      </w:r>
    </w:p>
    <w:p w:rsidR="001D38C9" w:rsidRDefault="001D38C9" w:rsidP="001D38C9">
      <w:pPr>
        <w:widowControl w:val="0"/>
        <w:spacing w:after="24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Minghao Li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Christina Pamporaki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Stephanie M. J. Fliedner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2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Henri J. L. M. Timmers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3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Svenja Nölting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4,5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Felix Beuschlein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4,5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Aleksander Prejbisz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6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Hanna Remde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7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Mercedes Robledo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8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Stefan R. Bornstein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Jacques W. M. Lenders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1,3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Graeme Eisenhofer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1,9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Nicole Bechmann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1,9,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*</w:t>
      </w:r>
    </w:p>
    <w:p w:rsidR="001D38C9" w:rsidRPr="001D38C9" w:rsidRDefault="001D38C9" w:rsidP="001D38C9">
      <w:pPr>
        <w:widowControl w:val="0"/>
        <w:spacing w:after="24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1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Department of Medicine III, University Hospital Carl Gustav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Carus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Technische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Universität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Dresden, Dresden, Germany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2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First Department of Medicine, University Medical Center Schleswig-Holstein,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Lübeck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Germany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3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Department of Internal Medicine,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Radboud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University Medical Center, Nijmegen, The Netherlands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val="de-DE"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val="de-DE" w:eastAsia="zh-CN"/>
        </w:rPr>
        <w:t>4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val="de-DE" w:eastAsia="zh-CN"/>
        </w:rPr>
        <w:t>Medizinische Klinik und Poliklinik IV, Klinikum der Ludwig-Maximilians-Universität München, Munich, Germany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5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Department of Endocrinology,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Diabetology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and Clinical Nutrition,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Universitätsspital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Zürich, Zurich, Switzerland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6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Department of Hypertension, Institute of Cardiology, Warsaw, Poland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7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Division of Endocrinology and Diabetes, Department of Internal Medicine I, University Hospital of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Würzburg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Würzburg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Germany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8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Hereditary Endocrine Cancer Group, Spanish National Cancer Research Center and Centro de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Investigación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Biomédica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en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Red de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Enfermedades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Raras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Madrid, Spain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>9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Institute of Clinical Chemistry and Laboratory Medicine, University Hospital Carl Gustav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Carus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,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Technische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Universität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Dresden, Dresden, Germany</w:t>
      </w: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</w:p>
    <w:p w:rsidR="001D38C9" w:rsidRPr="001D38C9" w:rsidRDefault="001D38C9" w:rsidP="001D38C9">
      <w:pPr>
        <w:widowControl w:val="0"/>
        <w:spacing w:after="0" w:line="480" w:lineRule="auto"/>
        <w:jc w:val="center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 w:rsidRPr="001D38C9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kern w:val="2"/>
          <w:sz w:val="20"/>
          <w:szCs w:val="2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4023360" cy="6478292"/>
            <wp:effectExtent l="0" t="0" r="0" b="0"/>
            <wp:docPr id="3" name="Picture 3" descr="C:\Users\liminghao\Desktop\now\metastatic PPGL\manuscript writing\Hormone and cancer\Figures\20201023 supplementary figure 1\cSS correlated biochemistri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minghao\Desktop\now\metastatic PPGL\manuscript writing\Hormone and cancer\Figures\20201023 supplementary figure 1\cSS correlated biochemistries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360" cy="647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8C9" w:rsidRPr="001D38C9" w:rsidRDefault="0059264F" w:rsidP="001D38C9">
      <w:pPr>
        <w:widowControl w:val="0"/>
        <w:spacing w:after="0" w:line="360" w:lineRule="auto"/>
        <w:jc w:val="both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F</w:t>
      </w:r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igure </w:t>
      </w:r>
      <w:r w:rsidR="009C770F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S</w:t>
      </w:r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1. Correlations between urinary excretion of </w:t>
      </w:r>
      <w:proofErr w:type="spellStart"/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catecholamines</w:t>
      </w:r>
      <w:proofErr w:type="spellEnd"/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 and </w:t>
      </w:r>
      <w:proofErr w:type="spellStart"/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metanephrines</w:t>
      </w:r>
      <w:proofErr w:type="spellEnd"/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 with scores of cumulative catecholamine related signs and symptoms. </w:t>
      </w:r>
    </w:p>
    <w:p w:rsidR="001D38C9" w:rsidRDefault="001D38C9" w:rsidP="001D38C9">
      <w:pPr>
        <w:widowControl w:val="0"/>
        <w:spacing w:after="0" w:line="360" w:lineRule="auto"/>
        <w:jc w:val="both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Panels A, C, E and G, the correlations between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cSS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score with the urinary excretion of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catecholaminesand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metanephrines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respectively in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patients; Panels B, D, F and H, the correlations between the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cSS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scores with the urinary excretion of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catecholamines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and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metanephrines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respectively in the non-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patients.</w:t>
      </w:r>
      <w:r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Linear regression was used to build the models.</w:t>
      </w:r>
      <w:r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cSS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score, cumulative score of catecholamine related signs and symptoms;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, metastatic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pheochromocytomas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/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paragangliomas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; non-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, non-metastatic pheochromocytomas/paragangliomas.</w:t>
      </w:r>
      <w:r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br w:type="page"/>
      </w:r>
    </w:p>
    <w:p w:rsidR="001D38C9" w:rsidRPr="001D38C9" w:rsidRDefault="001D38C9" w:rsidP="001D38C9">
      <w:pPr>
        <w:widowControl w:val="0"/>
        <w:spacing w:after="0" w:line="360" w:lineRule="auto"/>
        <w:contextualSpacing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lastRenderedPageBreak/>
        <w:t>T</w:t>
      </w:r>
      <w:r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able </w:t>
      </w:r>
      <w:r w:rsidR="009C770F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S</w:t>
      </w:r>
      <w:r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1: </w:t>
      </w:r>
      <w:r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>The number of patient</w:t>
      </w:r>
      <w:r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s </w:t>
      </w:r>
      <w:r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>with and without metastatic pheochromocytoma/paraganglioma</w:t>
      </w:r>
      <w:r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 </w:t>
      </w:r>
      <w:r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 xml:space="preserve">using specific antihypertensive medications. </w:t>
      </w:r>
    </w:p>
    <w:tbl>
      <w:tblPr>
        <w:tblW w:w="7760" w:type="dxa"/>
        <w:jc w:val="center"/>
        <w:tblLook w:val="04A0" w:firstRow="1" w:lastRow="0" w:firstColumn="1" w:lastColumn="0" w:noHBand="0" w:noVBand="1"/>
      </w:tblPr>
      <w:tblGrid>
        <w:gridCol w:w="2840"/>
        <w:gridCol w:w="1780"/>
        <w:gridCol w:w="1780"/>
        <w:gridCol w:w="1360"/>
      </w:tblGrid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Medication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mPPGL</w:t>
            </w:r>
            <w:proofErr w:type="spellEnd"/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non-</w:t>
            </w: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mPPGL</w:t>
            </w:r>
            <w:proofErr w:type="spellEnd"/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 value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Diuretics, n (%)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6 (14)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29 (14.3)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Ca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2+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blockers, n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 (20.9)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56 (27.6)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0.449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Beta-blockers, n (%)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 (34.9)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79 (38.9)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0.731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Alpha-blockers, n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 (34.9)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56 (27.6)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0.354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ACE-inhibitors, n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 (11.6)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56 (27.6)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0.032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AT-II receptor blockers, n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 (11.6)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25 (12.3)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Renin Inhibitors, n (%)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 (0.5)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Central alpha -2 agonists, n (%)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 (7)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 (1.5)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0.066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MRAs, n (%)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 (2.3)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 (4.4)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0.699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1D38C9" w:rsidRPr="001D38C9" w:rsidTr="008769C0">
        <w:trPr>
          <w:trHeight w:val="288"/>
          <w:jc w:val="center"/>
        </w:trPr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RAS inhibitors, n (%)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10 (23.3)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76 (37.8)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0.08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</w:tbl>
    <w:p w:rsidR="001D38C9" w:rsidRPr="001D38C9" w:rsidRDefault="001D38C9" w:rsidP="001D38C9">
      <w:pPr>
        <w:widowControl w:val="0"/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a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Chi-square test,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b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Fisher’s test.</w:t>
      </w:r>
    </w:p>
    <w:p w:rsidR="001D38C9" w:rsidRPr="001D38C9" w:rsidRDefault="001D38C9" w:rsidP="001D38C9">
      <w:pPr>
        <w:widowControl w:val="0"/>
        <w:spacing w:after="0" w:line="360" w:lineRule="auto"/>
        <w:jc w:val="both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ACE, angiotensin-converting-enzyme; AT-II, angiotensin II; MRAs, mineralocorticoid receptor antagonists; RAS Renin-angiotensin-aldosterone system.</w:t>
      </w:r>
    </w:p>
    <w:p w:rsidR="001D38C9" w:rsidRDefault="001D38C9" w:rsidP="001D38C9">
      <w:pPr>
        <w:spacing w:after="0" w:line="480" w:lineRule="auto"/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br w:type="page"/>
      </w:r>
    </w:p>
    <w:p w:rsidR="001D38C9" w:rsidRPr="001D38C9" w:rsidRDefault="0059264F" w:rsidP="001D38C9">
      <w:pPr>
        <w:spacing w:after="0" w:line="360" w:lineRule="auto"/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</w:pPr>
      <w:r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lastRenderedPageBreak/>
        <w:t>T</w:t>
      </w:r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able </w:t>
      </w:r>
      <w:r w:rsidR="009C770F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>S</w:t>
      </w:r>
      <w:r w:rsidR="001D38C9" w:rsidRPr="001D38C9">
        <w:rPr>
          <w:rFonts w:ascii="Times New Roman" w:eastAsia="Cambria" w:hAnsi="Times New Roman" w:cs="Times New Roman"/>
          <w:b/>
          <w:kern w:val="2"/>
          <w:sz w:val="20"/>
          <w:szCs w:val="20"/>
          <w:lang w:eastAsia="zh-CN"/>
        </w:rPr>
        <w:t xml:space="preserve">2: </w:t>
      </w:r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 xml:space="preserve">Urinary excretions of </w:t>
      </w:r>
      <w:proofErr w:type="spellStart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>catecholamines</w:t>
      </w:r>
      <w:proofErr w:type="spellEnd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 xml:space="preserve"> and </w:t>
      </w:r>
      <w:proofErr w:type="spellStart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>metanephrines</w:t>
      </w:r>
      <w:proofErr w:type="spellEnd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 xml:space="preserve"> in </w:t>
      </w:r>
      <w:proofErr w:type="spellStart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>mPPGLs</w:t>
      </w:r>
      <w:proofErr w:type="spellEnd"/>
      <w:r w:rsidR="001D38C9" w:rsidRPr="001D38C9">
        <w:rPr>
          <w:rFonts w:ascii="Times New Roman" w:eastAsia="Cambria" w:hAnsi="Times New Roman" w:cs="Times New Roman"/>
          <w:bCs/>
          <w:kern w:val="2"/>
          <w:sz w:val="20"/>
          <w:szCs w:val="20"/>
          <w:lang w:eastAsia="zh-CN"/>
        </w:rPr>
        <w:t xml:space="preserve"> with primary tumor present versus absent. </w:t>
      </w:r>
    </w:p>
    <w:tbl>
      <w:tblPr>
        <w:tblW w:w="9360" w:type="dxa"/>
        <w:tblInd w:w="108" w:type="dxa"/>
        <w:tblLook w:val="04A0" w:firstRow="1" w:lastRow="0" w:firstColumn="1" w:lastColumn="0" w:noHBand="0" w:noVBand="1"/>
      </w:tblPr>
      <w:tblGrid>
        <w:gridCol w:w="3780"/>
        <w:gridCol w:w="2250"/>
        <w:gridCol w:w="2340"/>
        <w:gridCol w:w="990"/>
      </w:tblGrid>
      <w:tr w:rsidR="001D38C9" w:rsidRPr="001D38C9" w:rsidTr="008769C0">
        <w:trPr>
          <w:trHeight w:val="300"/>
        </w:trPr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 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D3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mPPGL</w:t>
            </w:r>
            <w:proofErr w:type="spellEnd"/>
            <w:r w:rsidRPr="001D3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with primary tumor present</w:t>
            </w:r>
            <w:r w:rsidRPr="001D3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zh-CN"/>
              </w:rPr>
              <w:t>*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1D3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>mPPGL</w:t>
            </w:r>
            <w:proofErr w:type="spellEnd"/>
            <w:r w:rsidRPr="001D38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  <w:t xml:space="preserve"> with primary tumor absent (resected)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P value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Catecholamines, medians (IQR) (µg/day)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Urine free norepinephrine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122.3 (38 – 350.3)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47.7 (24.3 – 236.8)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0.120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Urine free epinephrine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5.4 (2.3 – 10.2)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3.3 (1.4 – 5.9)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0.271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Metanephrines</w:t>
            </w:r>
            <w:proofErr w:type="spellEnd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 medians (IQR) (µg/day)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Urine free </w:t>
            </w: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normetanephrine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412 (193.5 – 733.7)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151.8 (60 – 617.8)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0.196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Urine free </w:t>
            </w: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metanephrine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18.9 (15.5 – 43.4)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19.9 (10.3 – 42.6)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0.806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a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False negative results, n (%)</w:t>
            </w: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zh-CN"/>
              </w:rPr>
              <w:t>$, #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Catecholamines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3 (27.3)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15 (57.7)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0.151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  <w:tr w:rsidR="001D38C9" w:rsidRPr="001D38C9" w:rsidTr="008769C0">
        <w:trPr>
          <w:trHeight w:val="300"/>
        </w:trPr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1D38C9" w:rsidRPr="001D38C9" w:rsidRDefault="001D38C9" w:rsidP="001D38C9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firstLineChars="100" w:firstLine="20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Metanephrines</w:t>
            </w:r>
            <w:proofErr w:type="spellEnd"/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1 (9.1)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5 (19.2)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1D38C9" w:rsidRPr="001D38C9" w:rsidRDefault="001D38C9" w:rsidP="001D38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38C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0.646</w:t>
            </w:r>
            <w:r w:rsidRPr="001D38C9">
              <w:rPr>
                <w:rFonts w:ascii="Times New Roman" w:eastAsia="Cambria" w:hAnsi="Times New Roman" w:cs="Times New Roman"/>
                <w:kern w:val="2"/>
                <w:sz w:val="20"/>
                <w:szCs w:val="20"/>
                <w:vertAlign w:val="superscript"/>
                <w:lang w:eastAsia="zh-CN"/>
              </w:rPr>
              <w:t>b</w:t>
            </w:r>
          </w:p>
        </w:tc>
      </w:tr>
    </w:tbl>
    <w:p w:rsidR="001D38C9" w:rsidRPr="001D38C9" w:rsidRDefault="001D38C9" w:rsidP="001D38C9">
      <w:pPr>
        <w:spacing w:line="360" w:lineRule="auto"/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</w:pP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*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Three of 14 develop metastatic disease one year later after study entry.</w:t>
      </w:r>
      <w:r w:rsidRPr="001D38C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 xml:space="preserve"> $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Urine samples from three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with primary tumor present and three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with absent primary tumor (resected) were not available.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 </w:t>
      </w:r>
      <w:r w:rsidRPr="001D38C9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zh-CN"/>
        </w:rPr>
        <w:t>#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Patients with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catecholamines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or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metanephrines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 below the upper cut-off.</w:t>
      </w:r>
      <w:r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br/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a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Mann-Whitney test,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vertAlign w:val="superscript"/>
          <w:lang w:eastAsia="zh-CN"/>
        </w:rPr>
        <w:t xml:space="preserve">b </w:t>
      </w:r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Fisher’s test.</w:t>
      </w:r>
      <w:r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br/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mPPGL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 xml:space="preserve">, metastatic 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pheochromocytoma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/</w:t>
      </w:r>
      <w:proofErr w:type="spellStart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paraganglioma</w:t>
      </w:r>
      <w:proofErr w:type="spellEnd"/>
      <w:r w:rsidRPr="001D38C9">
        <w:rPr>
          <w:rFonts w:ascii="Times New Roman" w:eastAsia="Cambria" w:hAnsi="Times New Roman" w:cs="Times New Roman"/>
          <w:kern w:val="2"/>
          <w:sz w:val="20"/>
          <w:szCs w:val="20"/>
          <w:lang w:eastAsia="zh-CN"/>
        </w:rPr>
        <w:t>; IQR, interquartile ranges.</w:t>
      </w:r>
    </w:p>
    <w:p w:rsidR="001D38C9" w:rsidRDefault="001D38C9">
      <w:bookmarkStart w:id="0" w:name="_GoBack"/>
      <w:bookmarkEnd w:id="0"/>
    </w:p>
    <w:sectPr w:rsidR="001D38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27FBC"/>
    <w:multiLevelType w:val="hybridMultilevel"/>
    <w:tmpl w:val="5D58607A"/>
    <w:lvl w:ilvl="0" w:tplc="73B0CB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C9"/>
    <w:rsid w:val="00101FE0"/>
    <w:rsid w:val="001D38C9"/>
    <w:rsid w:val="00467486"/>
    <w:rsid w:val="0059264F"/>
    <w:rsid w:val="009C7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3623C3-047F-4BB6-9987-8CEC48DC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Universitätsklinik Carl Gustav Carus Dresden</Company>
  <LinksUpToDate>false</LinksUpToDate>
  <CharactersWithSpaces>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Bechmann, Nicole</dc:creator>
  <cp:keywords/>
  <dc:description/>
  <cp:lastModifiedBy>Paul Alexander D.</cp:lastModifiedBy>
  <cp:revision>4</cp:revision>
  <dcterms:created xsi:type="dcterms:W3CDTF">2021-01-21T09:50:00Z</dcterms:created>
  <dcterms:modified xsi:type="dcterms:W3CDTF">2021-03-11T04:45:00Z</dcterms:modified>
</cp:coreProperties>
</file>