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84AE9" w14:textId="0EB18FA1" w:rsidR="00921F90" w:rsidRPr="005F7D28" w:rsidRDefault="005D5B9B">
      <w:pPr>
        <w:rPr>
          <w:sz w:val="20"/>
          <w:szCs w:val="20"/>
        </w:rPr>
      </w:pPr>
      <w:r w:rsidRPr="005F7D28">
        <w:rPr>
          <w:noProof/>
          <w:sz w:val="20"/>
          <w:szCs w:val="20"/>
        </w:rPr>
        <w:drawing>
          <wp:inline distT="0" distB="0" distL="0" distR="0" wp14:anchorId="4CDFD5F3" wp14:editId="16E98869">
            <wp:extent cx="5731510" cy="3846830"/>
            <wp:effectExtent l="0" t="0" r="0" b="1270"/>
            <wp:docPr id="1" name="图片 1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文本&#10;&#10;中度可信度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1768B" w14:textId="45F45A3A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Supplementary </w:t>
      </w:r>
      <w:r w:rsidR="005D5B9B"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Fig.</w:t>
      </w: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S1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Flowchart of this study</w:t>
      </w:r>
    </w:p>
    <w:p w14:paraId="43332B9C" w14:textId="77777777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</w:p>
    <w:p w14:paraId="04D9A6D2" w14:textId="19FE4DFA" w:rsidR="007768FA" w:rsidRPr="005F7D28" w:rsidRDefault="007768FA" w:rsidP="00C61958">
      <w:pPr>
        <w:jc w:val="center"/>
        <w:rPr>
          <w:sz w:val="20"/>
          <w:szCs w:val="20"/>
        </w:rPr>
      </w:pPr>
      <w:r w:rsidRPr="005F7D28">
        <w:rPr>
          <w:rFonts w:hint="eastAsia"/>
          <w:noProof/>
          <w:sz w:val="20"/>
          <w:szCs w:val="20"/>
        </w:rPr>
        <w:drawing>
          <wp:inline distT="0" distB="0" distL="0" distR="0" wp14:anchorId="47609ACA" wp14:editId="2B3C09C3">
            <wp:extent cx="3784414" cy="1705209"/>
            <wp:effectExtent l="0" t="0" r="635" b="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065" cy="172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22817" w14:textId="633FF5C5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Supplementary </w:t>
      </w:r>
      <w:r w:rsidR="005D5B9B"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Fig.</w:t>
      </w: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S2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ROC curve of the Lasso model </w:t>
      </w:r>
      <w:r w:rsidR="005D5B9B"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(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Coefficient 1 was obtained at the minimum MSE, and coefficient 2 was obtained at 1 SE MSE. Cutoff values were obtained based on the Youden index</w:t>
      </w:r>
      <w:r w:rsidR="005D5B9B"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)</w:t>
      </w:r>
    </w:p>
    <w:p w14:paraId="76F6B4F7" w14:textId="30145400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Fonts w:ascii="Times New Roman" w:hAnsi="Times New Roman" w:cs="Times New Roman" w:hint="eastAsia"/>
          <w:noProof/>
          <w:color w:val="333333"/>
          <w:sz w:val="20"/>
          <w:szCs w:val="20"/>
        </w:rPr>
        <w:lastRenderedPageBreak/>
        <w:drawing>
          <wp:inline distT="0" distB="0" distL="0" distR="0" wp14:anchorId="09B26E32" wp14:editId="50683F37">
            <wp:extent cx="4471871" cy="6705330"/>
            <wp:effectExtent l="0" t="0" r="0" b="635"/>
            <wp:docPr id="3" name="图片 3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条形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292" cy="671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1167C" w14:textId="0473D959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Supplementary </w:t>
      </w:r>
      <w:r w:rsidR="005D5B9B"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Fig.</w:t>
      </w: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S3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GO enrichment analysis between PECMS groups</w:t>
      </w:r>
    </w:p>
    <w:p w14:paraId="16E755F9" w14:textId="3C6E3005" w:rsidR="007768FA" w:rsidRPr="005F7D28" w:rsidRDefault="00C61958" w:rsidP="007768FA">
      <w:pPr>
        <w:pStyle w:val="md-end-block"/>
        <w:shd w:val="clear" w:color="auto" w:fill="FFFFFF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Fonts w:ascii="Times New Roman" w:hAnsi="Times New Roman" w:cs="Times New Roman"/>
          <w:noProof/>
          <w:color w:val="333333"/>
          <w:sz w:val="20"/>
          <w:szCs w:val="20"/>
        </w:rPr>
        <w:lastRenderedPageBreak/>
        <w:drawing>
          <wp:inline distT="0" distB="0" distL="0" distR="0" wp14:anchorId="6A34FEA4" wp14:editId="54E45BAE">
            <wp:extent cx="3002376" cy="3740829"/>
            <wp:effectExtent l="0" t="0" r="0" b="5715"/>
            <wp:docPr id="8" name="图片 8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, 示意图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6482" cy="377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47E8A" w14:textId="17BF4D30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Supplementary </w:t>
      </w:r>
      <w:r w:rsidR="005D5B9B"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Fig.</w:t>
      </w: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S4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575EBA"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Level of angiogenesis marker genes and pathway GSVA scores between PECMS groups (ns: no significant difference; *: P&lt;0.05; **: P&lt;0.005; ***: P&lt;0.0005; ****: P&lt;0.00005)</w:t>
      </w:r>
    </w:p>
    <w:p w14:paraId="5CA0F8CD" w14:textId="7D53E124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Fonts w:ascii="Times New Roman" w:hAnsi="Times New Roman" w:cs="Times New Roman" w:hint="eastAsia"/>
          <w:noProof/>
          <w:color w:val="333333"/>
          <w:sz w:val="20"/>
          <w:szCs w:val="20"/>
        </w:rPr>
        <w:lastRenderedPageBreak/>
        <w:drawing>
          <wp:inline distT="0" distB="0" distL="0" distR="0" wp14:anchorId="4DE746AD" wp14:editId="54E84C71">
            <wp:extent cx="4456075" cy="4549383"/>
            <wp:effectExtent l="0" t="0" r="1905" b="0"/>
            <wp:docPr id="5" name="图片 5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包含 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235" cy="456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799DC" w14:textId="3BA63974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Supplementary </w:t>
      </w:r>
      <w:r w:rsidR="005D5B9B"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Fig.</w:t>
      </w: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S5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CIBERSORT score value of different infiltrating immune cells between PECMS groups</w:t>
      </w:r>
    </w:p>
    <w:p w14:paraId="15F1116D" w14:textId="19A1C882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Fonts w:ascii="Times New Roman" w:hAnsi="Times New Roman" w:cs="Times New Roman" w:hint="eastAsia"/>
          <w:noProof/>
          <w:color w:val="333333"/>
          <w:sz w:val="20"/>
          <w:szCs w:val="20"/>
        </w:rPr>
        <w:lastRenderedPageBreak/>
        <w:drawing>
          <wp:inline distT="0" distB="0" distL="0" distR="0" wp14:anchorId="39B199CB" wp14:editId="6D0BE84E">
            <wp:extent cx="5731510" cy="5046345"/>
            <wp:effectExtent l="0" t="0" r="0" b="0"/>
            <wp:docPr id="6" name="图片 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表格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4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A21B5" w14:textId="160BFD3A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Supplementary </w:t>
      </w:r>
      <w:r w:rsidR="005D5B9B"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Fig.</w:t>
      </w: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S6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P</w:t>
      </w:r>
      <w:r w:rsidR="00361B6C"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redictive value of molecular targeted drugs between PECMS groups (ns: no significant difference; *: P&lt;0.05; **: P&lt;0.005; ***: P&lt;0.0005; ****: P&lt;0.00005)</w:t>
      </w:r>
    </w:p>
    <w:p w14:paraId="6E95EC47" w14:textId="7ECA0BB0" w:rsidR="007768FA" w:rsidRPr="005F7D28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Fonts w:ascii="Times New Roman" w:hAnsi="Times New Roman" w:cs="Times New Roman" w:hint="eastAsia"/>
          <w:noProof/>
          <w:color w:val="333333"/>
          <w:sz w:val="20"/>
          <w:szCs w:val="20"/>
        </w:rPr>
        <w:lastRenderedPageBreak/>
        <w:drawing>
          <wp:inline distT="0" distB="0" distL="0" distR="0" wp14:anchorId="59EB65D6" wp14:editId="64432407">
            <wp:extent cx="5731510" cy="6146800"/>
            <wp:effectExtent l="0" t="0" r="0" b="0"/>
            <wp:docPr id="7" name="图片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05703" w14:textId="2BA21275" w:rsidR="007768FA" w:rsidRDefault="007768FA" w:rsidP="007768FA">
      <w:pPr>
        <w:pStyle w:val="md-end-block"/>
        <w:shd w:val="clear" w:color="auto" w:fill="FFFFFF"/>
        <w:spacing w:before="0" w:beforeAutospacing="0" w:after="0" w:afterAutospacing="0" w:line="480" w:lineRule="auto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Supplementary </w:t>
      </w:r>
      <w:r w:rsidR="005D5B9B"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Fig.</w:t>
      </w: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S7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Survival curve of TCGA-PAAD. The patients were divided by the median value of PECMS feature gene mRNA levels</w:t>
      </w:r>
    </w:p>
    <w:p w14:paraId="03AACE00" w14:textId="3998E000" w:rsidR="001A06EB" w:rsidRDefault="001A06EB" w:rsidP="001A06EB">
      <w:pPr>
        <w:pStyle w:val="md-end-block"/>
        <w:shd w:val="clear" w:color="auto" w:fill="FFFFFF"/>
        <w:spacing w:before="0" w:beforeAutospacing="0" w:after="0" w:afterAutospacing="0" w:line="480" w:lineRule="auto"/>
        <w:jc w:val="center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noProof/>
          <w:color w:val="333333"/>
          <w:sz w:val="20"/>
          <w:szCs w:val="20"/>
        </w:rPr>
        <w:lastRenderedPageBreak/>
        <w:drawing>
          <wp:inline distT="0" distB="0" distL="0" distR="0" wp14:anchorId="5E81F22C" wp14:editId="1E22BBEC">
            <wp:extent cx="4639465" cy="6759245"/>
            <wp:effectExtent l="0" t="0" r="0" b="0"/>
            <wp:docPr id="4" name="图片 4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&#10;&#10;中度可信度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893" cy="678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64022" w14:textId="607319D0" w:rsidR="001A06EB" w:rsidRPr="001A06EB" w:rsidRDefault="001A06EB" w:rsidP="000D5BB0">
      <w:pPr>
        <w:pStyle w:val="md-end-block"/>
        <w:shd w:val="clear" w:color="auto" w:fill="FFFFFF"/>
        <w:spacing w:before="0" w:beforeAutospacing="0" w:after="0" w:afterAutospacing="0" w:line="480" w:lineRule="auto"/>
        <w:rPr>
          <w:rStyle w:val="md-plain"/>
          <w:rFonts w:ascii="Times New Roman" w:hAnsi="Times New Roman" w:cs="Times New Roman"/>
          <w:color w:val="333333"/>
          <w:sz w:val="20"/>
          <w:szCs w:val="20"/>
        </w:rPr>
      </w:pP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Supplementary Fig. S8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</w:t>
      </w:r>
      <w:r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Validation of disease-free survival, i</w:t>
      </w:r>
      <w:r w:rsidRPr="001A06EB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mmunological characteristics, and drug sensitivity in our retrospective data set</w:t>
      </w:r>
      <w:r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(a: </w:t>
      </w:r>
      <w:r w:rsidR="003D1814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D</w:t>
      </w:r>
      <w:r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isease</w:t>
      </w:r>
      <w:r w:rsidR="003D1814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-</w:t>
      </w:r>
      <w:r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free survival</w:t>
      </w:r>
      <w:r w:rsidR="003D1814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of different PECMS groups</w:t>
      </w:r>
      <w:r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. b: </w:t>
      </w:r>
      <w:r w:rsidR="003D1814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T</w:t>
      </w:r>
      <w:r w:rsidRPr="003737D0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he normalized mRNA expression of immune feature genes. </w:t>
      </w:r>
      <w:r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c</w:t>
      </w:r>
      <w:r w:rsidRPr="003737D0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: The normalized pathway GSVA scores in different PECMS groups.</w:t>
      </w:r>
      <w:r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D1814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d: </w:t>
      </w:r>
      <w:r w:rsidRPr="003737D0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Drug sensitivity prediction of chemotherapy drugs in different PECMS groups (L: PECMS-low; H: PECMS-high) and correlation between PECMS and drug sensitivity prediction</w:t>
      </w:r>
      <w:r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)</w:t>
      </w:r>
    </w:p>
    <w:p w14:paraId="282F5567" w14:textId="5EC1BF22" w:rsidR="007768FA" w:rsidRPr="005F7D28" w:rsidRDefault="0064359D" w:rsidP="007768FA">
      <w:pPr>
        <w:pStyle w:val="md-end-block"/>
        <w:shd w:val="clear" w:color="auto" w:fill="FFFFFF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noProof/>
          <w:color w:val="333333"/>
          <w:sz w:val="20"/>
          <w:szCs w:val="20"/>
        </w:rPr>
        <w:lastRenderedPageBreak/>
        <w:drawing>
          <wp:inline distT="0" distB="0" distL="0" distR="0" wp14:anchorId="49CE6573" wp14:editId="147C26C6">
            <wp:extent cx="5316451" cy="6847302"/>
            <wp:effectExtent l="0" t="0" r="5080" b="0"/>
            <wp:docPr id="9" name="图片 9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包含 游戏机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951" cy="6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580AB" w14:textId="520E7417" w:rsidR="007768FA" w:rsidRPr="00F532F7" w:rsidRDefault="007768FA" w:rsidP="00F532F7">
      <w:pPr>
        <w:pStyle w:val="md-end-block"/>
        <w:shd w:val="clear" w:color="auto" w:fill="FFFFFF"/>
        <w:spacing w:before="0" w:beforeAutospacing="0" w:after="0" w:afterAutospacing="0" w:line="480" w:lineRule="auto"/>
        <w:rPr>
          <w:rFonts w:ascii="Times New Roman" w:hAnsi="Times New Roman" w:cs="Times New Roman" w:hint="eastAsia"/>
          <w:color w:val="333333"/>
          <w:sz w:val="20"/>
          <w:szCs w:val="20"/>
        </w:rPr>
      </w:pP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Supplementary </w:t>
      </w:r>
      <w:r w:rsidR="005D5B9B"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Fig.</w:t>
      </w:r>
      <w:r w:rsidRPr="005F7D28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S</w:t>
      </w:r>
      <w:r w:rsidR="008B40BD">
        <w:rPr>
          <w:rStyle w:val="md-plain"/>
          <w:rFonts w:ascii="Times New Roman" w:hAnsi="Times New Roman" w:cs="Times New Roman"/>
          <w:b/>
          <w:bCs/>
          <w:color w:val="333333"/>
          <w:sz w:val="20"/>
          <w:szCs w:val="20"/>
        </w:rPr>
        <w:t>9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IHC of PD-L1, CD8, CD31, and </w:t>
      </w:r>
      <w:r w:rsidR="00247EF1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GLUT1</w:t>
      </w:r>
      <w:r w:rsidR="006D73F6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(SLC2A1)</w:t>
      </w:r>
      <w:r w:rsidR="00247EF1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in our single-center retrospective cohort</w:t>
      </w:r>
      <w:r w:rsidR="000F66C0"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 (</w:t>
      </w:r>
      <w:r w:rsidR="008B40BD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a: IHC staining, t</w:t>
      </w:r>
      <w:r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he patients were grouped by the level of KLHL32</w:t>
      </w:r>
      <w:r w:rsidR="008B40BD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. b: Positive and negative controls of the 4 antibodies</w:t>
      </w:r>
      <w:r w:rsidR="005760AE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 xml:space="preserve">. CD31: human lung tissue; GLUT1: </w:t>
      </w:r>
      <w:r w:rsidR="00235357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rat liver tissue; CD8: rat spleen tissue; PD-L1: rat heart tissue</w:t>
      </w:r>
      <w:r w:rsidR="000F66C0" w:rsidRPr="005F7D28">
        <w:rPr>
          <w:rStyle w:val="md-plain"/>
          <w:rFonts w:ascii="Times New Roman" w:hAnsi="Times New Roman" w:cs="Times New Roman"/>
          <w:color w:val="333333"/>
          <w:sz w:val="20"/>
          <w:szCs w:val="20"/>
        </w:rPr>
        <w:t>)</w:t>
      </w:r>
    </w:p>
    <w:sectPr w:rsidR="007768FA" w:rsidRPr="00F532F7" w:rsidSect="00487D2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29"/>
    <w:rsid w:val="000D3402"/>
    <w:rsid w:val="000D5BB0"/>
    <w:rsid w:val="000F66C0"/>
    <w:rsid w:val="001A06EB"/>
    <w:rsid w:val="00235357"/>
    <w:rsid w:val="00247EF1"/>
    <w:rsid w:val="00361B6C"/>
    <w:rsid w:val="003D1814"/>
    <w:rsid w:val="00487D29"/>
    <w:rsid w:val="004E4B2B"/>
    <w:rsid w:val="00575EBA"/>
    <w:rsid w:val="005760AE"/>
    <w:rsid w:val="005D5B9B"/>
    <w:rsid w:val="005E3AEE"/>
    <w:rsid w:val="005F7D28"/>
    <w:rsid w:val="0064359D"/>
    <w:rsid w:val="006D73F6"/>
    <w:rsid w:val="007768FA"/>
    <w:rsid w:val="008B40BD"/>
    <w:rsid w:val="00921F90"/>
    <w:rsid w:val="00AD1BA5"/>
    <w:rsid w:val="00B123EE"/>
    <w:rsid w:val="00C61958"/>
    <w:rsid w:val="00E51D26"/>
    <w:rsid w:val="00F5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CE99A"/>
  <w15:chartTrackingRefBased/>
  <w15:docId w15:val="{2E2DD593-07BA-1445-AA68-5D3471CC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123EE"/>
    <w:rPr>
      <w:rFonts w:eastAsia="Times New Roman"/>
      <w:sz w:val="24"/>
    </w:rPr>
  </w:style>
  <w:style w:type="character" w:customStyle="1" w:styleId="md-plain">
    <w:name w:val="md-plain"/>
    <w:basedOn w:val="a0"/>
    <w:rsid w:val="007768FA"/>
  </w:style>
  <w:style w:type="paragraph" w:customStyle="1" w:styleId="md-end-block">
    <w:name w:val="md-end-block"/>
    <w:basedOn w:val="a"/>
    <w:rsid w:val="007768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Hongchen</dc:creator>
  <cp:keywords/>
  <dc:description/>
  <cp:lastModifiedBy>Ji Hongchen</cp:lastModifiedBy>
  <cp:revision>21</cp:revision>
  <dcterms:created xsi:type="dcterms:W3CDTF">2022-03-19T10:45:00Z</dcterms:created>
  <dcterms:modified xsi:type="dcterms:W3CDTF">2022-06-24T15:48:00Z</dcterms:modified>
</cp:coreProperties>
</file>