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571E" w14:textId="77777777" w:rsidR="00424EEE" w:rsidRPr="00424EEE" w:rsidRDefault="00424EEE" w:rsidP="004D2321">
      <w:pPr>
        <w:widowControl/>
        <w:spacing w:line="480" w:lineRule="auto"/>
        <w:jc w:val="center"/>
        <w:rPr>
          <w:rFonts w:ascii="Arial" w:hAnsi="Arial" w:cs="Arial"/>
          <w:color w:val="000000"/>
          <w:kern w:val="0"/>
          <w:sz w:val="22"/>
        </w:rPr>
      </w:pPr>
      <w:r w:rsidRPr="00424EEE">
        <w:rPr>
          <w:rFonts w:ascii="Arial" w:hAnsi="Arial" w:cs="Arial"/>
          <w:color w:val="000000"/>
          <w:kern w:val="0"/>
          <w:sz w:val="22"/>
        </w:rPr>
        <w:t xml:space="preserve">Table </w:t>
      </w:r>
      <w:r w:rsidRPr="002329B8">
        <w:rPr>
          <w:rFonts w:ascii="Arial" w:hAnsi="Arial" w:cs="Arial" w:hint="eastAsia"/>
          <w:color w:val="000000"/>
          <w:kern w:val="0"/>
          <w:sz w:val="22"/>
        </w:rPr>
        <w:t>S</w:t>
      </w:r>
      <w:r w:rsidRPr="002329B8">
        <w:rPr>
          <w:rFonts w:ascii="Arial" w:hAnsi="Arial" w:cs="Arial"/>
          <w:color w:val="000000"/>
          <w:kern w:val="0"/>
          <w:sz w:val="22"/>
        </w:rPr>
        <w:t>1</w:t>
      </w:r>
      <w:r w:rsidRPr="00424EEE">
        <w:rPr>
          <w:rFonts w:ascii="Arial" w:hAnsi="Arial" w:cs="Arial"/>
          <w:color w:val="000000"/>
          <w:kern w:val="0"/>
          <w:sz w:val="22"/>
        </w:rPr>
        <w:t xml:space="preserve">. The </w:t>
      </w:r>
      <w:r w:rsidR="002329B8">
        <w:rPr>
          <w:rFonts w:ascii="Arial" w:hAnsi="Arial" w:cs="Arial" w:hint="eastAsia"/>
          <w:color w:val="000000"/>
          <w:kern w:val="0"/>
          <w:sz w:val="22"/>
        </w:rPr>
        <w:t>information</w:t>
      </w:r>
      <w:r w:rsidRPr="00424EEE">
        <w:rPr>
          <w:rFonts w:ascii="Arial" w:hAnsi="Arial" w:cs="Arial"/>
          <w:color w:val="000000"/>
          <w:kern w:val="0"/>
          <w:sz w:val="22"/>
        </w:rPr>
        <w:t xml:space="preserve"> of antibodies.</w:t>
      </w:r>
    </w:p>
    <w:tbl>
      <w:tblPr>
        <w:tblStyle w:val="a7"/>
        <w:tblW w:w="97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0"/>
        <w:gridCol w:w="3402"/>
        <w:gridCol w:w="1559"/>
        <w:gridCol w:w="2494"/>
      </w:tblGrid>
      <w:tr w:rsidR="00424EEE" w:rsidRPr="00424EEE" w14:paraId="2134E543" w14:textId="77777777" w:rsidTr="000844FD">
        <w:trPr>
          <w:jc w:val="center"/>
        </w:trPr>
        <w:tc>
          <w:tcPr>
            <w:tcW w:w="2270" w:type="dxa"/>
            <w:tcBorders>
              <w:top w:val="single" w:sz="12" w:space="0" w:color="auto"/>
              <w:bottom w:val="single" w:sz="6" w:space="0" w:color="auto"/>
            </w:tcBorders>
          </w:tcPr>
          <w:p w14:paraId="434008D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Antibodies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</w:tcPr>
          <w:p w14:paraId="0AA106F1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Source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5E93FA4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</w:rPr>
            </w:pPr>
            <w:r w:rsidRPr="00424EEE">
              <w:rPr>
                <w:rFonts w:ascii="Arial" w:eastAsia="宋体" w:hAnsi="Arial" w:hint="eastAsia"/>
                <w:sz w:val="20"/>
              </w:rPr>
              <w:t>C</w:t>
            </w:r>
            <w:r w:rsidRPr="00424EEE">
              <w:rPr>
                <w:rFonts w:ascii="Arial" w:eastAsia="宋体" w:hAnsi="Arial"/>
                <w:sz w:val="20"/>
              </w:rPr>
              <w:t>atalog</w:t>
            </w:r>
            <w:r w:rsidRPr="00424EEE">
              <w:rPr>
                <w:rFonts w:ascii="Arial" w:eastAsia="宋体" w:hAnsi="Arial" w:hint="eastAsia"/>
                <w:sz w:val="20"/>
              </w:rPr>
              <w:t>ue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6" w:space="0" w:color="auto"/>
            </w:tcBorders>
          </w:tcPr>
          <w:p w14:paraId="6DF6695C" w14:textId="77777777" w:rsidR="00424EEE" w:rsidRPr="00424EEE" w:rsidRDefault="00424EEE" w:rsidP="00DC10C7">
            <w:pPr>
              <w:spacing w:line="400" w:lineRule="exact"/>
              <w:jc w:val="center"/>
              <w:rPr>
                <w:rFonts w:ascii="Arial" w:eastAsia="宋体" w:hAnsi="Arial"/>
                <w:sz w:val="20"/>
              </w:rPr>
            </w:pPr>
            <w:r w:rsidRPr="00424EEE">
              <w:rPr>
                <w:rFonts w:ascii="Arial" w:eastAsia="宋体" w:hAnsi="Arial"/>
                <w:sz w:val="20"/>
              </w:rPr>
              <w:t>Dilution</w:t>
            </w:r>
          </w:p>
        </w:tc>
      </w:tr>
      <w:tr w:rsidR="00424EEE" w:rsidRPr="00424EEE" w14:paraId="7EAD628F" w14:textId="77777777" w:rsidTr="000844FD">
        <w:trPr>
          <w:jc w:val="center"/>
        </w:trPr>
        <w:tc>
          <w:tcPr>
            <w:tcW w:w="2270" w:type="dxa"/>
            <w:tcBorders>
              <w:top w:val="single" w:sz="6" w:space="0" w:color="auto"/>
            </w:tcBorders>
          </w:tcPr>
          <w:p w14:paraId="054BF21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N-cadherin</w:t>
            </w:r>
          </w:p>
        </w:tc>
        <w:tc>
          <w:tcPr>
            <w:tcW w:w="3402" w:type="dxa"/>
            <w:tcBorders>
              <w:top w:val="single" w:sz="6" w:space="0" w:color="auto"/>
            </w:tcBorders>
          </w:tcPr>
          <w:p w14:paraId="4D9413E8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44CC8F2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22018-1-AP</w:t>
            </w:r>
          </w:p>
        </w:tc>
        <w:tc>
          <w:tcPr>
            <w:tcW w:w="2494" w:type="dxa"/>
            <w:tcBorders>
              <w:top w:val="single" w:sz="6" w:space="0" w:color="auto"/>
            </w:tcBorders>
          </w:tcPr>
          <w:p w14:paraId="769CF69A" w14:textId="30C3B29D" w:rsidR="00424EEE" w:rsidRPr="004D2321" w:rsidRDefault="00424EEE" w:rsidP="00CB5E78">
            <w:pPr>
              <w:spacing w:line="400" w:lineRule="exact"/>
              <w:jc w:val="center"/>
              <w:rPr>
                <w:rFonts w:ascii="Arial" w:hAnsi="Arial"/>
                <w:sz w:val="20"/>
                <w:szCs w:val="24"/>
              </w:rPr>
            </w:pPr>
            <w:r w:rsidRPr="004D2321">
              <w:rPr>
                <w:rFonts w:ascii="Arial" w:eastAsia="AdvOT1ef757c0" w:hAnsi="Arial" w:cs="Arial"/>
                <w:kern w:val="0"/>
                <w:sz w:val="20"/>
              </w:rPr>
              <w:t>1:2000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 xml:space="preserve"> (1:100 for </w:t>
            </w:r>
            <w:r w:rsidR="00BE2833" w:rsidRPr="00BE2833">
              <w:rPr>
                <w:rFonts w:ascii="Arial" w:hAnsi="Arial" w:cs="Arial"/>
                <w:kern w:val="0"/>
                <w:sz w:val="20"/>
              </w:rPr>
              <w:t>immunofluorescence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>)</w:t>
            </w:r>
          </w:p>
        </w:tc>
      </w:tr>
      <w:tr w:rsidR="00424EEE" w:rsidRPr="00424EEE" w14:paraId="766D554A" w14:textId="77777777" w:rsidTr="000844FD">
        <w:trPr>
          <w:jc w:val="center"/>
        </w:trPr>
        <w:tc>
          <w:tcPr>
            <w:tcW w:w="2270" w:type="dxa"/>
          </w:tcPr>
          <w:p w14:paraId="5CAB0873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E-cadherin</w:t>
            </w:r>
          </w:p>
        </w:tc>
        <w:tc>
          <w:tcPr>
            <w:tcW w:w="3402" w:type="dxa"/>
          </w:tcPr>
          <w:p w14:paraId="2870116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</w:tcPr>
          <w:p w14:paraId="6E5845ED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20874-1-AP</w:t>
            </w:r>
          </w:p>
        </w:tc>
        <w:tc>
          <w:tcPr>
            <w:tcW w:w="2494" w:type="dxa"/>
          </w:tcPr>
          <w:p w14:paraId="4B7F8710" w14:textId="222D8F5A" w:rsidR="00424EEE" w:rsidRPr="004D2321" w:rsidRDefault="00424EEE" w:rsidP="00CB5E78">
            <w:pPr>
              <w:spacing w:line="400" w:lineRule="exact"/>
              <w:jc w:val="center"/>
              <w:rPr>
                <w:rFonts w:ascii="Arial" w:hAnsi="Arial"/>
                <w:sz w:val="20"/>
                <w:szCs w:val="24"/>
              </w:rPr>
            </w:pPr>
            <w:r w:rsidRPr="004D2321">
              <w:rPr>
                <w:rFonts w:ascii="Arial" w:eastAsia="AdvOT1ef757c0" w:hAnsi="Arial" w:cs="Arial"/>
                <w:kern w:val="0"/>
                <w:sz w:val="20"/>
              </w:rPr>
              <w:t>1:5000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 xml:space="preserve"> (</w:t>
            </w:r>
            <w:r w:rsidR="000844FD" w:rsidRPr="004D2321">
              <w:rPr>
                <w:rFonts w:ascii="Arial" w:hAnsi="Arial" w:cs="Arial" w:hint="eastAsia"/>
                <w:kern w:val="0"/>
                <w:sz w:val="20"/>
              </w:rPr>
              <w:t xml:space="preserve">1:100 for </w:t>
            </w:r>
            <w:r w:rsidR="00BE2833" w:rsidRPr="00BE2833">
              <w:rPr>
                <w:rFonts w:ascii="Arial" w:hAnsi="Arial" w:cs="Arial"/>
                <w:kern w:val="0"/>
                <w:sz w:val="20"/>
              </w:rPr>
              <w:t>immunofluorescence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>)</w:t>
            </w:r>
          </w:p>
        </w:tc>
      </w:tr>
      <w:tr w:rsidR="00424EEE" w:rsidRPr="00424EEE" w14:paraId="1097D254" w14:textId="77777777" w:rsidTr="000844FD">
        <w:trPr>
          <w:jc w:val="center"/>
        </w:trPr>
        <w:tc>
          <w:tcPr>
            <w:tcW w:w="2270" w:type="dxa"/>
          </w:tcPr>
          <w:p w14:paraId="5B6DE7F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Vimentin</w:t>
            </w:r>
          </w:p>
        </w:tc>
        <w:tc>
          <w:tcPr>
            <w:tcW w:w="3402" w:type="dxa"/>
          </w:tcPr>
          <w:p w14:paraId="2269317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</w:tcPr>
          <w:p w14:paraId="389BA5A8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10366-1-AP</w:t>
            </w:r>
          </w:p>
        </w:tc>
        <w:tc>
          <w:tcPr>
            <w:tcW w:w="2494" w:type="dxa"/>
          </w:tcPr>
          <w:p w14:paraId="462EE86F" w14:textId="032D7F01" w:rsidR="00424EEE" w:rsidRPr="004D2321" w:rsidRDefault="00424EEE" w:rsidP="00CB5E78">
            <w:pPr>
              <w:spacing w:line="400" w:lineRule="exact"/>
              <w:jc w:val="center"/>
              <w:rPr>
                <w:rFonts w:ascii="Arial" w:hAnsi="Arial"/>
                <w:sz w:val="20"/>
                <w:szCs w:val="24"/>
              </w:rPr>
            </w:pPr>
            <w:r w:rsidRPr="004D2321">
              <w:rPr>
                <w:rFonts w:ascii="Arial" w:eastAsia="AdvOT1ef757c0" w:hAnsi="Arial" w:cs="Arial"/>
                <w:kern w:val="0"/>
                <w:sz w:val="20"/>
              </w:rPr>
              <w:t>1:2000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 xml:space="preserve"> (</w:t>
            </w:r>
            <w:r w:rsidR="000844FD" w:rsidRPr="004D2321">
              <w:rPr>
                <w:rFonts w:ascii="Arial" w:hAnsi="Arial" w:cs="Arial" w:hint="eastAsia"/>
                <w:kern w:val="0"/>
                <w:sz w:val="20"/>
              </w:rPr>
              <w:t xml:space="preserve">1:100 for </w:t>
            </w:r>
            <w:r w:rsidR="00BE2833" w:rsidRPr="00BE2833">
              <w:rPr>
                <w:rFonts w:ascii="Arial" w:hAnsi="Arial" w:cs="Arial"/>
                <w:kern w:val="0"/>
                <w:sz w:val="20"/>
              </w:rPr>
              <w:t>immunofluorescence</w:t>
            </w:r>
            <w:r w:rsidR="00265BD3" w:rsidRPr="004D2321">
              <w:rPr>
                <w:rFonts w:ascii="Arial" w:hAnsi="Arial" w:cs="Arial" w:hint="eastAsia"/>
                <w:kern w:val="0"/>
                <w:sz w:val="20"/>
              </w:rPr>
              <w:t>)</w:t>
            </w:r>
          </w:p>
        </w:tc>
      </w:tr>
      <w:tr w:rsidR="00424EEE" w:rsidRPr="00424EEE" w14:paraId="1FF6DB98" w14:textId="77777777" w:rsidTr="000844FD">
        <w:trPr>
          <w:jc w:val="center"/>
        </w:trPr>
        <w:tc>
          <w:tcPr>
            <w:tcW w:w="2270" w:type="dxa"/>
          </w:tcPr>
          <w:p w14:paraId="2B6C987D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color w:val="000000" w:themeColor="text1"/>
                <w:sz w:val="20"/>
              </w:rPr>
              <w:t>anti-cofilin</w:t>
            </w:r>
          </w:p>
        </w:tc>
        <w:tc>
          <w:tcPr>
            <w:tcW w:w="3402" w:type="dxa"/>
          </w:tcPr>
          <w:p w14:paraId="0022C131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</w:tcPr>
          <w:p w14:paraId="505A16B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66057-1-Ig</w:t>
            </w:r>
          </w:p>
        </w:tc>
        <w:tc>
          <w:tcPr>
            <w:tcW w:w="2494" w:type="dxa"/>
          </w:tcPr>
          <w:p w14:paraId="2B275BBB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color w:val="000000" w:themeColor="text1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1:10000</w:t>
            </w:r>
          </w:p>
        </w:tc>
      </w:tr>
      <w:tr w:rsidR="00424EEE" w:rsidRPr="00424EEE" w14:paraId="76A18242" w14:textId="77777777" w:rsidTr="000844FD">
        <w:trPr>
          <w:jc w:val="center"/>
        </w:trPr>
        <w:tc>
          <w:tcPr>
            <w:tcW w:w="2270" w:type="dxa"/>
          </w:tcPr>
          <w:p w14:paraId="5C5314B5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FAK</w:t>
            </w:r>
          </w:p>
        </w:tc>
        <w:tc>
          <w:tcPr>
            <w:tcW w:w="3402" w:type="dxa"/>
          </w:tcPr>
          <w:p w14:paraId="7A4E5052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</w:tcPr>
          <w:p w14:paraId="296C6190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66258-1-Ig</w:t>
            </w:r>
          </w:p>
        </w:tc>
        <w:tc>
          <w:tcPr>
            <w:tcW w:w="2494" w:type="dxa"/>
          </w:tcPr>
          <w:p w14:paraId="3DE789E2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7D147AAD" w14:textId="77777777" w:rsidTr="000844FD">
        <w:trPr>
          <w:jc w:val="center"/>
        </w:trPr>
        <w:tc>
          <w:tcPr>
            <w:tcW w:w="2270" w:type="dxa"/>
          </w:tcPr>
          <w:p w14:paraId="2D0F120B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GAPDH</w:t>
            </w:r>
          </w:p>
        </w:tc>
        <w:tc>
          <w:tcPr>
            <w:tcW w:w="3402" w:type="dxa"/>
          </w:tcPr>
          <w:p w14:paraId="3633F16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Proteintech</w:t>
            </w:r>
          </w:p>
        </w:tc>
        <w:tc>
          <w:tcPr>
            <w:tcW w:w="1559" w:type="dxa"/>
          </w:tcPr>
          <w:p w14:paraId="01C11294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60004-I-Ig</w:t>
            </w:r>
          </w:p>
        </w:tc>
        <w:tc>
          <w:tcPr>
            <w:tcW w:w="2494" w:type="dxa"/>
          </w:tcPr>
          <w:p w14:paraId="66F26B8A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1:10000</w:t>
            </w:r>
          </w:p>
        </w:tc>
      </w:tr>
      <w:tr w:rsidR="00424EEE" w:rsidRPr="00424EEE" w14:paraId="2F0D2833" w14:textId="77777777" w:rsidTr="000844FD">
        <w:trPr>
          <w:jc w:val="center"/>
        </w:trPr>
        <w:tc>
          <w:tcPr>
            <w:tcW w:w="2270" w:type="dxa"/>
          </w:tcPr>
          <w:p w14:paraId="15B3451F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RhoA</w:t>
            </w:r>
          </w:p>
        </w:tc>
        <w:tc>
          <w:tcPr>
            <w:tcW w:w="3402" w:type="dxa"/>
          </w:tcPr>
          <w:p w14:paraId="196F7CEC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Cell Signaling Technology</w:t>
            </w:r>
          </w:p>
        </w:tc>
        <w:tc>
          <w:tcPr>
            <w:tcW w:w="1559" w:type="dxa"/>
          </w:tcPr>
          <w:p w14:paraId="6518283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2117S</w:t>
            </w:r>
          </w:p>
        </w:tc>
        <w:tc>
          <w:tcPr>
            <w:tcW w:w="2494" w:type="dxa"/>
          </w:tcPr>
          <w:p w14:paraId="6ACBFF47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70F16866" w14:textId="77777777" w:rsidTr="000844FD">
        <w:trPr>
          <w:jc w:val="center"/>
        </w:trPr>
        <w:tc>
          <w:tcPr>
            <w:tcW w:w="2270" w:type="dxa"/>
          </w:tcPr>
          <w:p w14:paraId="26CC0B77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RhoC</w:t>
            </w:r>
          </w:p>
        </w:tc>
        <w:tc>
          <w:tcPr>
            <w:tcW w:w="3402" w:type="dxa"/>
          </w:tcPr>
          <w:p w14:paraId="7CE08D0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Cell Signaling Technology</w:t>
            </w:r>
          </w:p>
        </w:tc>
        <w:tc>
          <w:tcPr>
            <w:tcW w:w="1559" w:type="dxa"/>
          </w:tcPr>
          <w:p w14:paraId="4D8F133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3430S</w:t>
            </w:r>
          </w:p>
        </w:tc>
        <w:tc>
          <w:tcPr>
            <w:tcW w:w="2494" w:type="dxa"/>
          </w:tcPr>
          <w:p w14:paraId="04E2194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31190B27" w14:textId="77777777" w:rsidTr="000844FD">
        <w:trPr>
          <w:jc w:val="center"/>
        </w:trPr>
        <w:tc>
          <w:tcPr>
            <w:tcW w:w="2270" w:type="dxa"/>
          </w:tcPr>
          <w:p w14:paraId="783F118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phospho-cofilin</w:t>
            </w:r>
          </w:p>
        </w:tc>
        <w:tc>
          <w:tcPr>
            <w:tcW w:w="3402" w:type="dxa"/>
          </w:tcPr>
          <w:p w14:paraId="26916235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Cell Signaling Technology</w:t>
            </w:r>
          </w:p>
        </w:tc>
        <w:tc>
          <w:tcPr>
            <w:tcW w:w="1559" w:type="dxa"/>
          </w:tcPr>
          <w:p w14:paraId="32715B34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3313S</w:t>
            </w:r>
          </w:p>
        </w:tc>
        <w:tc>
          <w:tcPr>
            <w:tcW w:w="2494" w:type="dxa"/>
          </w:tcPr>
          <w:p w14:paraId="41C4AC7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2B607645" w14:textId="77777777" w:rsidTr="000844FD">
        <w:trPr>
          <w:jc w:val="center"/>
        </w:trPr>
        <w:tc>
          <w:tcPr>
            <w:tcW w:w="2270" w:type="dxa"/>
          </w:tcPr>
          <w:p w14:paraId="28CD9A4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anti-</w:t>
            </w: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phospho-FAK</w:t>
            </w:r>
          </w:p>
        </w:tc>
        <w:tc>
          <w:tcPr>
            <w:tcW w:w="3402" w:type="dxa"/>
          </w:tcPr>
          <w:p w14:paraId="72A57295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Cell Signaling Technology</w:t>
            </w:r>
          </w:p>
        </w:tc>
        <w:tc>
          <w:tcPr>
            <w:tcW w:w="1559" w:type="dxa"/>
          </w:tcPr>
          <w:p w14:paraId="5029AC93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3283S</w:t>
            </w:r>
          </w:p>
        </w:tc>
        <w:tc>
          <w:tcPr>
            <w:tcW w:w="2494" w:type="dxa"/>
          </w:tcPr>
          <w:p w14:paraId="69CE535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0F3F6EEA" w14:textId="77777777" w:rsidTr="000844FD">
        <w:trPr>
          <w:jc w:val="center"/>
        </w:trPr>
        <w:tc>
          <w:tcPr>
            <w:tcW w:w="2270" w:type="dxa"/>
          </w:tcPr>
          <w:p w14:paraId="2EA5EEFD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color w:val="000000" w:themeColor="text1"/>
                <w:sz w:val="20"/>
              </w:rPr>
              <w:t>anti-Flag</w:t>
            </w:r>
          </w:p>
        </w:tc>
        <w:tc>
          <w:tcPr>
            <w:tcW w:w="3402" w:type="dxa"/>
          </w:tcPr>
          <w:p w14:paraId="2ECE230C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Sigma-Aldrich</w:t>
            </w:r>
          </w:p>
        </w:tc>
        <w:tc>
          <w:tcPr>
            <w:tcW w:w="1559" w:type="dxa"/>
          </w:tcPr>
          <w:p w14:paraId="3523539C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hAnsi="Arial" w:cs="Arial"/>
                <w:color w:val="000000"/>
                <w:kern w:val="0"/>
                <w:sz w:val="20"/>
              </w:rPr>
              <w:t>F1804</w:t>
            </w:r>
          </w:p>
        </w:tc>
        <w:tc>
          <w:tcPr>
            <w:tcW w:w="2494" w:type="dxa"/>
          </w:tcPr>
          <w:p w14:paraId="274B4FC1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5C48D92C" w14:textId="77777777" w:rsidTr="000844FD">
        <w:trPr>
          <w:jc w:val="center"/>
        </w:trPr>
        <w:tc>
          <w:tcPr>
            <w:tcW w:w="2270" w:type="dxa"/>
          </w:tcPr>
          <w:p w14:paraId="0F8ECBA5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color w:val="000000" w:themeColor="text1"/>
                <w:sz w:val="20"/>
              </w:rPr>
              <w:t>anti-ARAP1</w:t>
            </w:r>
          </w:p>
        </w:tc>
        <w:tc>
          <w:tcPr>
            <w:tcW w:w="3402" w:type="dxa"/>
          </w:tcPr>
          <w:p w14:paraId="74273B1A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Invitrogen</w:t>
            </w:r>
          </w:p>
        </w:tc>
        <w:tc>
          <w:tcPr>
            <w:tcW w:w="1559" w:type="dxa"/>
          </w:tcPr>
          <w:p w14:paraId="20133D33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AdvOT1ef757c0" w:hAnsi="Arial" w:cs="Arial"/>
                <w:color w:val="000000"/>
                <w:kern w:val="0"/>
                <w:sz w:val="20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PA5-67101</w:t>
            </w:r>
          </w:p>
        </w:tc>
        <w:tc>
          <w:tcPr>
            <w:tcW w:w="2494" w:type="dxa"/>
          </w:tcPr>
          <w:p w14:paraId="1D1F7E9C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</w:t>
            </w:r>
          </w:p>
        </w:tc>
      </w:tr>
      <w:tr w:rsidR="00424EEE" w:rsidRPr="00424EEE" w14:paraId="0BA74C5A" w14:textId="77777777" w:rsidTr="000844FD">
        <w:trPr>
          <w:jc w:val="center"/>
        </w:trPr>
        <w:tc>
          <w:tcPr>
            <w:tcW w:w="2270" w:type="dxa"/>
          </w:tcPr>
          <w:p w14:paraId="71C05728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Goat anti-Rabbit HRP</w:t>
            </w:r>
          </w:p>
        </w:tc>
        <w:tc>
          <w:tcPr>
            <w:tcW w:w="3402" w:type="dxa"/>
          </w:tcPr>
          <w:p w14:paraId="7ADC8221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AdvOT1ef757c0" w:hAnsi="Arial" w:cs="Arial"/>
                <w:kern w:val="0"/>
                <w:sz w:val="20"/>
              </w:rPr>
              <w:t>Life Technologies Inc</w:t>
            </w:r>
            <w:r w:rsidRPr="00424EEE">
              <w:rPr>
                <w:rFonts w:ascii="Arial" w:hAnsi="Arial" w:cs="Arial"/>
                <w:kern w:val="0"/>
                <w:sz w:val="20"/>
              </w:rPr>
              <w:t>.</w:t>
            </w:r>
          </w:p>
        </w:tc>
        <w:tc>
          <w:tcPr>
            <w:tcW w:w="1559" w:type="dxa"/>
          </w:tcPr>
          <w:p w14:paraId="78791BB4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color w:val="000000" w:themeColor="text1"/>
                <w:sz w:val="20"/>
                <w:szCs w:val="24"/>
              </w:rPr>
            </w:pPr>
            <w:r w:rsidRPr="00424EEE">
              <w:rPr>
                <w:rFonts w:ascii="Arial" w:eastAsia="宋体" w:hAnsi="Arial" w:hint="eastAsia"/>
                <w:color w:val="000000" w:themeColor="text1"/>
                <w:sz w:val="20"/>
                <w:szCs w:val="24"/>
              </w:rPr>
              <w:t>3</w:t>
            </w:r>
            <w:r w:rsidRPr="00424EEE">
              <w:rPr>
                <w:rFonts w:ascii="Arial" w:eastAsia="宋体" w:hAnsi="Arial"/>
                <w:color w:val="000000" w:themeColor="text1"/>
                <w:sz w:val="20"/>
                <w:szCs w:val="24"/>
              </w:rPr>
              <w:t>1460</w:t>
            </w:r>
          </w:p>
        </w:tc>
        <w:tc>
          <w:tcPr>
            <w:tcW w:w="2494" w:type="dxa"/>
          </w:tcPr>
          <w:p w14:paraId="5928C1FF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color w:val="000000" w:themeColor="text1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1:10000</w:t>
            </w:r>
          </w:p>
        </w:tc>
      </w:tr>
      <w:tr w:rsidR="00424EEE" w:rsidRPr="00424EEE" w14:paraId="54065467" w14:textId="77777777" w:rsidTr="000844FD">
        <w:trPr>
          <w:jc w:val="center"/>
        </w:trPr>
        <w:tc>
          <w:tcPr>
            <w:tcW w:w="2270" w:type="dxa"/>
          </w:tcPr>
          <w:p w14:paraId="2C28BDB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Goat anti-Mouse HRP</w:t>
            </w:r>
          </w:p>
        </w:tc>
        <w:tc>
          <w:tcPr>
            <w:tcW w:w="3402" w:type="dxa"/>
          </w:tcPr>
          <w:p w14:paraId="3202BE9E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AdvOT1ef757c0" w:hAnsi="Arial" w:cs="Arial"/>
                <w:kern w:val="0"/>
                <w:sz w:val="20"/>
              </w:rPr>
              <w:t>Life Technologies Inc</w:t>
            </w:r>
            <w:r w:rsidRPr="00424EEE">
              <w:rPr>
                <w:rFonts w:ascii="Arial" w:hAnsi="Arial" w:cs="Arial"/>
                <w:kern w:val="0"/>
                <w:sz w:val="20"/>
              </w:rPr>
              <w:t>.</w:t>
            </w:r>
          </w:p>
        </w:tc>
        <w:tc>
          <w:tcPr>
            <w:tcW w:w="1559" w:type="dxa"/>
          </w:tcPr>
          <w:p w14:paraId="2E57828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color w:val="000000" w:themeColor="text1"/>
                <w:sz w:val="20"/>
                <w:szCs w:val="24"/>
              </w:rPr>
            </w:pPr>
            <w:r w:rsidRPr="00424EEE">
              <w:rPr>
                <w:rFonts w:ascii="Arial" w:eastAsia="宋体" w:hAnsi="Arial" w:hint="eastAsia"/>
                <w:color w:val="000000" w:themeColor="text1"/>
                <w:sz w:val="20"/>
                <w:szCs w:val="24"/>
              </w:rPr>
              <w:t>3</w:t>
            </w:r>
            <w:r w:rsidRPr="00424EEE">
              <w:rPr>
                <w:rFonts w:ascii="Arial" w:eastAsia="宋体" w:hAnsi="Arial"/>
                <w:color w:val="000000" w:themeColor="text1"/>
                <w:sz w:val="20"/>
                <w:szCs w:val="24"/>
              </w:rPr>
              <w:t>1430</w:t>
            </w:r>
          </w:p>
        </w:tc>
        <w:tc>
          <w:tcPr>
            <w:tcW w:w="2494" w:type="dxa"/>
          </w:tcPr>
          <w:p w14:paraId="6E372153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color w:val="000000" w:themeColor="text1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1:10000</w:t>
            </w:r>
          </w:p>
        </w:tc>
      </w:tr>
      <w:tr w:rsidR="00424EEE" w:rsidRPr="00424EEE" w14:paraId="2EB78D17" w14:textId="77777777" w:rsidTr="000844FD">
        <w:trPr>
          <w:jc w:val="center"/>
        </w:trPr>
        <w:tc>
          <w:tcPr>
            <w:tcW w:w="2270" w:type="dxa"/>
          </w:tcPr>
          <w:p w14:paraId="11E0D8F3" w14:textId="77777777" w:rsidR="00424EEE" w:rsidRPr="00424EEE" w:rsidRDefault="00424EEE" w:rsidP="00265BD3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Goat Anti-Rabbit IgG Alexa Fluor 546</w:t>
            </w:r>
          </w:p>
        </w:tc>
        <w:tc>
          <w:tcPr>
            <w:tcW w:w="3402" w:type="dxa"/>
          </w:tcPr>
          <w:p w14:paraId="79EF9A78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Invitrogen</w:t>
            </w:r>
          </w:p>
        </w:tc>
        <w:tc>
          <w:tcPr>
            <w:tcW w:w="1559" w:type="dxa"/>
          </w:tcPr>
          <w:p w14:paraId="7805F6A2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宋体" w:hAnsi="Arial" w:hint="eastAsia"/>
                <w:sz w:val="20"/>
                <w:szCs w:val="24"/>
              </w:rPr>
              <w:t>A</w:t>
            </w:r>
            <w:r w:rsidRPr="00424EEE">
              <w:rPr>
                <w:rFonts w:ascii="Arial" w:eastAsia="宋体" w:hAnsi="Arial"/>
                <w:sz w:val="20"/>
                <w:szCs w:val="24"/>
              </w:rPr>
              <w:t>-11035</w:t>
            </w:r>
          </w:p>
        </w:tc>
        <w:tc>
          <w:tcPr>
            <w:tcW w:w="2494" w:type="dxa"/>
          </w:tcPr>
          <w:p w14:paraId="17D3AD99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1:300</w:t>
            </w:r>
          </w:p>
        </w:tc>
      </w:tr>
      <w:tr w:rsidR="00424EEE" w:rsidRPr="00832F89" w14:paraId="75835B20" w14:textId="77777777" w:rsidTr="000844FD">
        <w:trPr>
          <w:jc w:val="center"/>
        </w:trPr>
        <w:tc>
          <w:tcPr>
            <w:tcW w:w="2270" w:type="dxa"/>
            <w:tcBorders>
              <w:bottom w:val="single" w:sz="12" w:space="0" w:color="auto"/>
            </w:tcBorders>
          </w:tcPr>
          <w:p w14:paraId="52AC8245" w14:textId="77777777" w:rsidR="00424EEE" w:rsidRPr="00424EEE" w:rsidRDefault="00265BD3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>
              <w:rPr>
                <w:rFonts w:ascii="Arial" w:eastAsia="宋体" w:hAnsi="Arial" w:cs="Arial"/>
                <w:sz w:val="20"/>
              </w:rPr>
              <w:t>Goat Anti-</w:t>
            </w:r>
            <w:r w:rsidR="00424EEE" w:rsidRPr="00424EEE">
              <w:rPr>
                <w:rFonts w:ascii="Arial" w:eastAsia="宋体" w:hAnsi="Arial" w:cs="Arial"/>
                <w:sz w:val="20"/>
              </w:rPr>
              <w:t>mouse IgG Alexa Fluor 546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F0E85E1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 w:cs="Arial"/>
                <w:sz w:val="20"/>
              </w:rPr>
            </w:pPr>
            <w:r w:rsidRPr="00424EEE">
              <w:rPr>
                <w:rFonts w:ascii="Arial" w:eastAsia="宋体" w:hAnsi="Arial" w:cs="Arial"/>
                <w:sz w:val="20"/>
              </w:rPr>
              <w:t>Invitrogen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B32E966" w14:textId="77777777" w:rsidR="00424EEE" w:rsidRPr="00424EEE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宋体" w:hAnsi="Arial" w:hint="eastAsia"/>
                <w:sz w:val="20"/>
                <w:szCs w:val="24"/>
              </w:rPr>
              <w:t>A</w:t>
            </w:r>
            <w:r w:rsidRPr="00424EEE">
              <w:rPr>
                <w:rFonts w:ascii="Arial" w:eastAsia="宋体" w:hAnsi="Arial"/>
                <w:sz w:val="20"/>
                <w:szCs w:val="24"/>
              </w:rPr>
              <w:t>-1103</w:t>
            </w:r>
            <w:r w:rsidRPr="00424EEE">
              <w:rPr>
                <w:rFonts w:ascii="Arial" w:eastAsia="宋体" w:hAnsi="Arial" w:hint="eastAsia"/>
                <w:sz w:val="20"/>
                <w:szCs w:val="24"/>
              </w:rPr>
              <w:t>0</w:t>
            </w:r>
          </w:p>
        </w:tc>
        <w:tc>
          <w:tcPr>
            <w:tcW w:w="2494" w:type="dxa"/>
            <w:tcBorders>
              <w:bottom w:val="single" w:sz="12" w:space="0" w:color="auto"/>
            </w:tcBorders>
          </w:tcPr>
          <w:p w14:paraId="5B30ADAB" w14:textId="77777777" w:rsidR="00424EEE" w:rsidRPr="00832F89" w:rsidRDefault="00424EEE" w:rsidP="00CB5E78">
            <w:pPr>
              <w:spacing w:line="400" w:lineRule="exact"/>
              <w:jc w:val="center"/>
              <w:rPr>
                <w:rFonts w:ascii="Arial" w:eastAsia="宋体" w:hAnsi="Arial"/>
                <w:sz w:val="20"/>
                <w:szCs w:val="24"/>
              </w:rPr>
            </w:pPr>
            <w:r w:rsidRPr="00424EEE">
              <w:rPr>
                <w:rFonts w:ascii="Arial" w:eastAsia="AdvOT1ef757c0" w:hAnsi="Arial" w:cs="Arial"/>
                <w:color w:val="000000"/>
                <w:kern w:val="0"/>
                <w:sz w:val="20"/>
              </w:rPr>
              <w:t>1:300</w:t>
            </w:r>
          </w:p>
        </w:tc>
      </w:tr>
    </w:tbl>
    <w:p w14:paraId="4B4BCAF1" w14:textId="77777777" w:rsidR="00970BE2" w:rsidRDefault="00970BE2"/>
    <w:sectPr w:rsidR="00970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FD22" w14:textId="77777777" w:rsidR="00461B7D" w:rsidRDefault="00461B7D" w:rsidP="00424EEE">
      <w:r>
        <w:separator/>
      </w:r>
    </w:p>
  </w:endnote>
  <w:endnote w:type="continuationSeparator" w:id="0">
    <w:p w14:paraId="49B5828F" w14:textId="77777777" w:rsidR="00461B7D" w:rsidRDefault="00461B7D" w:rsidP="004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1ef757c0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B3B7" w14:textId="77777777" w:rsidR="00461B7D" w:rsidRDefault="00461B7D" w:rsidP="00424EEE">
      <w:r>
        <w:separator/>
      </w:r>
    </w:p>
  </w:footnote>
  <w:footnote w:type="continuationSeparator" w:id="0">
    <w:p w14:paraId="3BD473C2" w14:textId="77777777" w:rsidR="00461B7D" w:rsidRDefault="00461B7D" w:rsidP="00424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068"/>
    <w:rsid w:val="000844FD"/>
    <w:rsid w:val="001E5068"/>
    <w:rsid w:val="002329B8"/>
    <w:rsid w:val="00265BD3"/>
    <w:rsid w:val="00356CC8"/>
    <w:rsid w:val="00424EEE"/>
    <w:rsid w:val="00461B7D"/>
    <w:rsid w:val="004D2321"/>
    <w:rsid w:val="004E30DF"/>
    <w:rsid w:val="007540A7"/>
    <w:rsid w:val="00970BE2"/>
    <w:rsid w:val="00BE2833"/>
    <w:rsid w:val="00DC10C7"/>
    <w:rsid w:val="00FE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6A87E"/>
  <w15:docId w15:val="{83B2F04D-07E1-4C8C-8F74-A8C0136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E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EEE"/>
    <w:rPr>
      <w:sz w:val="18"/>
      <w:szCs w:val="18"/>
    </w:rPr>
  </w:style>
  <w:style w:type="table" w:styleId="a7">
    <w:name w:val="Table Grid"/>
    <w:basedOn w:val="a1"/>
    <w:uiPriority w:val="39"/>
    <w:qFormat/>
    <w:rsid w:val="0042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867</Characters>
  <Application>Microsoft Office Word</Application>
  <DocSecurity>0</DocSecurity>
  <Lines>78</Lines>
  <Paragraphs>75</Paragraphs>
  <ScaleCrop>false</ScaleCrop>
  <Company>微软公司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Sylvia Z</cp:lastModifiedBy>
  <cp:revision>9</cp:revision>
  <dcterms:created xsi:type="dcterms:W3CDTF">2023-11-01T21:36:00Z</dcterms:created>
  <dcterms:modified xsi:type="dcterms:W3CDTF">2023-11-02T08:52:00Z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236a3b80a7a5e2c89f8b1dcf2b8c52e132e0cdac98d89b7e5dfe2d495006b3f4</vt:lpwstr>
  </property>
</Properties>
</file>