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84"/>
        <w:jc w:val="both"/>
        <w:rPr>
          <w:rFonts w:ascii="Arial" w:hAnsi="Arial"/>
          <w:b/>
          <w:color w:val="000000"/>
          <w:sz w:val="24"/>
        </w:rPr>
      </w:pPr>
      <w:r>
        <w:rPr>
          <w:rFonts w:ascii="Arial" w:hAnsi="Arial"/>
          <w:b/>
          <w:color w:val="000000"/>
          <w:sz w:val="24"/>
        </w:rPr>
        <w:t xml:space="preserve">Suppression of the long non-coding RNA </w:t>
      </w:r>
      <w:r>
        <w:rPr>
          <w:rFonts w:ascii="Arial" w:hAnsi="Arial"/>
          <w:b/>
          <w:i/>
          <w:color w:val="000000"/>
          <w:sz w:val="24"/>
        </w:rPr>
        <w:t xml:space="preserve">LINC01279 </w:t>
      </w:r>
      <w:r>
        <w:rPr>
          <w:rFonts w:ascii="Arial" w:hAnsi="Arial"/>
          <w:b/>
          <w:color w:val="000000"/>
          <w:sz w:val="24"/>
        </w:rPr>
        <w:t>triggers autophagy and apoptosis in lung cancer by regulating FAK and SIN3A</w:t>
      </w:r>
    </w:p>
    <w:p>
      <w:pPr>
        <w:pStyle w:val="3"/>
        <w:spacing w:line="480" w:lineRule="auto"/>
        <w:ind w:left="0" w:right="84"/>
        <w:rPr>
          <w:rFonts w:ascii="Arial" w:hAnsi="Arial"/>
          <w:color w:val="000000"/>
          <w:sz w:val="22"/>
          <w:lang w:val="en-US"/>
        </w:rPr>
      </w:pPr>
      <w:r>
        <w:rPr>
          <w:rFonts w:ascii="Arial" w:hAnsi="Arial"/>
          <w:color w:val="000000"/>
          <w:sz w:val="22"/>
          <w:lang w:val="en-US"/>
        </w:rPr>
        <w:t>Jiancong Wu</w:t>
      </w:r>
      <w:r>
        <w:rPr>
          <w:rFonts w:ascii="Arial" w:hAnsi="Arial"/>
          <w:color w:val="000000"/>
          <w:sz w:val="22"/>
          <w:vertAlign w:val="superscript"/>
          <w:lang w:val="en-US"/>
        </w:rPr>
        <w:t>1#</w:t>
      </w:r>
      <w:r>
        <w:rPr>
          <w:rFonts w:ascii="Arial" w:hAnsi="Arial"/>
          <w:color w:val="000000"/>
          <w:sz w:val="22"/>
          <w:lang w:val="en-US"/>
        </w:rPr>
        <w:t>, Xiaobi Huang</w:t>
      </w:r>
      <w:r>
        <w:rPr>
          <w:rFonts w:ascii="Arial" w:hAnsi="Arial"/>
          <w:color w:val="000000"/>
          <w:sz w:val="22"/>
          <w:vertAlign w:val="superscript"/>
          <w:lang w:val="en-US"/>
        </w:rPr>
        <w:t>1#</w:t>
      </w:r>
      <w:r>
        <w:rPr>
          <w:rFonts w:ascii="Arial" w:hAnsi="Arial"/>
          <w:color w:val="000000"/>
          <w:sz w:val="22"/>
          <w:lang w:val="en-US"/>
        </w:rPr>
        <w:t>, Xiaofang Li</w:t>
      </w:r>
      <w:r>
        <w:rPr>
          <w:rFonts w:ascii="Arial" w:hAnsi="Arial"/>
          <w:color w:val="000000"/>
          <w:sz w:val="22"/>
          <w:vertAlign w:val="superscript"/>
          <w:lang w:val="en-US"/>
        </w:rPr>
        <w:t>2</w:t>
      </w:r>
      <w:r>
        <w:rPr>
          <w:rFonts w:ascii="Arial" w:hAnsi="Arial"/>
          <w:color w:val="000000"/>
          <w:sz w:val="22"/>
          <w:lang w:val="en-US"/>
        </w:rPr>
        <w:t>, Honglian Zhou</w:t>
      </w:r>
      <w:r>
        <w:rPr>
          <w:rFonts w:ascii="Arial" w:hAnsi="Arial"/>
          <w:color w:val="000000"/>
          <w:sz w:val="22"/>
          <w:vertAlign w:val="superscript"/>
          <w:lang w:val="en-US"/>
        </w:rPr>
        <w:t>1</w:t>
      </w:r>
      <w:r>
        <w:rPr>
          <w:rFonts w:ascii="Arial" w:hAnsi="Arial"/>
          <w:color w:val="000000"/>
          <w:sz w:val="22"/>
          <w:lang w:val="en-US"/>
        </w:rPr>
        <w:t>, Xiaorao Chen</w:t>
      </w:r>
      <w:r>
        <w:rPr>
          <w:rFonts w:ascii="Arial" w:hAnsi="Arial"/>
          <w:color w:val="000000"/>
          <w:sz w:val="22"/>
          <w:vertAlign w:val="superscript"/>
          <w:lang w:val="en-US"/>
        </w:rPr>
        <w:t>1</w:t>
      </w:r>
      <w:r>
        <w:rPr>
          <w:rFonts w:ascii="Arial" w:hAnsi="Arial"/>
          <w:color w:val="000000"/>
          <w:sz w:val="22"/>
          <w:lang w:val="en-US"/>
        </w:rPr>
        <w:t>, Yongyang Chen</w:t>
      </w:r>
      <w:r>
        <w:rPr>
          <w:rFonts w:ascii="Arial" w:hAnsi="Arial"/>
          <w:color w:val="000000"/>
          <w:sz w:val="22"/>
          <w:vertAlign w:val="superscript"/>
          <w:lang w:val="en-US"/>
        </w:rPr>
        <w:t>1</w:t>
      </w:r>
      <w:r>
        <w:rPr>
          <w:rFonts w:ascii="Arial" w:hAnsi="Arial"/>
          <w:color w:val="000000"/>
          <w:sz w:val="22"/>
          <w:lang w:val="en-US"/>
        </w:rPr>
        <w:t>,</w:t>
      </w:r>
      <w:r>
        <w:rPr>
          <w:rFonts w:hint="eastAsia" w:ascii="Arial" w:hAnsi="Arial" w:eastAsia="宋体"/>
          <w:color w:val="000000"/>
          <w:sz w:val="22"/>
          <w:lang w:val="en-US" w:eastAsia="zh-CN"/>
        </w:rPr>
        <w:t xml:space="preserve"> Yudong Guo</w:t>
      </w:r>
      <w:r>
        <w:rPr>
          <w:rFonts w:ascii="Arial" w:hAnsi="Arial"/>
          <w:color w:val="000000"/>
          <w:sz w:val="22"/>
          <w:vertAlign w:val="superscript"/>
          <w:lang w:val="en-US"/>
        </w:rPr>
        <w:t>1</w:t>
      </w:r>
      <w:r>
        <w:rPr>
          <w:rFonts w:ascii="Arial" w:hAnsi="Arial"/>
          <w:color w:val="000000"/>
          <w:sz w:val="22"/>
          <w:lang w:val="en-US"/>
        </w:rPr>
        <w:t>, Jian Huang</w:t>
      </w:r>
      <w:r>
        <w:rPr>
          <w:rFonts w:ascii="Arial" w:hAnsi="Arial"/>
          <w:color w:val="000000"/>
          <w:sz w:val="22"/>
          <w:vertAlign w:val="superscript"/>
          <w:lang w:val="en-US"/>
        </w:rPr>
        <w:t>3</w:t>
      </w:r>
      <w:r>
        <w:rPr>
          <w:rFonts w:ascii="Arial" w:hAnsi="Arial"/>
          <w:color w:val="000000"/>
          <w:sz w:val="22"/>
          <w:lang w:val="en-US"/>
        </w:rPr>
        <w:t>, Hanqing Huang</w:t>
      </w:r>
      <w:r>
        <w:rPr>
          <w:rFonts w:ascii="Arial" w:hAnsi="Arial"/>
          <w:color w:val="000000"/>
          <w:sz w:val="22"/>
          <w:vertAlign w:val="superscript"/>
          <w:lang w:val="en-US"/>
        </w:rPr>
        <w:t>3</w:t>
      </w:r>
      <w:r>
        <w:rPr>
          <w:rFonts w:ascii="Arial" w:hAnsi="Arial"/>
          <w:color w:val="000000"/>
          <w:sz w:val="22"/>
          <w:lang w:val="en-US"/>
        </w:rPr>
        <w:t>, Zhong Huang</w:t>
      </w:r>
      <w:r>
        <w:rPr>
          <w:rFonts w:ascii="Arial" w:hAnsi="Arial"/>
          <w:color w:val="000000"/>
          <w:sz w:val="22"/>
          <w:vertAlign w:val="superscript"/>
          <w:lang w:val="en-US"/>
        </w:rPr>
        <w:t>1</w:t>
      </w:r>
      <w:r>
        <w:rPr>
          <w:rFonts w:ascii="Arial" w:hAnsi="Arial"/>
          <w:color w:val="000000"/>
          <w:sz w:val="22"/>
          <w:lang w:val="en-US"/>
        </w:rPr>
        <w:t>, Guoan Chen</w:t>
      </w:r>
      <w:r>
        <w:rPr>
          <w:rFonts w:ascii="Arial" w:hAnsi="Arial"/>
          <w:color w:val="000000"/>
          <w:sz w:val="22"/>
          <w:vertAlign w:val="superscript"/>
          <w:lang w:val="en-US"/>
        </w:rPr>
        <w:t>4</w:t>
      </w:r>
      <w:r>
        <w:rPr>
          <w:rFonts w:ascii="Arial" w:hAnsi="Arial"/>
          <w:color w:val="000000"/>
          <w:sz w:val="22"/>
          <w:lang w:val="en-US"/>
        </w:rPr>
        <w:t>, Zhixiong Yang</w:t>
      </w:r>
      <w:r>
        <w:rPr>
          <w:rFonts w:ascii="Arial" w:hAnsi="Arial"/>
          <w:color w:val="000000"/>
          <w:sz w:val="22"/>
          <w:vertAlign w:val="superscript"/>
          <w:lang w:val="en-US"/>
        </w:rPr>
        <w:t>1</w:t>
      </w:r>
      <w:r>
        <w:rPr>
          <w:rFonts w:ascii="Arial" w:hAnsi="Arial"/>
          <w:color w:val="000000"/>
          <w:sz w:val="22"/>
          <w:lang w:val="en-US"/>
        </w:rPr>
        <w:t>*, Jian Zhang</w:t>
      </w:r>
      <w:r>
        <w:rPr>
          <w:rFonts w:ascii="Arial" w:hAnsi="Arial"/>
          <w:color w:val="000000"/>
          <w:sz w:val="22"/>
          <w:vertAlign w:val="superscript"/>
          <w:lang w:val="en-US"/>
        </w:rPr>
        <w:t>4</w:t>
      </w:r>
      <w:r>
        <w:rPr>
          <w:rFonts w:ascii="Arial" w:hAnsi="Arial"/>
          <w:color w:val="000000"/>
          <w:sz w:val="22"/>
          <w:lang w:val="en-US"/>
        </w:rPr>
        <w:t>*, Wenmei Su</w:t>
      </w:r>
      <w:r>
        <w:rPr>
          <w:rFonts w:ascii="Arial" w:hAnsi="Arial"/>
          <w:color w:val="000000"/>
          <w:sz w:val="22"/>
          <w:vertAlign w:val="superscript"/>
          <w:lang w:val="en-US"/>
        </w:rPr>
        <w:t>1</w:t>
      </w:r>
      <w:r>
        <w:rPr>
          <w:rFonts w:hint="eastAsia" w:ascii="Arial" w:hAnsi="Arial" w:eastAsia="宋体"/>
          <w:color w:val="000000"/>
          <w:sz w:val="22"/>
          <w:vertAlign w:val="superscript"/>
          <w:lang w:val="en-US" w:eastAsia="zh-CN"/>
        </w:rPr>
        <w:t>,5</w:t>
      </w:r>
      <w:r>
        <w:rPr>
          <w:rFonts w:ascii="Arial" w:hAnsi="Arial"/>
          <w:color w:val="000000"/>
          <w:sz w:val="22"/>
          <w:lang w:val="en-US"/>
        </w:rPr>
        <w:t>*</w:t>
      </w:r>
      <w:bookmarkStart w:id="7" w:name="_GoBack"/>
      <w:bookmarkEnd w:id="7"/>
    </w:p>
    <w:p>
      <w:pPr>
        <w:pStyle w:val="3"/>
        <w:spacing w:line="480" w:lineRule="auto"/>
        <w:ind w:left="0" w:right="84"/>
        <w:rPr>
          <w:rFonts w:ascii="Arial" w:hAnsi="Arial"/>
          <w:color w:val="000000"/>
          <w:sz w:val="22"/>
          <w:lang w:val="en-US"/>
        </w:rPr>
      </w:pPr>
      <w:r>
        <w:rPr>
          <w:rFonts w:ascii="Arial" w:hAnsi="Arial"/>
          <w:color w:val="000000"/>
          <w:sz w:val="22"/>
          <w:vertAlign w:val="superscript"/>
          <w:lang w:val="en-US"/>
        </w:rPr>
        <w:t>1</w:t>
      </w:r>
      <w:r>
        <w:rPr>
          <w:rFonts w:ascii="Arial" w:hAnsi="Arial"/>
          <w:color w:val="000000"/>
          <w:sz w:val="22"/>
          <w:lang w:val="en-US"/>
        </w:rPr>
        <w:t xml:space="preserve">Department of Pulmonary Oncology, </w:t>
      </w:r>
      <w:bookmarkStart w:id="0" w:name="OLE_LINK10"/>
      <w:r>
        <w:rPr>
          <w:rFonts w:ascii="Arial" w:hAnsi="Arial"/>
          <w:color w:val="000000"/>
          <w:sz w:val="22"/>
          <w:lang w:val="en-US"/>
        </w:rPr>
        <w:t>Affiliated Hospital of Guangdong Medical University</w:t>
      </w:r>
      <w:bookmarkEnd w:id="0"/>
      <w:r>
        <w:rPr>
          <w:rFonts w:ascii="Arial" w:hAnsi="Arial"/>
          <w:color w:val="000000"/>
          <w:sz w:val="22"/>
          <w:lang w:val="en-US"/>
        </w:rPr>
        <w:t xml:space="preserve">, Zhanjiang, </w:t>
      </w:r>
      <w:r>
        <w:rPr>
          <w:rFonts w:hint="eastAsia" w:ascii="Arial" w:hAnsi="Arial" w:eastAsia="宋体"/>
          <w:color w:val="000000"/>
          <w:sz w:val="22"/>
          <w:lang w:val="en-US" w:eastAsia="zh-CN"/>
        </w:rPr>
        <w:t xml:space="preserve">524000, </w:t>
      </w:r>
      <w:r>
        <w:rPr>
          <w:rFonts w:ascii="Arial" w:hAnsi="Arial"/>
          <w:color w:val="000000"/>
          <w:sz w:val="22"/>
          <w:lang w:val="en-US"/>
        </w:rPr>
        <w:t>China</w:t>
      </w:r>
    </w:p>
    <w:p>
      <w:pPr>
        <w:pStyle w:val="3"/>
        <w:spacing w:line="480" w:lineRule="auto"/>
        <w:ind w:left="0" w:right="84"/>
        <w:rPr>
          <w:rFonts w:ascii="Arial" w:hAnsi="Arial"/>
          <w:color w:val="000000"/>
          <w:sz w:val="22"/>
          <w:lang w:val="en-US"/>
        </w:rPr>
      </w:pPr>
      <w:r>
        <w:rPr>
          <w:rFonts w:ascii="Arial" w:hAnsi="Arial"/>
          <w:color w:val="000000"/>
          <w:sz w:val="22"/>
          <w:vertAlign w:val="superscript"/>
          <w:lang w:val="en-US"/>
        </w:rPr>
        <w:t>2</w:t>
      </w:r>
      <w:r>
        <w:rPr>
          <w:rFonts w:ascii="Arial" w:hAnsi="Arial"/>
          <w:color w:val="000000"/>
          <w:sz w:val="22"/>
          <w:lang w:val="en-US"/>
        </w:rPr>
        <w:t xml:space="preserve">Center for Pathological Diagnosis and Research, Affiliated Hospital of Guangdong Medical University, Zhanjiang, </w:t>
      </w:r>
      <w:r>
        <w:rPr>
          <w:rFonts w:hint="eastAsia" w:ascii="Arial" w:hAnsi="Arial" w:eastAsia="宋体"/>
          <w:color w:val="000000"/>
          <w:sz w:val="22"/>
          <w:lang w:val="en-US" w:eastAsia="zh-CN"/>
        </w:rPr>
        <w:t xml:space="preserve">524000, </w:t>
      </w:r>
      <w:r>
        <w:rPr>
          <w:rFonts w:ascii="Arial" w:hAnsi="Arial"/>
          <w:color w:val="000000"/>
          <w:sz w:val="22"/>
          <w:lang w:val="en-US"/>
        </w:rPr>
        <w:t>China</w:t>
      </w:r>
    </w:p>
    <w:p>
      <w:pPr>
        <w:pStyle w:val="3"/>
        <w:spacing w:line="480" w:lineRule="auto"/>
        <w:ind w:left="0" w:right="-58"/>
        <w:rPr>
          <w:rFonts w:ascii="Arial" w:hAnsi="Arial" w:eastAsia="宋体"/>
          <w:color w:val="000000"/>
          <w:sz w:val="22"/>
          <w:lang w:val="en-US" w:eastAsia="zh-CN"/>
        </w:rPr>
      </w:pPr>
      <w:r>
        <w:rPr>
          <w:rFonts w:ascii="Arial" w:hAnsi="Arial"/>
          <w:color w:val="000000"/>
          <w:sz w:val="22"/>
          <w:vertAlign w:val="superscript"/>
          <w:lang w:val="en-US"/>
        </w:rPr>
        <w:t>3</w:t>
      </w:r>
      <w:r>
        <w:rPr>
          <w:rFonts w:ascii="Arial" w:hAnsi="Arial"/>
          <w:color w:val="000000"/>
          <w:sz w:val="22"/>
          <w:lang w:val="en-US"/>
        </w:rPr>
        <w:t>Department of Thoracic Surgery, Maoming People's Hospital</w:t>
      </w:r>
      <w:r>
        <w:rPr>
          <w:rFonts w:hint="eastAsia" w:ascii="Arial" w:hAnsi="Arial" w:eastAsia="宋体"/>
          <w:color w:val="000000"/>
          <w:sz w:val="22"/>
          <w:lang w:val="en-US" w:eastAsia="zh-CN"/>
        </w:rPr>
        <w:t xml:space="preserve">, </w:t>
      </w:r>
      <w:r>
        <w:rPr>
          <w:rFonts w:ascii="Arial" w:hAnsi="Arial"/>
          <w:color w:val="000000"/>
          <w:sz w:val="22"/>
          <w:lang w:val="en-US"/>
        </w:rPr>
        <w:t xml:space="preserve">Maoming, </w:t>
      </w:r>
      <w:r>
        <w:rPr>
          <w:rFonts w:hint="eastAsia" w:ascii="Arial" w:hAnsi="Arial" w:eastAsia="宋体"/>
          <w:color w:val="000000"/>
          <w:sz w:val="22"/>
          <w:lang w:val="en-US" w:eastAsia="zh-CN"/>
        </w:rPr>
        <w:t xml:space="preserve">525000, </w:t>
      </w:r>
      <w:r>
        <w:rPr>
          <w:rFonts w:ascii="Arial" w:hAnsi="Arial"/>
          <w:color w:val="000000"/>
          <w:sz w:val="22"/>
          <w:lang w:val="en-US"/>
        </w:rPr>
        <w:t>China</w:t>
      </w:r>
    </w:p>
    <w:p>
      <w:pPr>
        <w:pStyle w:val="3"/>
        <w:spacing w:line="480" w:lineRule="auto"/>
        <w:ind w:left="0" w:right="84"/>
        <w:rPr>
          <w:rFonts w:ascii="Arial" w:hAnsi="Arial"/>
          <w:color w:val="000000"/>
          <w:sz w:val="22"/>
          <w:lang w:val="en-US"/>
        </w:rPr>
      </w:pPr>
      <w:r>
        <w:rPr>
          <w:rFonts w:ascii="Arial" w:hAnsi="Arial"/>
          <w:color w:val="000000"/>
          <w:sz w:val="22"/>
          <w:vertAlign w:val="superscript"/>
          <w:lang w:val="en-US"/>
        </w:rPr>
        <w:t>4</w:t>
      </w:r>
      <w:r>
        <w:rPr>
          <w:rFonts w:ascii="Arial" w:hAnsi="Arial"/>
          <w:color w:val="000000"/>
          <w:sz w:val="22"/>
          <w:lang w:val="en-US"/>
        </w:rPr>
        <w:t>School of Medicine, Southern University of Science and Technology, Shenzhen 518055, China</w:t>
      </w:r>
    </w:p>
    <w:p>
      <w:pPr>
        <w:pStyle w:val="3"/>
        <w:spacing w:line="360" w:lineRule="auto"/>
        <w:ind w:left="0" w:right="-58"/>
        <w:rPr>
          <w:rFonts w:ascii="Arial" w:hAnsi="Arial"/>
          <w:color w:val="000000"/>
          <w:sz w:val="22"/>
          <w:lang w:val="en-US"/>
        </w:rPr>
      </w:pPr>
      <w:r>
        <w:rPr>
          <w:rFonts w:hint="eastAsia" w:ascii="Arial" w:hAnsi="Arial"/>
          <w:color w:val="000000"/>
          <w:sz w:val="22"/>
          <w:vertAlign w:val="superscript"/>
          <w:lang w:val="en-US" w:eastAsia="zh-CN"/>
        </w:rPr>
        <w:t>5</w:t>
      </w:r>
      <w:r>
        <w:rPr>
          <w:rFonts w:ascii="Arial" w:hAnsi="Arial"/>
          <w:color w:val="000000"/>
          <w:sz w:val="22"/>
          <w:lang w:val="en-US"/>
        </w:rPr>
        <w:t>Guangdong Provincial Key Laboratory of Autophagy and Major Chronic Non</w:t>
      </w:r>
      <w:r>
        <w:rPr>
          <w:rFonts w:hint="eastAsia" w:ascii="Arial" w:hAnsi="Arial"/>
          <w:color w:val="000000"/>
          <w:sz w:val="22"/>
          <w:lang w:val="en-US" w:eastAsia="zh-CN"/>
        </w:rPr>
        <w:t>-</w:t>
      </w:r>
      <w:r>
        <w:rPr>
          <w:rFonts w:ascii="Arial" w:hAnsi="Arial"/>
          <w:color w:val="000000"/>
          <w:sz w:val="22"/>
          <w:lang w:val="en-US"/>
        </w:rPr>
        <w:t xml:space="preserve">communicable Diseases, Affiliated Hospital of Guangdong Medical University, Zhanjiang, </w:t>
      </w:r>
      <w:r>
        <w:rPr>
          <w:rFonts w:hint="eastAsia" w:ascii="Arial" w:hAnsi="Arial" w:eastAsia="宋体"/>
          <w:color w:val="000000"/>
          <w:sz w:val="22"/>
          <w:lang w:val="en-US" w:eastAsia="zh-CN"/>
        </w:rPr>
        <w:t xml:space="preserve">524000, </w:t>
      </w:r>
      <w:r>
        <w:rPr>
          <w:rFonts w:ascii="Arial" w:hAnsi="Arial"/>
          <w:color w:val="000000"/>
          <w:sz w:val="22"/>
          <w:lang w:val="en-US"/>
        </w:rPr>
        <w:t>China</w:t>
      </w:r>
    </w:p>
    <w:p>
      <w:pPr>
        <w:pStyle w:val="3"/>
        <w:spacing w:line="360" w:lineRule="auto"/>
        <w:ind w:left="0" w:right="-424"/>
        <w:rPr>
          <w:rFonts w:ascii="Arial" w:hAnsi="Arial"/>
          <w:color w:val="000000"/>
          <w:sz w:val="22"/>
          <w:lang w:val="en-US"/>
        </w:rPr>
      </w:pPr>
    </w:p>
    <w:p>
      <w:pPr>
        <w:pStyle w:val="3"/>
        <w:spacing w:line="360" w:lineRule="auto"/>
        <w:ind w:left="0" w:right="-424"/>
        <w:rPr>
          <w:rFonts w:ascii="Arial" w:hAnsi="Arial"/>
          <w:color w:val="000000"/>
          <w:sz w:val="22"/>
          <w:lang w:val="en-US"/>
        </w:rPr>
      </w:pPr>
    </w:p>
    <w:p>
      <w:pPr>
        <w:pStyle w:val="3"/>
        <w:spacing w:line="360" w:lineRule="auto"/>
        <w:ind w:left="0" w:right="-424"/>
        <w:rPr>
          <w:rFonts w:ascii="Arial" w:hAnsi="Arial"/>
          <w:color w:val="000000"/>
          <w:sz w:val="22"/>
          <w:lang w:val="en-US"/>
        </w:rPr>
      </w:pPr>
      <w:r>
        <w:rPr>
          <w:rFonts w:ascii="Arial" w:hAnsi="Arial"/>
          <w:color w:val="000000"/>
          <w:sz w:val="22"/>
          <w:lang w:val="en-US"/>
        </w:rPr>
        <w:t xml:space="preserve">Running title: </w:t>
      </w:r>
      <w:r>
        <w:rPr>
          <w:rFonts w:ascii="Arial" w:hAnsi="Arial"/>
          <w:i/>
          <w:color w:val="000000"/>
          <w:sz w:val="22"/>
          <w:lang w:val="en-US"/>
        </w:rPr>
        <w:t>LINC01279</w:t>
      </w:r>
      <w:r>
        <w:rPr>
          <w:rFonts w:ascii="Arial" w:hAnsi="Arial"/>
          <w:color w:val="000000"/>
          <w:sz w:val="22"/>
          <w:lang w:val="en-US"/>
        </w:rPr>
        <w:t xml:space="preserve"> regulates LUAD progression.</w:t>
      </w:r>
    </w:p>
    <w:p>
      <w:pPr>
        <w:pStyle w:val="3"/>
        <w:spacing w:line="360" w:lineRule="auto"/>
        <w:ind w:left="0" w:right="-424"/>
        <w:rPr>
          <w:rFonts w:ascii="Arial" w:hAnsi="Arial"/>
          <w:color w:val="000000"/>
          <w:sz w:val="22"/>
          <w:vertAlign w:val="superscript"/>
          <w:lang w:val="en-US"/>
        </w:rPr>
      </w:pPr>
    </w:p>
    <w:p>
      <w:pPr>
        <w:pStyle w:val="3"/>
        <w:spacing w:line="360" w:lineRule="auto"/>
        <w:ind w:left="0" w:right="-424"/>
        <w:rPr>
          <w:rFonts w:ascii="Arial" w:hAnsi="Arial"/>
          <w:color w:val="000000"/>
          <w:sz w:val="22"/>
          <w:lang w:val="en-US"/>
        </w:rPr>
      </w:pPr>
    </w:p>
    <w:p>
      <w:pPr>
        <w:pStyle w:val="3"/>
        <w:spacing w:line="480" w:lineRule="auto"/>
        <w:ind w:left="0" w:right="-424"/>
        <w:rPr>
          <w:rFonts w:ascii="Arial" w:hAnsi="Arial"/>
          <w:color w:val="000000"/>
          <w:sz w:val="22"/>
          <w:lang w:val="en-US"/>
        </w:rPr>
      </w:pPr>
      <w:r>
        <w:rPr>
          <w:rFonts w:ascii="Arial" w:hAnsi="Arial"/>
          <w:color w:val="000000"/>
          <w:sz w:val="22"/>
          <w:vertAlign w:val="superscript"/>
          <w:lang w:val="en-US"/>
        </w:rPr>
        <w:t>#</w:t>
      </w:r>
      <w:r>
        <w:rPr>
          <w:rFonts w:ascii="Arial" w:hAnsi="Arial"/>
          <w:color w:val="000000"/>
          <w:sz w:val="22"/>
          <w:lang w:val="en-US"/>
        </w:rPr>
        <w:t>Jiancong Wu and Xiaobi Huang contributed equally.</w:t>
      </w:r>
    </w:p>
    <w:p>
      <w:pPr>
        <w:pStyle w:val="3"/>
        <w:spacing w:line="480" w:lineRule="auto"/>
        <w:ind w:left="0" w:right="84"/>
        <w:rPr>
          <w:rFonts w:ascii="Arial" w:hAnsi="Arial"/>
          <w:color w:val="000000"/>
          <w:sz w:val="22"/>
          <w:lang w:val="en-US"/>
        </w:rPr>
      </w:pPr>
      <w:r>
        <w:rPr>
          <w:rFonts w:ascii="Arial" w:hAnsi="Arial"/>
          <w:color w:val="000000"/>
          <w:sz w:val="22"/>
          <w:lang w:val="en-US"/>
        </w:rPr>
        <w:t xml:space="preserve">*Correspondence: </w:t>
      </w:r>
      <w:r>
        <w:rPr>
          <w:rFonts w:ascii="Arial" w:hAnsi="Arial"/>
          <w:color w:val="000000"/>
          <w:spacing w:val="-4"/>
          <w:sz w:val="22"/>
          <w:lang w:val="en-US"/>
        </w:rPr>
        <w:t xml:space="preserve">Wenmei </w:t>
      </w:r>
      <w:r>
        <w:rPr>
          <w:rFonts w:ascii="Arial" w:hAnsi="Arial"/>
          <w:color w:val="000000"/>
          <w:sz w:val="22"/>
          <w:lang w:val="en-US"/>
        </w:rPr>
        <w:t>Su (</w:t>
      </w:r>
      <w:r>
        <w:fldChar w:fldCharType="begin"/>
      </w:r>
      <w:r>
        <w:instrText xml:space="preserve"> HYPERLINK "mailto:suwenmei123@hotmail.com" </w:instrText>
      </w:r>
      <w:r>
        <w:fldChar w:fldCharType="separate"/>
      </w:r>
      <w:r>
        <w:rPr>
          <w:rStyle w:val="10"/>
          <w:rFonts w:ascii="Arial" w:hAnsi="Arial"/>
          <w:color w:val="auto"/>
          <w:sz w:val="22"/>
          <w:u w:val="none"/>
          <w:lang w:val="en-US"/>
        </w:rPr>
        <w:t>suwenmei123@hotmail.com</w:t>
      </w:r>
      <w:r>
        <w:rPr>
          <w:rStyle w:val="10"/>
          <w:rFonts w:ascii="Arial" w:hAnsi="Arial"/>
          <w:color w:val="auto"/>
          <w:sz w:val="22"/>
          <w:u w:val="none"/>
          <w:lang w:val="en-US"/>
        </w:rPr>
        <w:fldChar w:fldCharType="end"/>
      </w:r>
      <w:r>
        <w:rPr>
          <w:rFonts w:ascii="Arial" w:hAnsi="Arial"/>
          <w:sz w:val="22"/>
          <w:lang w:val="en-US"/>
        </w:rPr>
        <w:t>),</w:t>
      </w:r>
      <w:r>
        <w:rPr>
          <w:rFonts w:ascii="Arial" w:hAnsi="Arial"/>
          <w:color w:val="000000"/>
          <w:sz w:val="22"/>
          <w:lang w:val="en-US"/>
        </w:rPr>
        <w:t xml:space="preserve"> Zhixiong </w:t>
      </w:r>
      <w:r>
        <w:rPr>
          <w:rFonts w:ascii="Arial" w:hAnsi="Arial"/>
          <w:color w:val="000000"/>
          <w:spacing w:val="-5"/>
          <w:sz w:val="22"/>
          <w:lang w:val="en-US"/>
        </w:rPr>
        <w:t xml:space="preserve">Yang </w:t>
      </w:r>
      <w:r>
        <w:rPr>
          <w:rFonts w:ascii="Arial" w:hAnsi="Arial"/>
          <w:color w:val="000000"/>
          <w:sz w:val="22"/>
          <w:lang w:val="en-US"/>
        </w:rPr>
        <w:t>(</w:t>
      </w:r>
      <w:r>
        <w:fldChar w:fldCharType="begin"/>
      </w:r>
      <w:r>
        <w:instrText xml:space="preserve"> HYPERLINK "mailto:yangzhixiong068@126.com" </w:instrText>
      </w:r>
      <w:r>
        <w:fldChar w:fldCharType="separate"/>
      </w:r>
      <w:r>
        <w:rPr>
          <w:rStyle w:val="10"/>
          <w:rFonts w:hint="eastAsia" w:ascii="Arial" w:hAnsi="Arial" w:eastAsiaTheme="minorEastAsia" w:cstheme="minorBidi"/>
          <w:color w:val="auto"/>
          <w:sz w:val="22"/>
          <w:u w:val="none"/>
          <w:lang w:val="en-US"/>
        </w:rPr>
        <w:t>yangzhixiong068@126.com</w:t>
      </w:r>
      <w:r>
        <w:rPr>
          <w:rStyle w:val="10"/>
          <w:rFonts w:hint="eastAsia" w:ascii="Arial" w:hAnsi="Arial" w:eastAsiaTheme="minorEastAsia" w:cstheme="minorBidi"/>
          <w:color w:val="auto"/>
          <w:sz w:val="22"/>
          <w:u w:val="none"/>
          <w:lang w:val="en-US"/>
        </w:rPr>
        <w:fldChar w:fldCharType="end"/>
      </w:r>
      <w:r>
        <w:fldChar w:fldCharType="begin"/>
      </w:r>
      <w:r>
        <w:instrText xml:space="preserve"> HYPERLINK "mailto:yangzhixiong068@126.com" \h </w:instrText>
      </w:r>
      <w:r>
        <w:fldChar w:fldCharType="separate"/>
      </w:r>
      <w:r>
        <w:rPr>
          <w:rFonts w:ascii="Arial" w:hAnsi="Arial"/>
          <w:color w:val="000000"/>
          <w:sz w:val="22"/>
          <w:lang w:val="en-US"/>
        </w:rPr>
        <w:t xml:space="preserve">), and </w:t>
      </w:r>
      <w:r>
        <w:rPr>
          <w:rFonts w:ascii="Arial" w:hAnsi="Arial"/>
          <w:color w:val="000000"/>
          <w:sz w:val="22"/>
          <w:lang w:val="en-US"/>
        </w:rPr>
        <w:fldChar w:fldCharType="end"/>
      </w:r>
      <w:r>
        <w:rPr>
          <w:rFonts w:ascii="Arial" w:hAnsi="Arial"/>
          <w:color w:val="000000"/>
          <w:sz w:val="22"/>
          <w:lang w:val="en-US"/>
        </w:rPr>
        <w:t>Jian Zhang (</w:t>
      </w:r>
      <w:r>
        <w:fldChar w:fldCharType="begin"/>
      </w:r>
      <w:r>
        <w:instrText xml:space="preserve"> HYPERLINK "mailto:jianzhang008@hotmail.com" </w:instrText>
      </w:r>
      <w:r>
        <w:fldChar w:fldCharType="separate"/>
      </w:r>
      <w:r>
        <w:rPr>
          <w:rFonts w:ascii="Arial" w:hAnsi="Arial"/>
          <w:color w:val="000000"/>
          <w:sz w:val="22"/>
          <w:lang w:val="en-US"/>
        </w:rPr>
        <w:t>jianzhang008@hotmail.com</w:t>
      </w:r>
      <w:r>
        <w:rPr>
          <w:rFonts w:ascii="Arial" w:hAnsi="Arial"/>
          <w:color w:val="000000"/>
          <w:sz w:val="22"/>
          <w:lang w:val="en-US"/>
        </w:rPr>
        <w:fldChar w:fldCharType="end"/>
      </w:r>
      <w:r>
        <w:rPr>
          <w:rFonts w:ascii="Arial" w:hAnsi="Arial"/>
          <w:color w:val="000000"/>
          <w:sz w:val="22"/>
          <w:lang w:val="en-US"/>
        </w:rPr>
        <w:t>)</w:t>
      </w:r>
    </w:p>
    <w:p>
      <w:pPr>
        <w:pStyle w:val="2"/>
        <w:spacing w:line="480" w:lineRule="auto"/>
        <w:ind w:left="0" w:right="-432"/>
        <w:rPr>
          <w:rFonts w:ascii="Arial" w:hAnsi="Arial"/>
          <w:sz w:val="22"/>
        </w:rPr>
      </w:pPr>
      <w:bookmarkStart w:id="1" w:name="Abstract"/>
      <w:bookmarkEnd w:id="1"/>
      <w:r>
        <w:br w:type="page"/>
      </w:r>
      <w:r>
        <w:rPr>
          <w:rFonts w:ascii="Arial" w:hAnsi="Arial"/>
          <w:sz w:val="22"/>
          <w:lang w:val="fr-FR" w:eastAsia="fr-FR" w:bidi="ar-SA"/>
        </w:rPr>
        <w:drawing>
          <wp:inline distT="0" distB="0" distL="0" distR="0">
            <wp:extent cx="5274310" cy="2379980"/>
            <wp:effectExtent l="25400" t="0" r="8890" b="0"/>
            <wp:docPr id="26" name="Image 25" descr="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5" descr="Figure S1.jpg"/>
                    <pic:cNvPicPr>
                      <a:picLocks noChangeAspect="1"/>
                    </pic:cNvPicPr>
                  </pic:nvPicPr>
                  <pic:blipFill>
                    <a:blip r:embed="rId4"/>
                    <a:stretch>
                      <a:fillRect/>
                    </a:stretch>
                  </pic:blipFill>
                  <pic:spPr>
                    <a:xfrm>
                      <a:off x="0" y="0"/>
                      <a:ext cx="5274310" cy="2379980"/>
                    </a:xfrm>
                    <a:prstGeom prst="rect">
                      <a:avLst/>
                    </a:prstGeom>
                  </pic:spPr>
                </pic:pic>
              </a:graphicData>
            </a:graphic>
          </wp:inline>
        </w:drawing>
      </w:r>
    </w:p>
    <w:p>
      <w:pPr>
        <w:pStyle w:val="2"/>
        <w:spacing w:line="360" w:lineRule="auto"/>
        <w:ind w:left="0" w:right="84"/>
        <w:rPr>
          <w:rFonts w:ascii="Arial" w:hAnsi="Arial"/>
          <w:b w:val="0"/>
          <w:sz w:val="22"/>
        </w:rPr>
      </w:pPr>
      <w:r>
        <w:rPr>
          <w:rFonts w:ascii="Arial" w:hAnsi="Arial"/>
          <w:sz w:val="22"/>
        </w:rPr>
        <w:t>Supplementary Figure S1</w:t>
      </w:r>
      <w:r>
        <w:rPr>
          <w:rFonts w:ascii="Arial" w:hAnsi="Arial"/>
          <w:b w:val="0"/>
          <w:sz w:val="22"/>
        </w:rPr>
        <w:t xml:space="preserve">. (A) Knockdown of </w:t>
      </w:r>
      <w:r>
        <w:rPr>
          <w:rFonts w:ascii="Arial" w:hAnsi="Arial"/>
          <w:b w:val="0"/>
          <w:i/>
          <w:sz w:val="22"/>
        </w:rPr>
        <w:t xml:space="preserve">LINC01279 </w:t>
      </w:r>
      <w:r>
        <w:rPr>
          <w:rFonts w:ascii="Arial" w:hAnsi="Arial"/>
          <w:b w:val="0"/>
          <w:sz w:val="22"/>
        </w:rPr>
        <w:t xml:space="preserve">in H1299, H838 and PC-9 cells prevents colony formation. (B) Quantification of colony formation. Values were normalized to siCtrl-treated conditions. Data are the mean ± s.e.m. from three independent experiments (**, </w:t>
      </w:r>
      <w:r>
        <w:rPr>
          <w:rFonts w:ascii="Arial" w:hAnsi="Arial"/>
          <w:b w:val="0"/>
          <w:i/>
          <w:sz w:val="22"/>
        </w:rPr>
        <w:t>P</w:t>
      </w:r>
      <w:r>
        <w:rPr>
          <w:rFonts w:ascii="Arial" w:hAnsi="Arial"/>
          <w:b w:val="0"/>
          <w:sz w:val="22"/>
        </w:rPr>
        <w:t xml:space="preserve"> &lt;0.01). </w:t>
      </w:r>
    </w:p>
    <w:p>
      <w:pPr>
        <w:ind w:firstLine="220" w:firstLineChars="100"/>
      </w:pPr>
    </w:p>
    <w:p>
      <w:pPr>
        <w:ind w:firstLine="220" w:firstLineChars="100"/>
      </w:pPr>
    </w:p>
    <w:p>
      <w:pPr>
        <w:ind w:firstLine="220" w:firstLineChars="100"/>
      </w:pPr>
    </w:p>
    <w:p>
      <w:pPr>
        <w:ind w:firstLine="220" w:firstLineChars="100"/>
      </w:pPr>
    </w:p>
    <w:p>
      <w:pPr>
        <w:ind w:firstLine="220" w:firstLineChars="100"/>
      </w:pPr>
    </w:p>
    <w:p>
      <w:pPr>
        <w:ind w:firstLine="220" w:firstLineChars="100"/>
      </w:pPr>
      <w:r>
        <w:rPr>
          <w:lang w:val="fr-FR" w:eastAsia="fr-FR" w:bidi="ar-SA"/>
        </w:rPr>
        <w:drawing>
          <wp:inline distT="0" distB="0" distL="0" distR="0">
            <wp:extent cx="5274310" cy="1310640"/>
            <wp:effectExtent l="25400" t="0" r="8890" b="0"/>
            <wp:docPr id="27" name="Image 26" descr="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6" descr="Figure S2.jpg"/>
                    <pic:cNvPicPr>
                      <a:picLocks noChangeAspect="1"/>
                    </pic:cNvPicPr>
                  </pic:nvPicPr>
                  <pic:blipFill>
                    <a:blip r:embed="rId5"/>
                    <a:stretch>
                      <a:fillRect/>
                    </a:stretch>
                  </pic:blipFill>
                  <pic:spPr>
                    <a:xfrm>
                      <a:off x="0" y="0"/>
                      <a:ext cx="5274310" cy="1310640"/>
                    </a:xfrm>
                    <a:prstGeom prst="rect">
                      <a:avLst/>
                    </a:prstGeom>
                  </pic:spPr>
                </pic:pic>
              </a:graphicData>
            </a:graphic>
          </wp:inline>
        </w:drawing>
      </w:r>
    </w:p>
    <w:p>
      <w:pPr>
        <w:pStyle w:val="2"/>
        <w:spacing w:line="480" w:lineRule="auto"/>
        <w:ind w:left="0" w:right="84"/>
        <w:rPr>
          <w:rFonts w:ascii="Arial" w:hAnsi="Arial"/>
          <w:b w:val="0"/>
          <w:sz w:val="22"/>
        </w:rPr>
      </w:pPr>
      <w:bookmarkStart w:id="2" w:name="Supplementary_Figure_S2."/>
      <w:bookmarkEnd w:id="2"/>
      <w:r>
        <w:rPr>
          <w:rFonts w:ascii="Arial" w:hAnsi="Arial"/>
          <w:sz w:val="22"/>
        </w:rPr>
        <w:t xml:space="preserve">Supplementary Figure S2. </w:t>
      </w:r>
      <w:r>
        <w:rPr>
          <w:rFonts w:ascii="Arial" w:hAnsi="Arial"/>
          <w:b w:val="0"/>
          <w:sz w:val="22"/>
        </w:rPr>
        <w:t xml:space="preserve">(A-C) RT-qPCR analyses of cytoplasmic and nuclear distributions of </w:t>
      </w:r>
      <w:r>
        <w:rPr>
          <w:rFonts w:ascii="Arial" w:hAnsi="Arial"/>
          <w:b w:val="0"/>
          <w:i/>
          <w:sz w:val="22"/>
        </w:rPr>
        <w:t xml:space="preserve">LINC01279 </w:t>
      </w:r>
      <w:r>
        <w:rPr>
          <w:rFonts w:ascii="Arial" w:hAnsi="Arial"/>
          <w:b w:val="0"/>
          <w:sz w:val="22"/>
        </w:rPr>
        <w:t>in H1299, H838 and PC-9 cells. GAPDH and U1 snRNA were used as controls for the preparation of cytoplasmic and nuclear RNAs, respectively.</w:t>
      </w:r>
    </w:p>
    <w:p>
      <w:pPr>
        <w:jc w:val="center"/>
      </w:pPr>
      <w:r>
        <w:rPr>
          <w:lang w:val="fr-FR" w:eastAsia="fr-FR" w:bidi="ar-SA"/>
        </w:rPr>
        <w:drawing>
          <wp:inline distT="0" distB="0" distL="0" distR="0">
            <wp:extent cx="4320540" cy="1508760"/>
            <wp:effectExtent l="25400" t="0" r="0" b="0"/>
            <wp:docPr id="28" name="Image 27" descr="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7" descr="Figure S3.jpg"/>
                    <pic:cNvPicPr>
                      <a:picLocks noChangeAspect="1"/>
                    </pic:cNvPicPr>
                  </pic:nvPicPr>
                  <pic:blipFill>
                    <a:blip r:embed="rId6"/>
                    <a:stretch>
                      <a:fillRect/>
                    </a:stretch>
                  </pic:blipFill>
                  <pic:spPr>
                    <a:xfrm>
                      <a:off x="0" y="0"/>
                      <a:ext cx="4320540" cy="1508760"/>
                    </a:xfrm>
                    <a:prstGeom prst="rect">
                      <a:avLst/>
                    </a:prstGeom>
                  </pic:spPr>
                </pic:pic>
              </a:graphicData>
            </a:graphic>
          </wp:inline>
        </w:drawing>
      </w:r>
    </w:p>
    <w:p>
      <w:pPr>
        <w:spacing w:line="360" w:lineRule="auto"/>
        <w:ind w:right="84"/>
        <w:jc w:val="both"/>
        <w:rPr>
          <w:rFonts w:ascii="Arial" w:hAnsi="Arial"/>
        </w:rPr>
      </w:pPr>
      <w:bookmarkStart w:id="3" w:name="Supplementary_Figure_S3."/>
      <w:bookmarkEnd w:id="3"/>
      <w:r>
        <w:rPr>
          <w:rFonts w:ascii="Arial" w:hAnsi="Arial"/>
          <w:b/>
        </w:rPr>
        <w:t>Supplementary Figure S3.</w:t>
      </w:r>
      <w:r>
        <w:rPr>
          <w:rFonts w:ascii="Arial" w:hAnsi="Arial"/>
        </w:rPr>
        <w:t xml:space="preserve"> (A, B) RT-qPCR analyses of the expression of FAK and ERK mRNAs after </w:t>
      </w:r>
      <w:r>
        <w:rPr>
          <w:rFonts w:ascii="Arial" w:hAnsi="Arial"/>
          <w:i/>
        </w:rPr>
        <w:t xml:space="preserve">LINC01279 </w:t>
      </w:r>
      <w:r>
        <w:rPr>
          <w:rFonts w:ascii="Arial" w:hAnsi="Arial"/>
        </w:rPr>
        <w:t xml:space="preserve">knockdown in H1299 and PC-9 cells. Values were normalized to siCtrl-treated conditions. Data are the mean ± s.e.m. from three independent experiments (*, </w:t>
      </w:r>
      <w:r>
        <w:rPr>
          <w:rFonts w:ascii="Arial" w:hAnsi="Arial"/>
          <w:i/>
        </w:rPr>
        <w:t>P</w:t>
      </w:r>
      <w:r>
        <w:rPr>
          <w:rFonts w:ascii="Arial" w:hAnsi="Arial"/>
        </w:rPr>
        <w:t xml:space="preserve"> &lt; 0.05).  </w:t>
      </w:r>
    </w:p>
    <w:p>
      <w:pPr>
        <w:spacing w:line="360" w:lineRule="auto"/>
        <w:ind w:right="-424"/>
        <w:jc w:val="both"/>
        <w:rPr>
          <w:rFonts w:ascii="Arial" w:hAnsi="Arial"/>
        </w:rPr>
      </w:pPr>
    </w:p>
    <w:p>
      <w:pPr>
        <w:spacing w:line="360" w:lineRule="auto"/>
        <w:ind w:right="-424"/>
        <w:jc w:val="both"/>
        <w:rPr>
          <w:rFonts w:ascii="Arial" w:hAnsi="Arial"/>
        </w:rPr>
      </w:pPr>
    </w:p>
    <w:p>
      <w:pPr>
        <w:spacing w:line="480" w:lineRule="auto"/>
        <w:ind w:right="-424" w:firstLine="440" w:firstLineChars="200"/>
        <w:jc w:val="center"/>
      </w:pPr>
      <w:r>
        <w:rPr>
          <w:lang w:val="fr-FR" w:eastAsia="fr-FR" w:bidi="ar-SA"/>
        </w:rPr>
        <w:drawing>
          <wp:inline distT="0" distB="0" distL="0" distR="0">
            <wp:extent cx="2520315" cy="2550795"/>
            <wp:effectExtent l="25400" t="0" r="0" b="0"/>
            <wp:docPr id="29" name="Image 28" descr="Figure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8" descr="Figure S4.jpg"/>
                    <pic:cNvPicPr>
                      <a:picLocks noChangeAspect="1"/>
                    </pic:cNvPicPr>
                  </pic:nvPicPr>
                  <pic:blipFill>
                    <a:blip r:embed="rId7"/>
                    <a:stretch>
                      <a:fillRect/>
                    </a:stretch>
                  </pic:blipFill>
                  <pic:spPr>
                    <a:xfrm>
                      <a:off x="0" y="0"/>
                      <a:ext cx="2520696" cy="2551176"/>
                    </a:xfrm>
                    <a:prstGeom prst="rect">
                      <a:avLst/>
                    </a:prstGeom>
                  </pic:spPr>
                </pic:pic>
              </a:graphicData>
            </a:graphic>
          </wp:inline>
        </w:drawing>
      </w:r>
    </w:p>
    <w:p>
      <w:pPr>
        <w:pStyle w:val="2"/>
        <w:spacing w:line="360" w:lineRule="auto"/>
        <w:ind w:left="0" w:right="84"/>
        <w:rPr>
          <w:rFonts w:ascii="Arial" w:hAnsi="Arial"/>
          <w:b w:val="0"/>
          <w:sz w:val="22"/>
        </w:rPr>
      </w:pPr>
      <w:r>
        <w:rPr>
          <w:rFonts w:ascii="Arial" w:hAnsi="Arial"/>
          <w:sz w:val="22"/>
        </w:rPr>
        <w:t>Supplementary Figure S</w:t>
      </w:r>
      <w:r>
        <w:rPr>
          <w:rFonts w:ascii="Arial" w:hAnsi="Arial"/>
        </w:rPr>
        <w:t>4</w:t>
      </w:r>
      <w:r>
        <w:rPr>
          <w:rFonts w:ascii="Arial" w:hAnsi="Arial"/>
          <w:sz w:val="22"/>
        </w:rPr>
        <w:t xml:space="preserve">. </w:t>
      </w:r>
      <w:r>
        <w:rPr>
          <w:rFonts w:ascii="Arial" w:hAnsi="Arial"/>
          <w:b w:val="0"/>
          <w:sz w:val="22"/>
        </w:rPr>
        <w:t>Correlation between ERK expression and probability of survival in patients with LUAD. Analysis using the Kaplan-Meier method (</w:t>
      </w:r>
      <w:r>
        <w:rPr>
          <w:rFonts w:ascii="Arial" w:hAnsi="Arial"/>
          <w:b w:val="0"/>
          <w:color w:val="000000"/>
          <w:sz w:val="22"/>
        </w:rPr>
        <w:t xml:space="preserve">cut-off value at 50%) </w:t>
      </w:r>
      <w:r>
        <w:rPr>
          <w:rFonts w:ascii="Arial" w:hAnsi="Arial"/>
          <w:b w:val="0"/>
          <w:sz w:val="22"/>
        </w:rPr>
        <w:t>shows that high level of ERK expression is related to poor patient</w:t>
      </w:r>
      <w:r>
        <w:rPr>
          <w:rFonts w:ascii="Arial" w:hAnsi="Arial"/>
          <w:b w:val="0"/>
          <w:spacing w:val="-21"/>
          <w:sz w:val="22"/>
        </w:rPr>
        <w:t xml:space="preserve"> </w:t>
      </w:r>
      <w:r>
        <w:rPr>
          <w:rFonts w:ascii="Arial" w:hAnsi="Arial"/>
          <w:b w:val="0"/>
          <w:sz w:val="22"/>
        </w:rPr>
        <w:t>survival (HR=1.43, 1.26-1.63, logrank P= 2.8e-08).</w:t>
      </w:r>
    </w:p>
    <w:p/>
    <w:p/>
    <w:p/>
    <w:p>
      <w:r>
        <w:rPr>
          <w:lang w:val="fr-FR" w:eastAsia="fr-FR" w:bidi="ar-SA"/>
        </w:rPr>
        <w:drawing>
          <wp:inline distT="0" distB="0" distL="0" distR="0">
            <wp:extent cx="5114290" cy="1228090"/>
            <wp:effectExtent l="25400" t="0" r="0" b="0"/>
            <wp:docPr id="30" name="Image 29" descr="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9" descr="Figure S5.jpg"/>
                    <pic:cNvPicPr>
                      <a:picLocks noChangeAspect="1"/>
                    </pic:cNvPicPr>
                  </pic:nvPicPr>
                  <pic:blipFill>
                    <a:blip r:embed="rId8"/>
                    <a:stretch>
                      <a:fillRect/>
                    </a:stretch>
                  </pic:blipFill>
                  <pic:spPr>
                    <a:xfrm>
                      <a:off x="0" y="0"/>
                      <a:ext cx="5114544" cy="1228344"/>
                    </a:xfrm>
                    <a:prstGeom prst="rect">
                      <a:avLst/>
                    </a:prstGeom>
                  </pic:spPr>
                </pic:pic>
              </a:graphicData>
            </a:graphic>
          </wp:inline>
        </w:drawing>
      </w:r>
    </w:p>
    <w:p>
      <w:pPr>
        <w:spacing w:line="360" w:lineRule="auto"/>
        <w:ind w:right="84"/>
        <w:jc w:val="both"/>
        <w:rPr>
          <w:rFonts w:ascii="Arial" w:hAnsi="Arial"/>
        </w:rPr>
      </w:pPr>
      <w:r>
        <w:rPr>
          <w:rFonts w:ascii="Arial" w:hAnsi="Arial"/>
          <w:b/>
        </w:rPr>
        <w:t xml:space="preserve">Supplementary Figure S5. </w:t>
      </w:r>
      <w:r>
        <w:rPr>
          <w:rFonts w:ascii="Arial" w:hAnsi="Arial"/>
        </w:rPr>
        <w:t xml:space="preserve">Quantification of FAK and ERK protein levels and RT-qPCR analyses of ERK mRNA levels following FAK knockdown. (A, B) Knockdown of FAK in H1299 and PC-9 cells significantly decreases ERK proteins levels. (C) Knockdown of FAK significantly inhibits ERK mRNA levels in H1299, H838 and PC-9 cells. Statistical data are expressed as the mean ± s.e.m. from three independent experiments (*, </w:t>
      </w:r>
      <w:r>
        <w:rPr>
          <w:rFonts w:ascii="Arial" w:hAnsi="Arial"/>
          <w:i/>
        </w:rPr>
        <w:t>P</w:t>
      </w:r>
      <w:r>
        <w:rPr>
          <w:rFonts w:ascii="Arial" w:hAnsi="Arial"/>
        </w:rPr>
        <w:t xml:space="preserve"> &lt; 0.05; **, </w:t>
      </w:r>
      <w:r>
        <w:rPr>
          <w:rFonts w:ascii="Arial" w:hAnsi="Arial"/>
          <w:i/>
        </w:rPr>
        <w:t>P</w:t>
      </w:r>
      <w:r>
        <w:rPr>
          <w:rFonts w:ascii="Arial" w:hAnsi="Arial"/>
        </w:rPr>
        <w:t xml:space="preserve"> &lt; 0.01).  </w:t>
      </w:r>
    </w:p>
    <w:p>
      <w:pPr>
        <w:spacing w:line="360" w:lineRule="auto"/>
        <w:ind w:right="84"/>
        <w:jc w:val="both"/>
        <w:rPr>
          <w:rFonts w:ascii="Arial" w:hAnsi="Arial"/>
        </w:rPr>
      </w:pPr>
      <w:r>
        <w:rPr>
          <w:rFonts w:eastAsiaTheme="minorEastAsia"/>
          <w:lang w:eastAsia="zh-CN"/>
        </w:rPr>
        <w:drawing>
          <wp:inline distT="0" distB="0" distL="114300" distR="114300">
            <wp:extent cx="5269230" cy="6122670"/>
            <wp:effectExtent l="0" t="0" r="1270" b="11430"/>
            <wp:docPr id="1" name="图片 1"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pic:cNvPicPr>
                      <a:picLocks noChangeAspect="1"/>
                    </pic:cNvPicPr>
                  </pic:nvPicPr>
                  <pic:blipFill>
                    <a:blip r:embed="rId9"/>
                    <a:stretch>
                      <a:fillRect/>
                    </a:stretch>
                  </pic:blipFill>
                  <pic:spPr>
                    <a:xfrm>
                      <a:off x="0" y="0"/>
                      <a:ext cx="5269230" cy="6122670"/>
                    </a:xfrm>
                    <a:prstGeom prst="rect">
                      <a:avLst/>
                    </a:prstGeom>
                  </pic:spPr>
                </pic:pic>
              </a:graphicData>
            </a:graphic>
          </wp:inline>
        </w:drawing>
      </w:r>
    </w:p>
    <w:p>
      <w:pPr>
        <w:spacing w:line="360" w:lineRule="auto"/>
        <w:ind w:right="-58"/>
        <w:jc w:val="both"/>
        <w:rPr>
          <w:rFonts w:ascii="Arial" w:hAnsi="Arial"/>
          <w:color w:val="FF0000"/>
        </w:rPr>
      </w:pPr>
      <w:bookmarkStart w:id="4" w:name="OLE_LINK3"/>
      <w:r>
        <w:rPr>
          <w:rFonts w:ascii="Arial" w:hAnsi="Arial"/>
          <w:b/>
          <w:color w:val="FF0000"/>
        </w:rPr>
        <w:t>Supplementary Figure S</w:t>
      </w:r>
      <w:r>
        <w:rPr>
          <w:rFonts w:hint="eastAsia" w:ascii="Arial" w:hAnsi="Arial" w:eastAsia="宋体"/>
          <w:b/>
          <w:color w:val="FF0000"/>
          <w:lang w:val="en-US" w:eastAsia="zh-CN"/>
        </w:rPr>
        <w:t>6.</w:t>
      </w:r>
      <w:bookmarkStart w:id="5" w:name="OLE_LINK1"/>
      <w:r>
        <w:rPr>
          <w:rFonts w:hint="eastAsia" w:ascii="Arial" w:hAnsi="Arial" w:eastAsia="宋体"/>
          <w:b/>
          <w:color w:val="FF0000"/>
          <w:lang w:val="en-US" w:eastAsia="zh-CN"/>
        </w:rPr>
        <w:t xml:space="preserve"> </w:t>
      </w:r>
      <w:r>
        <w:rPr>
          <w:rFonts w:hint="eastAsia" w:ascii="Arial" w:hAnsi="Arial"/>
          <w:color w:val="FF0000"/>
        </w:rPr>
        <w:t>Silencing</w:t>
      </w:r>
      <w:r>
        <w:rPr>
          <w:rFonts w:ascii="Arial" w:hAnsi="Arial"/>
          <w:color w:val="FF0000"/>
        </w:rPr>
        <w:t xml:space="preserve"> FAK </w:t>
      </w:r>
      <w:r>
        <w:rPr>
          <w:rFonts w:hint="eastAsia" w:ascii="Arial" w:hAnsi="Arial"/>
          <w:color w:val="FF0000"/>
        </w:rPr>
        <w:t>suppresses</w:t>
      </w:r>
      <w:r>
        <w:rPr>
          <w:rFonts w:ascii="Arial" w:hAnsi="Arial"/>
          <w:color w:val="FF0000"/>
        </w:rPr>
        <w:t xml:space="preserve"> </w:t>
      </w:r>
      <w:r>
        <w:rPr>
          <w:rFonts w:hint="eastAsia" w:ascii="Arial" w:hAnsi="Arial"/>
          <w:color w:val="FF0000"/>
        </w:rPr>
        <w:t>cell</w:t>
      </w:r>
      <w:r>
        <w:rPr>
          <w:rFonts w:ascii="Arial" w:hAnsi="Arial"/>
          <w:color w:val="FF0000"/>
        </w:rPr>
        <w:t xml:space="preserve"> </w:t>
      </w:r>
      <w:r>
        <w:rPr>
          <w:rFonts w:hint="eastAsia" w:ascii="Arial" w:hAnsi="Arial"/>
          <w:color w:val="FF0000"/>
        </w:rPr>
        <w:t>cycle</w:t>
      </w:r>
      <w:r>
        <w:rPr>
          <w:rFonts w:ascii="Arial" w:hAnsi="Arial"/>
          <w:color w:val="FF0000"/>
        </w:rPr>
        <w:t xml:space="preserve"> </w:t>
      </w:r>
      <w:r>
        <w:rPr>
          <w:rFonts w:hint="eastAsia" w:ascii="Arial" w:hAnsi="Arial"/>
          <w:color w:val="FF0000"/>
        </w:rPr>
        <w:t>progression</w:t>
      </w:r>
      <w:r>
        <w:rPr>
          <w:rFonts w:ascii="Arial" w:hAnsi="Arial"/>
          <w:color w:val="FF0000"/>
        </w:rPr>
        <w:t xml:space="preserve"> </w:t>
      </w:r>
      <w:r>
        <w:rPr>
          <w:rFonts w:hint="eastAsia" w:ascii="Arial" w:hAnsi="Arial"/>
          <w:color w:val="FF0000"/>
        </w:rPr>
        <w:t>in</w:t>
      </w:r>
      <w:r>
        <w:rPr>
          <w:rFonts w:ascii="Arial" w:hAnsi="Arial"/>
          <w:color w:val="FF0000"/>
        </w:rPr>
        <w:t xml:space="preserve"> </w:t>
      </w:r>
      <w:r>
        <w:rPr>
          <w:rFonts w:hint="eastAsia" w:ascii="Arial" w:hAnsi="Arial"/>
          <w:color w:val="FF0000"/>
        </w:rPr>
        <w:t>vitro</w:t>
      </w:r>
      <w:r>
        <w:rPr>
          <w:rFonts w:ascii="Arial" w:hAnsi="Arial"/>
          <w:color w:val="FF0000"/>
        </w:rPr>
        <w:t>. (</w:t>
      </w:r>
      <w:r>
        <w:rPr>
          <w:rFonts w:hint="eastAsia" w:ascii="Arial" w:hAnsi="Arial" w:eastAsia="宋体"/>
          <w:color w:val="FF0000"/>
          <w:lang w:val="en-US" w:eastAsia="zh-CN"/>
        </w:rPr>
        <w:t>A</w:t>
      </w:r>
      <w:r>
        <w:rPr>
          <w:rFonts w:ascii="Arial" w:hAnsi="Arial"/>
          <w:color w:val="FF0000"/>
        </w:rPr>
        <w:t xml:space="preserve">, </w:t>
      </w:r>
      <w:r>
        <w:rPr>
          <w:rFonts w:hint="eastAsia" w:ascii="Arial" w:hAnsi="Arial" w:eastAsia="宋体"/>
          <w:color w:val="FF0000"/>
          <w:lang w:val="en-US" w:eastAsia="zh-CN"/>
        </w:rPr>
        <w:t>B</w:t>
      </w:r>
      <w:r>
        <w:rPr>
          <w:rFonts w:ascii="Arial" w:hAnsi="Arial"/>
          <w:color w:val="FF0000"/>
        </w:rPr>
        <w:t>)</w:t>
      </w:r>
      <w:r>
        <w:rPr>
          <w:rFonts w:hint="eastAsia" w:ascii="Arial" w:hAnsi="Arial" w:eastAsia="宋体"/>
          <w:b/>
          <w:bCs/>
          <w:color w:val="FF0000"/>
          <w:lang w:val="en-US" w:eastAsia="zh-CN"/>
        </w:rPr>
        <w:t xml:space="preserve"> </w:t>
      </w:r>
      <w:r>
        <w:rPr>
          <w:rFonts w:ascii="Arial" w:hAnsi="Arial"/>
          <w:color w:val="FF0000"/>
        </w:rPr>
        <w:t>E</w:t>
      </w:r>
      <w:r>
        <w:rPr>
          <w:rFonts w:hint="eastAsia" w:ascii="Arial" w:hAnsi="Arial"/>
          <w:color w:val="FF0000"/>
        </w:rPr>
        <w:t>ffects</w:t>
      </w:r>
      <w:r>
        <w:rPr>
          <w:rFonts w:ascii="Arial" w:hAnsi="Arial"/>
          <w:color w:val="FF0000"/>
        </w:rPr>
        <w:t xml:space="preserve"> </w:t>
      </w:r>
      <w:r>
        <w:rPr>
          <w:rFonts w:hint="eastAsia" w:ascii="Arial" w:hAnsi="Arial"/>
          <w:color w:val="FF0000"/>
        </w:rPr>
        <w:t>on</w:t>
      </w:r>
      <w:r>
        <w:rPr>
          <w:rFonts w:ascii="Arial" w:hAnsi="Arial"/>
          <w:color w:val="FF0000"/>
        </w:rPr>
        <w:t xml:space="preserve"> </w:t>
      </w:r>
      <w:r>
        <w:rPr>
          <w:rFonts w:hint="eastAsia" w:ascii="Arial" w:hAnsi="Arial"/>
          <w:color w:val="FF0000"/>
        </w:rPr>
        <w:t>cell</w:t>
      </w:r>
      <w:r>
        <w:rPr>
          <w:rFonts w:ascii="Arial" w:hAnsi="Arial"/>
          <w:color w:val="FF0000"/>
        </w:rPr>
        <w:t xml:space="preserve"> </w:t>
      </w:r>
      <w:r>
        <w:rPr>
          <w:rFonts w:hint="eastAsia" w:ascii="Arial" w:hAnsi="Arial"/>
          <w:color w:val="FF0000"/>
        </w:rPr>
        <w:t>cycle</w:t>
      </w:r>
      <w:r>
        <w:rPr>
          <w:rFonts w:ascii="Arial" w:hAnsi="Arial"/>
          <w:color w:val="FF0000"/>
        </w:rPr>
        <w:t xml:space="preserve"> </w:t>
      </w:r>
      <w:r>
        <w:rPr>
          <w:rFonts w:hint="eastAsia" w:ascii="Arial" w:hAnsi="Arial"/>
          <w:color w:val="FF0000"/>
        </w:rPr>
        <w:t>progression</w:t>
      </w:r>
      <w:r>
        <w:rPr>
          <w:rFonts w:ascii="Arial" w:hAnsi="Arial"/>
          <w:color w:val="FF0000"/>
        </w:rPr>
        <w:t xml:space="preserve"> </w:t>
      </w:r>
      <w:r>
        <w:rPr>
          <w:rFonts w:hint="eastAsia" w:ascii="Arial" w:hAnsi="Arial"/>
          <w:color w:val="FF0000"/>
        </w:rPr>
        <w:t>analyzed</w:t>
      </w:r>
      <w:r>
        <w:rPr>
          <w:rFonts w:ascii="Arial" w:hAnsi="Arial"/>
          <w:color w:val="FF0000"/>
        </w:rPr>
        <w:t xml:space="preserve"> </w:t>
      </w:r>
      <w:r>
        <w:rPr>
          <w:rFonts w:hint="eastAsia" w:ascii="Arial" w:hAnsi="Arial"/>
          <w:color w:val="FF0000"/>
        </w:rPr>
        <w:t>by</w:t>
      </w:r>
      <w:r>
        <w:rPr>
          <w:rFonts w:ascii="Arial" w:hAnsi="Arial"/>
          <w:color w:val="FF0000"/>
        </w:rPr>
        <w:t xml:space="preserve"> </w:t>
      </w:r>
      <w:r>
        <w:rPr>
          <w:rFonts w:hint="eastAsia" w:ascii="Arial" w:hAnsi="Arial"/>
          <w:color w:val="FF0000"/>
        </w:rPr>
        <w:t>flow</w:t>
      </w:r>
      <w:r>
        <w:rPr>
          <w:rFonts w:ascii="Arial" w:hAnsi="Arial"/>
          <w:color w:val="FF0000"/>
        </w:rPr>
        <w:t xml:space="preserve"> </w:t>
      </w:r>
      <w:r>
        <w:rPr>
          <w:rFonts w:hint="eastAsia" w:ascii="Arial" w:hAnsi="Arial"/>
          <w:color w:val="FF0000"/>
        </w:rPr>
        <w:t>cytometry</w:t>
      </w:r>
      <w:r>
        <w:rPr>
          <w:rFonts w:ascii="Arial" w:hAnsi="Arial"/>
          <w:color w:val="FF0000"/>
        </w:rPr>
        <w:t xml:space="preserve"> </w:t>
      </w:r>
      <w:r>
        <w:rPr>
          <w:rFonts w:hint="eastAsia" w:ascii="Arial" w:hAnsi="Arial"/>
          <w:color w:val="FF0000"/>
        </w:rPr>
        <w:t>after</w:t>
      </w:r>
      <w:r>
        <w:rPr>
          <w:rFonts w:ascii="Arial" w:hAnsi="Arial"/>
          <w:color w:val="FF0000"/>
        </w:rPr>
        <w:t xml:space="preserve"> </w:t>
      </w:r>
      <w:r>
        <w:rPr>
          <w:rFonts w:hint="eastAsia" w:ascii="Arial" w:hAnsi="Arial"/>
          <w:color w:val="FF0000"/>
        </w:rPr>
        <w:t>downregulation</w:t>
      </w:r>
      <w:r>
        <w:rPr>
          <w:rFonts w:ascii="Arial" w:hAnsi="Arial"/>
          <w:color w:val="FF0000"/>
        </w:rPr>
        <w:t xml:space="preserve"> </w:t>
      </w:r>
      <w:r>
        <w:rPr>
          <w:rFonts w:hint="eastAsia" w:ascii="Arial" w:hAnsi="Arial"/>
          <w:color w:val="FF0000"/>
        </w:rPr>
        <w:t>of</w:t>
      </w:r>
      <w:r>
        <w:rPr>
          <w:rFonts w:ascii="Arial" w:hAnsi="Arial"/>
          <w:color w:val="FF0000"/>
        </w:rPr>
        <w:t xml:space="preserve"> FAK.</w:t>
      </w:r>
    </w:p>
    <w:bookmarkEnd w:id="4"/>
    <w:bookmarkEnd w:id="5"/>
    <w:p>
      <w:pPr>
        <w:spacing w:line="360" w:lineRule="auto"/>
        <w:ind w:right="-424"/>
        <w:jc w:val="both"/>
        <w:rPr>
          <w:rFonts w:ascii="Arial" w:hAnsi="Arial"/>
          <w:color w:val="FF0000"/>
        </w:rPr>
      </w:pPr>
    </w:p>
    <w:p>
      <w:pPr>
        <w:spacing w:line="480" w:lineRule="auto"/>
        <w:ind w:right="-424"/>
        <w:jc w:val="center"/>
      </w:pPr>
      <w:r>
        <w:rPr>
          <w:lang w:val="fr-FR" w:eastAsia="fr-FR" w:bidi="ar-SA"/>
        </w:rPr>
        <w:drawing>
          <wp:inline distT="0" distB="0" distL="0" distR="0">
            <wp:extent cx="3162300" cy="4321810"/>
            <wp:effectExtent l="25400" t="0" r="0" b="0"/>
            <wp:docPr id="32" name="Image 31" descr="Figure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1" descr="Figure S6.jpg"/>
                    <pic:cNvPicPr>
                      <a:picLocks noChangeAspect="1"/>
                    </pic:cNvPicPr>
                  </pic:nvPicPr>
                  <pic:blipFill>
                    <a:blip r:embed="rId10"/>
                    <a:stretch>
                      <a:fillRect/>
                    </a:stretch>
                  </pic:blipFill>
                  <pic:spPr>
                    <a:xfrm>
                      <a:off x="0" y="0"/>
                      <a:ext cx="3162300" cy="4322064"/>
                    </a:xfrm>
                    <a:prstGeom prst="rect">
                      <a:avLst/>
                    </a:prstGeom>
                  </pic:spPr>
                </pic:pic>
              </a:graphicData>
            </a:graphic>
          </wp:inline>
        </w:drawing>
      </w:r>
    </w:p>
    <w:p>
      <w:pPr>
        <w:spacing w:line="360" w:lineRule="auto"/>
        <w:ind w:right="84"/>
        <w:jc w:val="both"/>
        <w:rPr>
          <w:rFonts w:ascii="Arial" w:hAnsi="Arial"/>
        </w:rPr>
      </w:pPr>
      <w:r>
        <w:rPr>
          <w:rFonts w:ascii="Arial" w:hAnsi="Arial"/>
          <w:b/>
        </w:rPr>
        <w:t>Supplementary Figure S</w:t>
      </w:r>
      <w:r>
        <w:rPr>
          <w:rFonts w:hint="eastAsia" w:ascii="Arial" w:hAnsi="Arial" w:eastAsia="宋体"/>
          <w:b/>
          <w:color w:val="FF0000"/>
          <w:lang w:val="en-US" w:eastAsia="zh-CN"/>
        </w:rPr>
        <w:t>7</w:t>
      </w:r>
      <w:r>
        <w:rPr>
          <w:rFonts w:ascii="Arial" w:hAnsi="Arial"/>
          <w:b/>
          <w:color w:val="FF0000"/>
        </w:rPr>
        <w:t>.</w:t>
      </w:r>
      <w:r>
        <w:rPr>
          <w:rFonts w:ascii="Arial" w:hAnsi="Arial"/>
          <w:b/>
        </w:rPr>
        <w:t xml:space="preserve"> </w:t>
      </w:r>
      <w:r>
        <w:rPr>
          <w:rFonts w:ascii="Arial" w:hAnsi="Arial"/>
        </w:rPr>
        <w:t xml:space="preserve">Efficiency of SIN3A knockdown. (A) RT-qPCR analyses show the efficiency of SIN3A knockdown in H1299, H838 and PC-9 cells. (B) Western blot analyses show reduced SIN3A protein levels following SIN3A knockdown in NSCLC cell lines. (C) Knockdown of SIN3A in NSCLC cell lines has no significant effects on the expression of </w:t>
      </w:r>
      <w:r>
        <w:rPr>
          <w:rFonts w:ascii="Arial" w:hAnsi="Arial"/>
          <w:i/>
        </w:rPr>
        <w:t>LINC01279</w:t>
      </w:r>
      <w:r>
        <w:rPr>
          <w:rFonts w:ascii="Arial" w:hAnsi="Arial"/>
        </w:rPr>
        <w:t xml:space="preserve">. (D) Knockdown of </w:t>
      </w:r>
      <w:r>
        <w:rPr>
          <w:rFonts w:ascii="Arial" w:hAnsi="Arial"/>
          <w:i/>
        </w:rPr>
        <w:t>LINC01279</w:t>
      </w:r>
      <w:r>
        <w:rPr>
          <w:rFonts w:ascii="Arial" w:hAnsi="Arial"/>
        </w:rPr>
        <w:t xml:space="preserve"> in H1299 and PC-9 cells does not reduce the expression of SIN3A mRNA.</w:t>
      </w:r>
    </w:p>
    <w:p>
      <w:pPr>
        <w:spacing w:line="360" w:lineRule="auto"/>
        <w:ind w:right="-424"/>
        <w:jc w:val="both"/>
        <w:rPr>
          <w:rFonts w:ascii="Arial" w:hAnsi="Arial"/>
        </w:rPr>
      </w:pPr>
    </w:p>
    <w:p>
      <w:pPr>
        <w:spacing w:line="360" w:lineRule="auto"/>
        <w:ind w:right="-424"/>
        <w:jc w:val="both"/>
        <w:rPr>
          <w:rFonts w:ascii="Arial" w:hAnsi="Arial"/>
        </w:rPr>
      </w:pPr>
    </w:p>
    <w:p>
      <w:pPr>
        <w:spacing w:line="360" w:lineRule="auto"/>
        <w:ind w:right="-424"/>
        <w:jc w:val="both"/>
        <w:rPr>
          <w:rFonts w:ascii="Arial" w:hAnsi="Arial"/>
        </w:rPr>
      </w:pPr>
    </w:p>
    <w:p>
      <w:pPr>
        <w:spacing w:line="360" w:lineRule="auto"/>
        <w:ind w:right="-424"/>
        <w:jc w:val="both"/>
        <w:rPr>
          <w:rFonts w:ascii="Arial" w:hAnsi="Arial"/>
        </w:rPr>
      </w:pPr>
    </w:p>
    <w:p>
      <w:pPr>
        <w:spacing w:line="480" w:lineRule="auto"/>
        <w:ind w:right="-424"/>
        <w:jc w:val="center"/>
        <w:rPr>
          <w:rFonts w:ascii="Arial" w:hAnsi="Arial"/>
        </w:rPr>
      </w:pPr>
      <w:r>
        <w:rPr>
          <w:rFonts w:ascii="Arial" w:hAnsi="Arial"/>
          <w:lang w:val="fr-FR" w:eastAsia="fr-FR" w:bidi="ar-SA"/>
        </w:rPr>
        <w:drawing>
          <wp:inline distT="0" distB="0" distL="0" distR="0">
            <wp:extent cx="4935855" cy="3213735"/>
            <wp:effectExtent l="25400" t="0" r="0" b="0"/>
            <wp:docPr id="33" name="Image 32" descr="Figure 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2" descr="Figure S7.jpg"/>
                    <pic:cNvPicPr>
                      <a:picLocks noChangeAspect="1"/>
                    </pic:cNvPicPr>
                  </pic:nvPicPr>
                  <pic:blipFill>
                    <a:blip r:embed="rId11"/>
                    <a:stretch>
                      <a:fillRect/>
                    </a:stretch>
                  </pic:blipFill>
                  <pic:spPr>
                    <a:xfrm>
                      <a:off x="0" y="0"/>
                      <a:ext cx="4936236" cy="3214116"/>
                    </a:xfrm>
                    <a:prstGeom prst="rect">
                      <a:avLst/>
                    </a:prstGeom>
                  </pic:spPr>
                </pic:pic>
              </a:graphicData>
            </a:graphic>
          </wp:inline>
        </w:drawing>
      </w:r>
    </w:p>
    <w:p>
      <w:pPr>
        <w:pStyle w:val="2"/>
        <w:spacing w:line="360" w:lineRule="auto"/>
        <w:ind w:left="0" w:right="84"/>
        <w:rPr>
          <w:rFonts w:ascii="Arial" w:hAnsi="Arial"/>
          <w:b w:val="0"/>
          <w:sz w:val="22"/>
        </w:rPr>
      </w:pPr>
      <w:r>
        <w:rPr>
          <w:rFonts w:ascii="Arial" w:hAnsi="Arial"/>
          <w:sz w:val="22"/>
        </w:rPr>
        <w:t>Supplementary Figure S</w:t>
      </w:r>
      <w:r>
        <w:rPr>
          <w:rFonts w:hint="eastAsia" w:ascii="Arial" w:hAnsi="Arial" w:eastAsia="宋体"/>
          <w:color w:val="FF0000"/>
          <w:sz w:val="22"/>
          <w:lang w:val="en-US" w:eastAsia="zh-CN"/>
        </w:rPr>
        <w:t>8</w:t>
      </w:r>
      <w:r>
        <w:rPr>
          <w:rFonts w:ascii="Arial" w:hAnsi="Arial"/>
          <w:sz w:val="22"/>
        </w:rPr>
        <w:t xml:space="preserve">. </w:t>
      </w:r>
      <w:r>
        <w:rPr>
          <w:rFonts w:ascii="Arial" w:hAnsi="Arial"/>
          <w:b w:val="0"/>
          <w:sz w:val="22"/>
        </w:rPr>
        <w:t xml:space="preserve">Knockdown of SIN3A induces apoptosis. Flow cytometry analyses show increased apoptosis following knockdown of SIN3A in H1299, H838 and PC-9 cells. Data are the mean ± s.e.m. from three independent experiments (*, </w:t>
      </w:r>
      <w:r>
        <w:rPr>
          <w:rFonts w:ascii="Arial" w:hAnsi="Arial"/>
          <w:b w:val="0"/>
          <w:i/>
          <w:sz w:val="22"/>
        </w:rPr>
        <w:t>P</w:t>
      </w:r>
      <w:r>
        <w:rPr>
          <w:rFonts w:ascii="Arial" w:hAnsi="Arial"/>
          <w:b w:val="0"/>
          <w:sz w:val="22"/>
        </w:rPr>
        <w:t xml:space="preserve"> &lt; 0.05; **, </w:t>
      </w:r>
      <w:r>
        <w:rPr>
          <w:rFonts w:ascii="Arial" w:hAnsi="Arial"/>
          <w:b w:val="0"/>
          <w:i/>
          <w:sz w:val="22"/>
        </w:rPr>
        <w:t>P</w:t>
      </w:r>
      <w:r>
        <w:rPr>
          <w:rFonts w:ascii="Arial" w:hAnsi="Arial"/>
          <w:b w:val="0"/>
          <w:sz w:val="22"/>
        </w:rPr>
        <w:t xml:space="preserve"> &lt; 0.01).  </w:t>
      </w:r>
    </w:p>
    <w:p/>
    <w:p/>
    <w:p>
      <w:pPr>
        <w:ind w:firstLine="440" w:firstLineChars="200"/>
      </w:pPr>
      <w:r>
        <w:rPr>
          <w:lang w:val="fr-FR" w:eastAsia="fr-FR" w:bidi="ar-SA"/>
        </w:rPr>
        <w:drawing>
          <wp:inline distT="0" distB="0" distL="0" distR="0">
            <wp:extent cx="4861560" cy="3040380"/>
            <wp:effectExtent l="25400" t="0" r="0" b="0"/>
            <wp:docPr id="34" name="Image 33" descr="Figure 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3" descr="Figure S8.jpg"/>
                    <pic:cNvPicPr>
                      <a:picLocks noChangeAspect="1"/>
                    </pic:cNvPicPr>
                  </pic:nvPicPr>
                  <pic:blipFill>
                    <a:blip r:embed="rId12"/>
                    <a:stretch>
                      <a:fillRect/>
                    </a:stretch>
                  </pic:blipFill>
                  <pic:spPr>
                    <a:xfrm>
                      <a:off x="0" y="0"/>
                      <a:ext cx="4861560" cy="3040380"/>
                    </a:xfrm>
                    <a:prstGeom prst="rect">
                      <a:avLst/>
                    </a:prstGeom>
                  </pic:spPr>
                </pic:pic>
              </a:graphicData>
            </a:graphic>
          </wp:inline>
        </w:drawing>
      </w:r>
    </w:p>
    <w:p>
      <w:pPr>
        <w:spacing w:line="360" w:lineRule="auto"/>
        <w:ind w:right="-58"/>
        <w:jc w:val="both"/>
        <w:rPr>
          <w:rFonts w:ascii="Arial" w:hAnsi="Arial"/>
        </w:rPr>
      </w:pPr>
      <w:r>
        <w:rPr>
          <w:rFonts w:ascii="Arial" w:hAnsi="Arial"/>
          <w:b/>
        </w:rPr>
        <w:t>Supplementary Figure S</w:t>
      </w:r>
      <w:r>
        <w:rPr>
          <w:rFonts w:hint="eastAsia" w:ascii="Arial" w:hAnsi="Arial" w:eastAsia="宋体"/>
          <w:b/>
          <w:color w:val="FF0000"/>
          <w:lang w:val="en-US" w:eastAsia="zh-CN"/>
        </w:rPr>
        <w:t>9</w:t>
      </w:r>
      <w:r>
        <w:rPr>
          <w:rFonts w:ascii="Arial" w:hAnsi="Arial"/>
          <w:b/>
        </w:rPr>
        <w:t>.</w:t>
      </w:r>
      <w:r>
        <w:rPr>
          <w:rFonts w:ascii="Arial" w:hAnsi="Arial"/>
        </w:rPr>
        <w:t xml:space="preserve"> Knockdown of </w:t>
      </w:r>
      <w:r>
        <w:rPr>
          <w:rFonts w:ascii="Arial" w:hAnsi="Arial"/>
          <w:i/>
        </w:rPr>
        <w:t xml:space="preserve">LINC01279 </w:t>
      </w:r>
      <w:r>
        <w:rPr>
          <w:rFonts w:ascii="Arial" w:hAnsi="Arial"/>
        </w:rPr>
        <w:t>and SIN3A</w:t>
      </w:r>
      <w:r>
        <w:rPr>
          <w:rFonts w:ascii="Arial" w:hAnsi="Arial"/>
          <w:i/>
        </w:rPr>
        <w:t xml:space="preserve"> </w:t>
      </w:r>
      <w:r>
        <w:rPr>
          <w:rFonts w:ascii="Arial" w:hAnsi="Arial"/>
        </w:rPr>
        <w:t>activates autophagy.</w:t>
      </w:r>
      <w:r>
        <w:rPr>
          <w:rFonts w:ascii="Arial" w:hAnsi="Arial"/>
          <w:b/>
        </w:rPr>
        <w:t xml:space="preserve"> </w:t>
      </w:r>
      <w:r>
        <w:rPr>
          <w:rFonts w:ascii="Arial" w:hAnsi="Arial"/>
        </w:rPr>
        <w:t xml:space="preserve">(A-C) Quantification of LC3-II, p62 and Beclin-1 protein levels from western blot results shown in Figure 7D. </w:t>
      </w:r>
      <w:bookmarkStart w:id="6" w:name="OLE_LINK2"/>
      <w:r>
        <w:rPr>
          <w:rFonts w:ascii="Arial" w:hAnsi="Arial"/>
        </w:rPr>
        <w:t>(D, E)</w:t>
      </w:r>
      <w:bookmarkEnd w:id="6"/>
      <w:r>
        <w:rPr>
          <w:rFonts w:ascii="Arial" w:hAnsi="Arial"/>
        </w:rPr>
        <w:t xml:space="preserve"> Increased autophagy flux following knockdown of </w:t>
      </w:r>
      <w:r>
        <w:rPr>
          <w:rFonts w:ascii="Arial" w:hAnsi="Arial"/>
          <w:i/>
        </w:rPr>
        <w:t>LINC01279</w:t>
      </w:r>
      <w:r>
        <w:rPr>
          <w:rFonts w:ascii="Arial" w:hAnsi="Arial"/>
        </w:rPr>
        <w:t xml:space="preserve">. Quantification of LC3-II levels from western blot results shown in Figure 7E. Statistical data are expressed as the mean ± s.e.m. from three independent experiments (*, </w:t>
      </w:r>
      <w:r>
        <w:rPr>
          <w:rFonts w:ascii="Arial" w:hAnsi="Arial"/>
          <w:i/>
        </w:rPr>
        <w:t>P</w:t>
      </w:r>
      <w:r>
        <w:rPr>
          <w:rFonts w:ascii="Arial" w:hAnsi="Arial"/>
        </w:rPr>
        <w:t xml:space="preserve"> &lt; 0.05; **, </w:t>
      </w:r>
      <w:r>
        <w:rPr>
          <w:rFonts w:ascii="Arial" w:hAnsi="Arial"/>
          <w:i/>
        </w:rPr>
        <w:t>P</w:t>
      </w:r>
      <w:r>
        <w:rPr>
          <w:rFonts w:ascii="Arial" w:hAnsi="Arial"/>
        </w:rPr>
        <w:t xml:space="preserve"> &lt; 0.01). </w:t>
      </w:r>
    </w:p>
    <w:p>
      <w:pPr>
        <w:pStyle w:val="15"/>
        <w:ind w:left="720" w:hanging="720"/>
        <w:rPr>
          <w:rFonts w:eastAsiaTheme="minorEastAsia"/>
          <w:lang w:eastAsia="zh-CN"/>
        </w:rPr>
      </w:pPr>
      <w:r>
        <w:rPr>
          <w:rFonts w:hint="eastAsia" w:eastAsiaTheme="minorEastAsia"/>
          <w:lang w:eastAsia="zh-CN"/>
        </w:rPr>
        <w:t xml:space="preserve"> </w:t>
      </w:r>
      <w:r>
        <w:rPr>
          <w:rFonts w:eastAsiaTheme="minorEastAsia"/>
          <w:lang w:eastAsia="zh-CN"/>
        </w:rPr>
        <w:t xml:space="preserve">    </w:t>
      </w:r>
    </w:p>
    <w:p>
      <w:pPr>
        <w:pStyle w:val="15"/>
        <w:ind w:left="720" w:hanging="720"/>
        <w:rPr>
          <w:rFonts w:eastAsiaTheme="minorEastAsia"/>
          <w:lang w:eastAsia="zh-CN"/>
        </w:rPr>
      </w:pPr>
    </w:p>
    <w:p>
      <w:pPr>
        <w:pStyle w:val="15"/>
        <w:ind w:left="720" w:hanging="720"/>
        <w:rPr>
          <w:rFonts w:eastAsiaTheme="minorEastAsia"/>
          <w:lang w:eastAsia="zh-CN"/>
        </w:rPr>
      </w:pPr>
    </w:p>
    <w:p>
      <w:pPr>
        <w:pStyle w:val="15"/>
        <w:ind w:left="720" w:hanging="720"/>
        <w:rPr>
          <w:rFonts w:eastAsiaTheme="minorEastAsia"/>
          <w:lang w:eastAsia="zh-CN"/>
        </w:rPr>
      </w:pPr>
    </w:p>
    <w:p>
      <w:pPr>
        <w:widowControl/>
        <w:autoSpaceDE/>
        <w:autoSpaceDN/>
        <w:rPr>
          <w:rFonts w:eastAsiaTheme="minorEastAsia"/>
          <w:lang w:eastAsia="zh-CN"/>
        </w:rPr>
      </w:pPr>
      <w:r>
        <w:rPr>
          <w:rFonts w:eastAsiaTheme="minorEastAsia"/>
          <w:lang w:eastAsia="zh-CN"/>
        </w:rPr>
        <w:br w:type="page"/>
      </w:r>
    </w:p>
    <w:p>
      <w:pPr>
        <w:widowControl/>
        <w:autoSpaceDE/>
        <w:autoSpaceDN/>
        <w:rPr>
          <w:rFonts w:eastAsiaTheme="minorEastAsia"/>
          <w:lang w:eastAsia="zh-CN"/>
        </w:rPr>
      </w:pPr>
    </w:p>
    <w:p>
      <w:pPr>
        <w:widowControl/>
        <w:autoSpaceDE/>
        <w:autoSpaceDN/>
        <w:rPr>
          <w:rFonts w:eastAsiaTheme="minorEastAsia"/>
          <w:lang w:eastAsia="zh-CN"/>
        </w:rPr>
      </w:pPr>
    </w:p>
    <w:tbl>
      <w:tblPr>
        <w:tblStyle w:val="6"/>
        <w:tblpPr w:leftFromText="180" w:rightFromText="180" w:vertAnchor="text" w:horzAnchor="page" w:tblpX="1959" w:tblpY="502"/>
        <w:tblOverlap w:val="never"/>
        <w:tblW w:w="6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4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76" w:type="dxa"/>
            <w:noWrap/>
            <w:vAlign w:val="center"/>
          </w:tcPr>
          <w:p>
            <w:pPr>
              <w:rPr>
                <w:rFonts w:ascii="Arial" w:hAnsi="Arial"/>
                <w:bCs/>
              </w:rPr>
            </w:pPr>
            <w:r>
              <w:rPr>
                <w:rFonts w:ascii="Arial" w:hAnsi="Arial"/>
                <w:bCs/>
              </w:rPr>
              <w:t>Gene name</w:t>
            </w:r>
          </w:p>
        </w:tc>
        <w:tc>
          <w:tcPr>
            <w:tcW w:w="4395" w:type="dxa"/>
            <w:noWrap/>
            <w:vAlign w:val="center"/>
          </w:tcPr>
          <w:p>
            <w:pPr>
              <w:tabs>
                <w:tab w:val="left" w:pos="2552"/>
              </w:tabs>
              <w:rPr>
                <w:rFonts w:ascii="Arial" w:hAnsi="Arial"/>
                <w:bCs/>
              </w:rPr>
            </w:pPr>
            <w:r>
              <w:rPr>
                <w:rFonts w:ascii="Arial" w:hAnsi="Arial"/>
                <w:bCs/>
              </w:rPr>
              <w:t>Sequences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6" w:type="dxa"/>
            <w:noWrap/>
            <w:vAlign w:val="center"/>
          </w:tcPr>
          <w:p>
            <w:pPr>
              <w:rPr>
                <w:rFonts w:ascii="Arial" w:hAnsi="Arial"/>
              </w:rPr>
            </w:pPr>
            <w:r>
              <w:rPr>
                <w:rFonts w:ascii="Arial" w:hAnsi="Arial"/>
              </w:rPr>
              <w:t>LINC01279 #1</w:t>
            </w:r>
          </w:p>
        </w:tc>
        <w:tc>
          <w:tcPr>
            <w:tcW w:w="4395" w:type="dxa"/>
            <w:noWrap/>
            <w:vAlign w:val="bottom"/>
          </w:tcPr>
          <w:p>
            <w:pPr>
              <w:tabs>
                <w:tab w:val="left" w:pos="2552"/>
              </w:tabs>
              <w:rPr>
                <w:rFonts w:ascii="Arial" w:hAnsi="Arial"/>
              </w:rPr>
            </w:pPr>
            <w:r>
              <w:rPr>
                <w:rFonts w:ascii="Arial" w:hAnsi="Arial"/>
              </w:rPr>
              <w:t>5’-GCCUGUACUUACUUGCUAATT-3’</w:t>
            </w:r>
          </w:p>
          <w:p>
            <w:pPr>
              <w:tabs>
                <w:tab w:val="left" w:pos="2552"/>
              </w:tabs>
              <w:rPr>
                <w:rFonts w:ascii="Arial" w:hAnsi="Arial"/>
              </w:rPr>
            </w:pPr>
            <w:r>
              <w:rPr>
                <w:rFonts w:ascii="Arial" w:hAnsi="Arial"/>
              </w:rPr>
              <w:t>5’-UUAGCAAGUAAGUACAGGCTT-3’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6" w:type="dxa"/>
            <w:noWrap/>
            <w:vAlign w:val="center"/>
          </w:tcPr>
          <w:p>
            <w:pPr>
              <w:rPr>
                <w:rFonts w:ascii="Arial" w:hAnsi="Arial"/>
              </w:rPr>
            </w:pPr>
            <w:r>
              <w:rPr>
                <w:rFonts w:ascii="Arial" w:hAnsi="Arial"/>
              </w:rPr>
              <w:t>LINC01279 #2</w:t>
            </w:r>
          </w:p>
        </w:tc>
        <w:tc>
          <w:tcPr>
            <w:tcW w:w="4395" w:type="dxa"/>
            <w:noWrap/>
            <w:vAlign w:val="bottom"/>
          </w:tcPr>
          <w:p>
            <w:pPr>
              <w:tabs>
                <w:tab w:val="left" w:pos="2552"/>
              </w:tabs>
              <w:rPr>
                <w:rFonts w:ascii="Arial" w:hAnsi="Arial"/>
              </w:rPr>
            </w:pPr>
            <w:r>
              <w:rPr>
                <w:rFonts w:ascii="Arial" w:hAnsi="Arial"/>
              </w:rPr>
              <w:t>5’-UGAGAAAGAUUAUGGGAUUTT-3’</w:t>
            </w:r>
          </w:p>
          <w:p>
            <w:pPr>
              <w:tabs>
                <w:tab w:val="left" w:pos="2552"/>
              </w:tabs>
              <w:rPr>
                <w:rFonts w:ascii="Arial" w:hAnsi="Arial"/>
              </w:rPr>
            </w:pPr>
            <w:r>
              <w:rPr>
                <w:rFonts w:ascii="Arial" w:hAnsi="Arial"/>
              </w:rPr>
              <w:t>5’-AAUCCCAUAAUCUUUCUCATT-3’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6" w:type="dxa"/>
            <w:noWrap/>
            <w:vAlign w:val="center"/>
          </w:tcPr>
          <w:p>
            <w:pPr>
              <w:rPr>
                <w:rFonts w:ascii="Arial" w:hAnsi="Arial"/>
              </w:rPr>
            </w:pPr>
            <w:r>
              <w:rPr>
                <w:rFonts w:ascii="Arial" w:hAnsi="Arial"/>
              </w:rPr>
              <w:t>FAK #1</w:t>
            </w:r>
          </w:p>
        </w:tc>
        <w:tc>
          <w:tcPr>
            <w:tcW w:w="4395" w:type="dxa"/>
            <w:noWrap/>
            <w:vAlign w:val="bottom"/>
          </w:tcPr>
          <w:p>
            <w:pPr>
              <w:tabs>
                <w:tab w:val="left" w:pos="2552"/>
              </w:tabs>
              <w:rPr>
                <w:rFonts w:ascii="Arial" w:hAnsi="Arial"/>
              </w:rPr>
            </w:pPr>
            <w:r>
              <w:rPr>
                <w:rFonts w:ascii="Arial" w:hAnsi="Arial"/>
              </w:rPr>
              <w:t>5’-GAACCUCGCAGUCAUUUAUTT-3’</w:t>
            </w:r>
          </w:p>
          <w:p>
            <w:pPr>
              <w:tabs>
                <w:tab w:val="left" w:pos="2552"/>
              </w:tabs>
              <w:rPr>
                <w:rFonts w:ascii="Arial" w:hAnsi="Arial"/>
              </w:rPr>
            </w:pPr>
            <w:r>
              <w:rPr>
                <w:rFonts w:ascii="Arial" w:hAnsi="Arial"/>
              </w:rPr>
              <w:t>5’-AUAAAUGACUGCGAGGUUCTT-3’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6" w:type="dxa"/>
            <w:noWrap/>
            <w:vAlign w:val="center"/>
          </w:tcPr>
          <w:p>
            <w:pPr>
              <w:rPr>
                <w:rFonts w:ascii="Arial" w:hAnsi="Arial"/>
              </w:rPr>
            </w:pPr>
            <w:r>
              <w:rPr>
                <w:rFonts w:ascii="Arial" w:hAnsi="Arial"/>
              </w:rPr>
              <w:t>FAK #2</w:t>
            </w:r>
          </w:p>
        </w:tc>
        <w:tc>
          <w:tcPr>
            <w:tcW w:w="4395" w:type="dxa"/>
            <w:noWrap/>
            <w:vAlign w:val="bottom"/>
          </w:tcPr>
          <w:p>
            <w:pPr>
              <w:tabs>
                <w:tab w:val="left" w:pos="2552"/>
              </w:tabs>
              <w:rPr>
                <w:rFonts w:ascii="Arial" w:hAnsi="Arial"/>
              </w:rPr>
            </w:pPr>
            <w:r>
              <w:rPr>
                <w:rFonts w:ascii="Arial" w:hAnsi="Arial"/>
              </w:rPr>
              <w:t>5’-CUUUGGCGGUUGCAAUUAATT-3’</w:t>
            </w:r>
          </w:p>
          <w:p>
            <w:pPr>
              <w:tabs>
                <w:tab w:val="left" w:pos="2552"/>
              </w:tabs>
              <w:rPr>
                <w:rFonts w:ascii="Arial" w:hAnsi="Arial"/>
              </w:rPr>
            </w:pPr>
            <w:r>
              <w:rPr>
                <w:rFonts w:ascii="Arial" w:hAnsi="Arial"/>
              </w:rPr>
              <w:t>5’-UUAAUUGCAACCGCCAAAGTT-3’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6" w:type="dxa"/>
            <w:noWrap/>
            <w:vAlign w:val="center"/>
          </w:tcPr>
          <w:p>
            <w:pPr>
              <w:rPr>
                <w:rFonts w:ascii="Arial" w:hAnsi="Arial"/>
              </w:rPr>
            </w:pPr>
            <w:r>
              <w:rPr>
                <w:rFonts w:ascii="Arial" w:hAnsi="Arial"/>
              </w:rPr>
              <w:t>SIN3A #1</w:t>
            </w:r>
          </w:p>
        </w:tc>
        <w:tc>
          <w:tcPr>
            <w:tcW w:w="4395" w:type="dxa"/>
            <w:noWrap/>
            <w:vAlign w:val="bottom"/>
          </w:tcPr>
          <w:p>
            <w:pPr>
              <w:tabs>
                <w:tab w:val="left" w:pos="2552"/>
              </w:tabs>
              <w:rPr>
                <w:rFonts w:ascii="Arial" w:hAnsi="Arial"/>
              </w:rPr>
            </w:pPr>
            <w:r>
              <w:rPr>
                <w:rFonts w:ascii="Arial" w:hAnsi="Arial"/>
              </w:rPr>
              <w:t>5’-GCAGUCAGCUACGGGAAUUTT-3’</w:t>
            </w:r>
          </w:p>
          <w:p>
            <w:pPr>
              <w:tabs>
                <w:tab w:val="left" w:pos="2552"/>
              </w:tabs>
              <w:rPr>
                <w:rFonts w:ascii="Arial" w:hAnsi="Arial"/>
              </w:rPr>
            </w:pPr>
            <w:r>
              <w:rPr>
                <w:rFonts w:ascii="Arial" w:hAnsi="Arial"/>
              </w:rPr>
              <w:t>5’-AAUUCCCGUAGCUGACUGCTT-3’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6" w:type="dxa"/>
            <w:noWrap/>
            <w:vAlign w:val="center"/>
          </w:tcPr>
          <w:p>
            <w:pPr>
              <w:rPr>
                <w:rFonts w:ascii="Arial" w:hAnsi="Arial"/>
              </w:rPr>
            </w:pPr>
            <w:r>
              <w:rPr>
                <w:rFonts w:ascii="Arial" w:hAnsi="Arial"/>
              </w:rPr>
              <w:t>SIN3A #2</w:t>
            </w:r>
          </w:p>
        </w:tc>
        <w:tc>
          <w:tcPr>
            <w:tcW w:w="4395" w:type="dxa"/>
            <w:noWrap/>
            <w:vAlign w:val="bottom"/>
          </w:tcPr>
          <w:p>
            <w:pPr>
              <w:tabs>
                <w:tab w:val="left" w:pos="2552"/>
              </w:tabs>
              <w:rPr>
                <w:rFonts w:ascii="Arial" w:hAnsi="Arial"/>
              </w:rPr>
            </w:pPr>
            <w:r>
              <w:rPr>
                <w:rFonts w:ascii="Arial" w:hAnsi="Arial"/>
              </w:rPr>
              <w:t>5’-CCUCAGGUCUACAAUGAUUTT-3’</w:t>
            </w:r>
          </w:p>
          <w:p>
            <w:pPr>
              <w:tabs>
                <w:tab w:val="left" w:pos="2552"/>
              </w:tabs>
              <w:rPr>
                <w:rFonts w:ascii="Arial" w:hAnsi="Arial"/>
              </w:rPr>
            </w:pPr>
            <w:r>
              <w:rPr>
                <w:rFonts w:ascii="Arial" w:hAnsi="Arial"/>
              </w:rPr>
              <w:t>5’-AAUCAUUGUAGACCUGAGGTT-3’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376" w:type="dxa"/>
            <w:noWrap/>
            <w:vAlign w:val="center"/>
          </w:tcPr>
          <w:p>
            <w:pPr>
              <w:rPr>
                <w:rFonts w:ascii="Arial" w:hAnsi="Arial"/>
              </w:rPr>
            </w:pPr>
            <w:r>
              <w:rPr>
                <w:rFonts w:ascii="Arial" w:hAnsi="Arial"/>
              </w:rPr>
              <w:t>siRNA negative control</w:t>
            </w:r>
          </w:p>
        </w:tc>
        <w:tc>
          <w:tcPr>
            <w:tcW w:w="4395" w:type="dxa"/>
            <w:noWrap/>
            <w:vAlign w:val="bottom"/>
          </w:tcPr>
          <w:p>
            <w:pPr>
              <w:tabs>
                <w:tab w:val="left" w:pos="2552"/>
              </w:tabs>
              <w:rPr>
                <w:rFonts w:ascii="Arial" w:hAnsi="Arial"/>
              </w:rPr>
            </w:pPr>
            <w:r>
              <w:rPr>
                <w:rFonts w:ascii="Arial" w:hAnsi="Arial"/>
              </w:rPr>
              <w:t>5’-UUCUCCGAACGUGUCACGUTT-3’</w:t>
            </w:r>
          </w:p>
          <w:p>
            <w:pPr>
              <w:tabs>
                <w:tab w:val="left" w:pos="2552"/>
              </w:tabs>
              <w:rPr>
                <w:rFonts w:ascii="Arial" w:hAnsi="Arial"/>
              </w:rPr>
            </w:pPr>
            <w:r>
              <w:rPr>
                <w:rFonts w:ascii="Arial" w:hAnsi="Arial"/>
              </w:rPr>
              <w:t>5’-ACGUGACACGUUCGGAGAATT-3’</w:t>
            </w:r>
          </w:p>
        </w:tc>
      </w:tr>
    </w:tbl>
    <w:p>
      <w:pPr>
        <w:ind w:left="142" w:hanging="72"/>
        <w:rPr>
          <w:rFonts w:ascii="Arial" w:hAnsi="Arial"/>
          <w:b/>
        </w:rPr>
      </w:pPr>
      <w:r>
        <w:rPr>
          <w:rFonts w:ascii="Arial" w:hAnsi="Arial"/>
          <w:b/>
        </w:rPr>
        <w:t>Supplementary Table S1. siRNA sequences used in this study.</w:t>
      </w:r>
    </w:p>
    <w:p>
      <w:pPr>
        <w:widowControl/>
        <w:autoSpaceDE/>
        <w:autoSpaceDN/>
        <w:rPr>
          <w:rFonts w:eastAsiaTheme="minorEastAsia"/>
          <w:lang w:eastAsia="zh-CN"/>
        </w:rPr>
      </w:pPr>
    </w:p>
    <w:p>
      <w:pPr>
        <w:pStyle w:val="15"/>
        <w:ind w:left="720" w:hanging="720"/>
        <w:rPr>
          <w:rFonts w:eastAsiaTheme="minorEastAsia"/>
          <w:lang w:eastAsia="zh-CN"/>
        </w:rPr>
      </w:pPr>
    </w:p>
    <w:p>
      <w:pPr>
        <w:pStyle w:val="15"/>
        <w:ind w:left="720" w:hanging="720"/>
        <w:rPr>
          <w:rFonts w:eastAsiaTheme="minorEastAsia"/>
          <w:lang w:eastAsia="zh-CN"/>
        </w:rPr>
      </w:pPr>
    </w:p>
    <w:p>
      <w:pPr>
        <w:pStyle w:val="15"/>
        <w:ind w:left="720" w:hanging="720"/>
        <w:rPr>
          <w:rFonts w:eastAsiaTheme="minorEastAsia"/>
          <w:lang w:eastAsia="zh-CN"/>
        </w:rPr>
      </w:pPr>
    </w:p>
    <w:p>
      <w:pPr>
        <w:pStyle w:val="15"/>
        <w:ind w:left="720" w:hanging="720"/>
        <w:rPr>
          <w:rFonts w:eastAsiaTheme="minorEastAsia"/>
          <w:lang w:eastAsia="zh-CN"/>
        </w:rPr>
      </w:pPr>
    </w:p>
    <w:p>
      <w:pPr>
        <w:pStyle w:val="15"/>
        <w:ind w:left="720" w:hanging="720"/>
        <w:rPr>
          <w:rFonts w:eastAsiaTheme="minorEastAsia"/>
          <w:lang w:eastAsia="zh-CN"/>
        </w:rPr>
      </w:pPr>
      <w:r>
        <w:rPr>
          <w:rFonts w:eastAsiaTheme="minorEastAsia"/>
          <w:lang w:eastAsia="zh-CN"/>
        </w:rPr>
        <w:t xml:space="preserve">   </w:t>
      </w:r>
    </w:p>
    <w:p>
      <w:pPr>
        <w:ind w:firstLine="440" w:firstLineChars="200"/>
      </w:pPr>
    </w:p>
    <w:p>
      <w:pPr>
        <w:ind w:firstLine="440" w:firstLineChars="200"/>
      </w:pPr>
    </w:p>
    <w:p>
      <w:pPr>
        <w:ind w:firstLine="440" w:firstLineChars="200"/>
      </w:pPr>
    </w:p>
    <w:p>
      <w:pPr>
        <w:ind w:firstLine="440" w:firstLineChars="200"/>
      </w:pPr>
    </w:p>
    <w:p>
      <w:pPr>
        <w:ind w:firstLine="440" w:firstLineChars="200"/>
      </w:pPr>
    </w:p>
    <w:p>
      <w:pPr>
        <w:ind w:firstLine="440" w:firstLineChars="200"/>
      </w:pPr>
    </w:p>
    <w:p>
      <w:pPr>
        <w:widowControl/>
        <w:autoSpaceDE/>
        <w:autoSpaceDN/>
        <w:ind w:firstLine="142"/>
        <w:rPr>
          <w:rFonts w:ascii="Arial" w:hAnsi="Arial"/>
          <w:b/>
          <w:bCs/>
        </w:rPr>
      </w:pPr>
    </w:p>
    <w:p>
      <w:pPr>
        <w:widowControl/>
        <w:autoSpaceDE/>
        <w:autoSpaceDN/>
        <w:ind w:firstLine="142"/>
        <w:rPr>
          <w:rFonts w:ascii="Arial" w:hAnsi="Arial"/>
          <w:b/>
          <w:bCs/>
        </w:rPr>
      </w:pPr>
    </w:p>
    <w:p>
      <w:pPr>
        <w:widowControl/>
        <w:autoSpaceDE/>
        <w:autoSpaceDN/>
        <w:ind w:firstLine="142"/>
        <w:rPr>
          <w:rFonts w:ascii="Arial" w:hAnsi="Arial"/>
          <w:b/>
          <w:bCs/>
        </w:rPr>
      </w:pPr>
    </w:p>
    <w:p>
      <w:pPr>
        <w:widowControl/>
        <w:autoSpaceDE/>
        <w:autoSpaceDN/>
        <w:ind w:firstLine="142"/>
        <w:rPr>
          <w:rFonts w:ascii="Arial" w:hAnsi="Arial"/>
          <w:b/>
          <w:bCs/>
        </w:rPr>
      </w:pPr>
    </w:p>
    <w:p>
      <w:pPr>
        <w:widowControl/>
        <w:autoSpaceDE/>
        <w:autoSpaceDN/>
        <w:ind w:firstLine="142"/>
        <w:rPr>
          <w:rFonts w:ascii="Arial" w:hAnsi="Arial"/>
          <w:b/>
          <w:bCs/>
        </w:rPr>
      </w:pPr>
    </w:p>
    <w:p>
      <w:pPr>
        <w:widowControl/>
        <w:autoSpaceDE/>
        <w:autoSpaceDN/>
        <w:ind w:firstLine="142"/>
        <w:rPr>
          <w:rFonts w:ascii="Arial" w:hAnsi="Arial"/>
          <w:b/>
          <w:bCs/>
        </w:rPr>
      </w:pPr>
    </w:p>
    <w:p>
      <w:pPr>
        <w:spacing w:after="120"/>
        <w:rPr>
          <w:rFonts w:ascii="Arial" w:hAnsi="Arial"/>
          <w:b/>
          <w:szCs w:val="24"/>
        </w:rPr>
      </w:pPr>
      <w:r>
        <w:rPr>
          <w:rFonts w:ascii="Arial" w:hAnsi="Arial"/>
          <w:b/>
          <w:szCs w:val="24"/>
        </w:rPr>
        <w:t>Supplementary Table S2. PC</w:t>
      </w:r>
      <w:r>
        <w:rPr>
          <w:rFonts w:hint="eastAsia" w:ascii="Arial" w:hAnsi="Arial" w:eastAsia="宋体"/>
          <w:b/>
          <w:szCs w:val="24"/>
          <w:lang w:eastAsia="zh-CN"/>
        </w:rPr>
        <w:t>R</w:t>
      </w:r>
      <w:r>
        <w:rPr>
          <w:rFonts w:ascii="Arial" w:hAnsi="Arial"/>
          <w:b/>
          <w:szCs w:val="24"/>
        </w:rPr>
        <w:t xml:space="preserve"> primer sequences used in this study.</w:t>
      </w:r>
    </w:p>
    <w:tbl>
      <w:tblPr>
        <w:tblStyle w:val="6"/>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2100"/>
        <w:gridCol w:w="4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2" w:type="dxa"/>
            <w:noWrap/>
            <w:vAlign w:val="bottom"/>
          </w:tcPr>
          <w:p>
            <w:pPr>
              <w:rPr>
                <w:rFonts w:ascii="Arial" w:hAnsi="Arial"/>
                <w:szCs w:val="24"/>
              </w:rPr>
            </w:pPr>
            <w:r>
              <w:rPr>
                <w:rFonts w:ascii="Arial" w:hAnsi="Arial"/>
                <w:szCs w:val="24"/>
              </w:rPr>
              <w:t>Gene name</w:t>
            </w:r>
          </w:p>
        </w:tc>
        <w:tc>
          <w:tcPr>
            <w:tcW w:w="2100" w:type="dxa"/>
            <w:noWrap/>
            <w:vAlign w:val="bottom"/>
          </w:tcPr>
          <w:p>
            <w:pPr>
              <w:rPr>
                <w:rFonts w:ascii="Arial" w:hAnsi="Arial"/>
                <w:szCs w:val="24"/>
              </w:rPr>
            </w:pPr>
            <w:r>
              <w:rPr>
                <w:rFonts w:ascii="Arial" w:hAnsi="Arial"/>
                <w:szCs w:val="24"/>
              </w:rPr>
              <w:t>Primer ID</w:t>
            </w:r>
          </w:p>
        </w:tc>
        <w:tc>
          <w:tcPr>
            <w:tcW w:w="4250" w:type="dxa"/>
            <w:noWrap/>
            <w:vAlign w:val="bottom"/>
          </w:tcPr>
          <w:p>
            <w:pPr>
              <w:rPr>
                <w:rFonts w:ascii="Arial" w:hAnsi="Arial"/>
                <w:szCs w:val="24"/>
              </w:rPr>
            </w:pPr>
            <w:r>
              <w:rPr>
                <w:rFonts w:ascii="Arial" w:hAnsi="Arial"/>
                <w:szCs w:val="24"/>
              </w:rPr>
              <w:t>Primer Sequence (5'-3')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872" w:type="dxa"/>
            <w:noWrap/>
            <w:vAlign w:val="bottom"/>
          </w:tcPr>
          <w:p>
            <w:pPr>
              <w:rPr>
                <w:rFonts w:ascii="Arial" w:hAnsi="Arial"/>
                <w:szCs w:val="24"/>
              </w:rPr>
            </w:pPr>
            <w:r>
              <w:rPr>
                <w:rFonts w:ascii="Arial" w:hAnsi="Arial"/>
                <w:szCs w:val="24"/>
              </w:rPr>
              <w:t>LINC01279</w:t>
            </w:r>
          </w:p>
        </w:tc>
        <w:tc>
          <w:tcPr>
            <w:tcW w:w="2100" w:type="dxa"/>
            <w:noWrap/>
            <w:vAlign w:val="bottom"/>
          </w:tcPr>
          <w:p>
            <w:pPr>
              <w:rPr>
                <w:rFonts w:ascii="Arial" w:hAnsi="Arial"/>
                <w:szCs w:val="24"/>
              </w:rPr>
            </w:pPr>
            <w:r>
              <w:rPr>
                <w:rFonts w:ascii="Arial" w:hAnsi="Arial"/>
                <w:szCs w:val="24"/>
              </w:rPr>
              <w:t>LINC01279-F</w:t>
            </w:r>
          </w:p>
        </w:tc>
        <w:tc>
          <w:tcPr>
            <w:tcW w:w="4250" w:type="dxa"/>
            <w:vAlign w:val="center"/>
          </w:tcPr>
          <w:p>
            <w:pPr>
              <w:rPr>
                <w:rFonts w:ascii="Arial" w:hAnsi="Arial"/>
                <w:szCs w:val="24"/>
              </w:rPr>
            </w:pPr>
            <w:r>
              <w:rPr>
                <w:rFonts w:ascii="Arial" w:hAnsi="Arial"/>
              </w:rPr>
              <w:t>CAGGGTTGCCACAAACCTTC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872" w:type="dxa"/>
            <w:noWrap/>
            <w:vAlign w:val="bottom"/>
          </w:tcPr>
          <w:p>
            <w:pPr>
              <w:rPr>
                <w:rFonts w:ascii="Arial" w:hAnsi="Arial"/>
                <w:szCs w:val="24"/>
              </w:rPr>
            </w:pPr>
            <w:r>
              <w:rPr>
                <w:rFonts w:ascii="Arial" w:hAnsi="Arial"/>
                <w:szCs w:val="24"/>
              </w:rPr>
              <w:t>LINC01279</w:t>
            </w:r>
          </w:p>
        </w:tc>
        <w:tc>
          <w:tcPr>
            <w:tcW w:w="2100" w:type="dxa"/>
            <w:noWrap/>
            <w:vAlign w:val="bottom"/>
          </w:tcPr>
          <w:p>
            <w:pPr>
              <w:rPr>
                <w:rFonts w:ascii="Arial" w:hAnsi="Arial"/>
                <w:szCs w:val="24"/>
              </w:rPr>
            </w:pPr>
            <w:r>
              <w:rPr>
                <w:rFonts w:ascii="Arial" w:hAnsi="Arial"/>
                <w:szCs w:val="24"/>
              </w:rPr>
              <w:t>LINC01279-R</w:t>
            </w:r>
          </w:p>
        </w:tc>
        <w:tc>
          <w:tcPr>
            <w:tcW w:w="4250" w:type="dxa"/>
            <w:noWrap/>
            <w:vAlign w:val="center"/>
          </w:tcPr>
          <w:p>
            <w:pPr>
              <w:rPr>
                <w:rFonts w:ascii="Arial" w:hAnsi="Arial"/>
                <w:szCs w:val="24"/>
              </w:rPr>
            </w:pPr>
            <w:r>
              <w:rPr>
                <w:rFonts w:ascii="Arial" w:hAnsi="Arial"/>
              </w:rPr>
              <w:t>ATGCCAGTATGGTAATAGGTCCA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872" w:type="dxa"/>
            <w:noWrap/>
            <w:vAlign w:val="bottom"/>
          </w:tcPr>
          <w:p>
            <w:pPr>
              <w:rPr>
                <w:rFonts w:ascii="Arial" w:hAnsi="Arial"/>
                <w:szCs w:val="24"/>
              </w:rPr>
            </w:pPr>
            <w:r>
              <w:rPr>
                <w:rFonts w:ascii="Arial" w:hAnsi="Arial"/>
                <w:szCs w:val="24"/>
              </w:rPr>
              <w:t>FAK</w:t>
            </w:r>
          </w:p>
        </w:tc>
        <w:tc>
          <w:tcPr>
            <w:tcW w:w="2100" w:type="dxa"/>
            <w:noWrap/>
            <w:vAlign w:val="bottom"/>
          </w:tcPr>
          <w:p>
            <w:pPr>
              <w:rPr>
                <w:rFonts w:ascii="Arial" w:hAnsi="Arial"/>
                <w:szCs w:val="24"/>
              </w:rPr>
            </w:pPr>
            <w:r>
              <w:rPr>
                <w:rFonts w:ascii="Arial" w:hAnsi="Arial"/>
                <w:szCs w:val="24"/>
              </w:rPr>
              <w:t>FAK-F</w:t>
            </w:r>
          </w:p>
        </w:tc>
        <w:tc>
          <w:tcPr>
            <w:tcW w:w="4250" w:type="dxa"/>
            <w:noWrap/>
            <w:vAlign w:val="center"/>
          </w:tcPr>
          <w:p>
            <w:pPr>
              <w:rPr>
                <w:rFonts w:ascii="Arial" w:hAnsi="Arial"/>
                <w:szCs w:val="24"/>
              </w:rPr>
            </w:pPr>
            <w:r>
              <w:rPr>
                <w:rFonts w:ascii="Arial" w:hAnsi="Arial" w:eastAsia="微软雅黑"/>
                <w:szCs w:val="24"/>
                <w:shd w:val="clear" w:color="auto" w:fill="FFFFFF"/>
              </w:rPr>
              <w:t>AGCCGCAGAGATCACCTTTCATTG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872" w:type="dxa"/>
            <w:noWrap/>
            <w:vAlign w:val="bottom"/>
          </w:tcPr>
          <w:p>
            <w:pPr>
              <w:rPr>
                <w:rFonts w:ascii="Arial" w:hAnsi="Arial"/>
                <w:szCs w:val="24"/>
              </w:rPr>
            </w:pPr>
            <w:r>
              <w:rPr>
                <w:rFonts w:ascii="Arial" w:hAnsi="Arial"/>
                <w:szCs w:val="24"/>
              </w:rPr>
              <w:t>FAK</w:t>
            </w:r>
          </w:p>
        </w:tc>
        <w:tc>
          <w:tcPr>
            <w:tcW w:w="2100" w:type="dxa"/>
            <w:noWrap/>
            <w:vAlign w:val="bottom"/>
          </w:tcPr>
          <w:p>
            <w:pPr>
              <w:rPr>
                <w:rFonts w:ascii="Arial" w:hAnsi="Arial"/>
                <w:szCs w:val="24"/>
              </w:rPr>
            </w:pPr>
            <w:r>
              <w:rPr>
                <w:rFonts w:ascii="Arial" w:hAnsi="Arial"/>
                <w:szCs w:val="24"/>
              </w:rPr>
              <w:t>FAK-R</w:t>
            </w:r>
          </w:p>
        </w:tc>
        <w:tc>
          <w:tcPr>
            <w:tcW w:w="4250" w:type="dxa"/>
            <w:noWrap/>
            <w:vAlign w:val="center"/>
          </w:tcPr>
          <w:p>
            <w:pPr>
              <w:rPr>
                <w:rFonts w:ascii="Arial" w:hAnsi="Arial"/>
                <w:szCs w:val="24"/>
              </w:rPr>
            </w:pPr>
            <w:r>
              <w:rPr>
                <w:rFonts w:ascii="Arial" w:hAnsi="Arial" w:eastAsia="微软雅黑"/>
                <w:szCs w:val="24"/>
                <w:shd w:val="clear" w:color="auto" w:fill="FFFFFF"/>
              </w:rPr>
              <w:t>ATTGCTTGAGCCTGGGAGTTTGAG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72" w:type="dxa"/>
            <w:noWrap/>
            <w:vAlign w:val="bottom"/>
          </w:tcPr>
          <w:p>
            <w:pPr>
              <w:rPr>
                <w:rFonts w:ascii="Arial" w:hAnsi="Arial"/>
                <w:szCs w:val="24"/>
              </w:rPr>
            </w:pPr>
            <w:r>
              <w:rPr>
                <w:rFonts w:ascii="Arial" w:hAnsi="Arial"/>
                <w:szCs w:val="24"/>
              </w:rPr>
              <w:t>ERK</w:t>
            </w:r>
          </w:p>
        </w:tc>
        <w:tc>
          <w:tcPr>
            <w:tcW w:w="2100" w:type="dxa"/>
            <w:noWrap/>
            <w:vAlign w:val="bottom"/>
          </w:tcPr>
          <w:p>
            <w:pPr>
              <w:rPr>
                <w:rFonts w:ascii="Arial" w:hAnsi="Arial"/>
                <w:szCs w:val="24"/>
              </w:rPr>
            </w:pPr>
            <w:r>
              <w:rPr>
                <w:rFonts w:ascii="Arial" w:hAnsi="Arial"/>
                <w:szCs w:val="24"/>
              </w:rPr>
              <w:t>ERK-F</w:t>
            </w:r>
          </w:p>
        </w:tc>
        <w:tc>
          <w:tcPr>
            <w:tcW w:w="4250" w:type="dxa"/>
            <w:noWrap/>
            <w:vAlign w:val="center"/>
          </w:tcPr>
          <w:p>
            <w:pPr>
              <w:rPr>
                <w:rFonts w:ascii="Arial" w:hAnsi="Arial"/>
                <w:szCs w:val="24"/>
              </w:rPr>
            </w:pPr>
            <w:r>
              <w:rPr>
                <w:rFonts w:ascii="Arial" w:hAnsi="Arial" w:eastAsia="微软雅黑"/>
                <w:szCs w:val="24"/>
                <w:shd w:val="clear" w:color="auto" w:fill="FFFFFF"/>
              </w:rPr>
              <w:t>ATGGTGTGCTCTGCTTATGATA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72" w:type="dxa"/>
            <w:noWrap/>
            <w:vAlign w:val="bottom"/>
          </w:tcPr>
          <w:p>
            <w:pPr>
              <w:rPr>
                <w:rFonts w:ascii="Arial" w:hAnsi="Arial"/>
                <w:szCs w:val="24"/>
              </w:rPr>
            </w:pPr>
            <w:r>
              <w:rPr>
                <w:rFonts w:ascii="Arial" w:hAnsi="Arial"/>
                <w:szCs w:val="24"/>
              </w:rPr>
              <w:t>ERK</w:t>
            </w:r>
          </w:p>
        </w:tc>
        <w:tc>
          <w:tcPr>
            <w:tcW w:w="2100" w:type="dxa"/>
            <w:noWrap/>
            <w:vAlign w:val="bottom"/>
          </w:tcPr>
          <w:p>
            <w:pPr>
              <w:rPr>
                <w:rFonts w:ascii="Arial" w:hAnsi="Arial"/>
                <w:szCs w:val="24"/>
              </w:rPr>
            </w:pPr>
            <w:r>
              <w:rPr>
                <w:rFonts w:ascii="Arial" w:hAnsi="Arial"/>
                <w:szCs w:val="24"/>
              </w:rPr>
              <w:t>ERK-R</w:t>
            </w:r>
          </w:p>
        </w:tc>
        <w:tc>
          <w:tcPr>
            <w:tcW w:w="4250" w:type="dxa"/>
            <w:noWrap/>
            <w:vAlign w:val="center"/>
          </w:tcPr>
          <w:p>
            <w:pPr>
              <w:rPr>
                <w:rFonts w:ascii="Arial" w:hAnsi="Arial"/>
                <w:szCs w:val="24"/>
              </w:rPr>
            </w:pPr>
            <w:r>
              <w:rPr>
                <w:rFonts w:ascii="Arial" w:hAnsi="Arial"/>
                <w:szCs w:val="24"/>
              </w:rPr>
              <w:t>TCTTTCATTTGCTCGATGGTTG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2" w:type="dxa"/>
            <w:noWrap/>
            <w:vAlign w:val="bottom"/>
          </w:tcPr>
          <w:p>
            <w:pPr>
              <w:rPr>
                <w:rFonts w:ascii="Arial" w:hAnsi="Arial"/>
                <w:szCs w:val="24"/>
              </w:rPr>
            </w:pPr>
            <w:r>
              <w:rPr>
                <w:rFonts w:ascii="Arial" w:hAnsi="Arial"/>
                <w:szCs w:val="24"/>
              </w:rPr>
              <w:t xml:space="preserve">SIN3A         </w:t>
            </w:r>
          </w:p>
        </w:tc>
        <w:tc>
          <w:tcPr>
            <w:tcW w:w="2100" w:type="dxa"/>
            <w:noWrap/>
            <w:vAlign w:val="bottom"/>
          </w:tcPr>
          <w:p>
            <w:pPr>
              <w:rPr>
                <w:rFonts w:ascii="Arial" w:hAnsi="Arial"/>
                <w:szCs w:val="24"/>
              </w:rPr>
            </w:pPr>
            <w:r>
              <w:rPr>
                <w:rFonts w:ascii="Arial" w:hAnsi="Arial"/>
                <w:szCs w:val="24"/>
              </w:rPr>
              <w:t>SIN3A-F</w:t>
            </w:r>
          </w:p>
        </w:tc>
        <w:tc>
          <w:tcPr>
            <w:tcW w:w="4250" w:type="dxa"/>
            <w:noWrap/>
            <w:vAlign w:val="bottom"/>
          </w:tcPr>
          <w:p>
            <w:pPr>
              <w:rPr>
                <w:rFonts w:ascii="Arial" w:hAnsi="Arial"/>
                <w:szCs w:val="24"/>
              </w:rPr>
            </w:pPr>
            <w:r>
              <w:rPr>
                <w:rFonts w:ascii="Arial" w:hAnsi="Arial"/>
                <w:szCs w:val="24"/>
              </w:rPr>
              <w:t>CAGCTACGTCTCAAAGAACCTA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2" w:type="dxa"/>
            <w:noWrap/>
            <w:vAlign w:val="bottom"/>
          </w:tcPr>
          <w:p>
            <w:pPr>
              <w:rPr>
                <w:rFonts w:ascii="Arial" w:hAnsi="Arial"/>
                <w:szCs w:val="24"/>
              </w:rPr>
            </w:pPr>
            <w:r>
              <w:rPr>
                <w:rFonts w:ascii="Arial" w:hAnsi="Arial"/>
                <w:szCs w:val="24"/>
              </w:rPr>
              <w:t xml:space="preserve">SIN3A </w:t>
            </w:r>
          </w:p>
        </w:tc>
        <w:tc>
          <w:tcPr>
            <w:tcW w:w="2100" w:type="dxa"/>
            <w:noWrap/>
            <w:vAlign w:val="bottom"/>
          </w:tcPr>
          <w:p>
            <w:pPr>
              <w:rPr>
                <w:rFonts w:ascii="Arial" w:hAnsi="Arial"/>
                <w:szCs w:val="24"/>
              </w:rPr>
            </w:pPr>
            <w:r>
              <w:rPr>
                <w:rFonts w:ascii="Arial" w:hAnsi="Arial"/>
                <w:szCs w:val="24"/>
              </w:rPr>
              <w:t>SIN3A-R</w:t>
            </w:r>
          </w:p>
        </w:tc>
        <w:tc>
          <w:tcPr>
            <w:tcW w:w="4250" w:type="dxa"/>
            <w:noWrap/>
            <w:vAlign w:val="bottom"/>
          </w:tcPr>
          <w:p>
            <w:pPr>
              <w:rPr>
                <w:rFonts w:ascii="Arial" w:hAnsi="Arial"/>
                <w:szCs w:val="24"/>
              </w:rPr>
            </w:pPr>
            <w:r>
              <w:rPr>
                <w:rFonts w:ascii="Arial" w:hAnsi="Arial"/>
                <w:szCs w:val="24"/>
              </w:rPr>
              <w:t>GCATGAATGGTGAACATCTCTC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2" w:type="dxa"/>
            <w:noWrap/>
            <w:vAlign w:val="bottom"/>
          </w:tcPr>
          <w:p>
            <w:pPr>
              <w:rPr>
                <w:rFonts w:ascii="Arial" w:hAnsi="Arial"/>
                <w:szCs w:val="24"/>
              </w:rPr>
            </w:pPr>
            <w:r>
              <w:rPr>
                <w:rFonts w:ascii="Arial" w:hAnsi="Arial"/>
                <w:szCs w:val="24"/>
              </w:rPr>
              <w:t>GAPDH</w:t>
            </w:r>
          </w:p>
        </w:tc>
        <w:tc>
          <w:tcPr>
            <w:tcW w:w="2100" w:type="dxa"/>
            <w:noWrap/>
            <w:vAlign w:val="bottom"/>
          </w:tcPr>
          <w:p>
            <w:pPr>
              <w:rPr>
                <w:rFonts w:ascii="Arial" w:hAnsi="Arial"/>
                <w:szCs w:val="24"/>
              </w:rPr>
            </w:pPr>
            <w:r>
              <w:rPr>
                <w:rFonts w:ascii="Arial" w:hAnsi="Arial"/>
                <w:szCs w:val="24"/>
              </w:rPr>
              <w:t>GAPDH-F</w:t>
            </w:r>
          </w:p>
        </w:tc>
        <w:tc>
          <w:tcPr>
            <w:tcW w:w="4250" w:type="dxa"/>
            <w:noWrap/>
            <w:vAlign w:val="center"/>
          </w:tcPr>
          <w:p>
            <w:pPr>
              <w:rPr>
                <w:rFonts w:ascii="Arial" w:hAnsi="Arial"/>
                <w:szCs w:val="24"/>
              </w:rPr>
            </w:pPr>
            <w:r>
              <w:rPr>
                <w:rFonts w:ascii="Arial" w:hAnsi="Arial"/>
                <w:szCs w:val="24"/>
              </w:rPr>
              <w:t>GTCAAGGCTGAGAACGGGAA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2" w:type="dxa"/>
            <w:noWrap/>
            <w:vAlign w:val="bottom"/>
          </w:tcPr>
          <w:p>
            <w:pPr>
              <w:rPr>
                <w:rFonts w:ascii="Arial" w:hAnsi="Arial"/>
                <w:szCs w:val="24"/>
              </w:rPr>
            </w:pPr>
            <w:r>
              <w:rPr>
                <w:rFonts w:ascii="Arial" w:hAnsi="Arial"/>
                <w:szCs w:val="24"/>
              </w:rPr>
              <w:t>GAPDH</w:t>
            </w:r>
          </w:p>
        </w:tc>
        <w:tc>
          <w:tcPr>
            <w:tcW w:w="2100" w:type="dxa"/>
            <w:noWrap/>
            <w:vAlign w:val="bottom"/>
          </w:tcPr>
          <w:p>
            <w:pPr>
              <w:rPr>
                <w:rFonts w:ascii="Arial" w:hAnsi="Arial"/>
                <w:szCs w:val="24"/>
              </w:rPr>
            </w:pPr>
            <w:r>
              <w:rPr>
                <w:rFonts w:ascii="Arial" w:hAnsi="Arial"/>
                <w:szCs w:val="24"/>
              </w:rPr>
              <w:t>GAPDH-R</w:t>
            </w:r>
          </w:p>
        </w:tc>
        <w:tc>
          <w:tcPr>
            <w:tcW w:w="4250" w:type="dxa"/>
            <w:noWrap/>
            <w:vAlign w:val="center"/>
          </w:tcPr>
          <w:p>
            <w:pPr>
              <w:rPr>
                <w:rFonts w:ascii="Arial" w:hAnsi="Arial"/>
                <w:szCs w:val="24"/>
              </w:rPr>
            </w:pPr>
            <w:r>
              <w:rPr>
                <w:rFonts w:ascii="Arial" w:hAnsi="Arial"/>
                <w:szCs w:val="24"/>
              </w:rPr>
              <w:t>AAATGAGCCCCAGCCTTCTC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872" w:type="dxa"/>
            <w:noWrap/>
            <w:vAlign w:val="bottom"/>
          </w:tcPr>
          <w:p>
            <w:pPr>
              <w:rPr>
                <w:rFonts w:ascii="Arial" w:hAnsi="Arial"/>
                <w:szCs w:val="24"/>
              </w:rPr>
            </w:pPr>
            <w:r>
              <w:rPr>
                <w:rFonts w:ascii="Arial" w:hAnsi="Arial"/>
                <w:szCs w:val="24"/>
              </w:rPr>
              <w:t>U1</w:t>
            </w:r>
          </w:p>
        </w:tc>
        <w:tc>
          <w:tcPr>
            <w:tcW w:w="2100" w:type="dxa"/>
            <w:noWrap/>
            <w:vAlign w:val="bottom"/>
          </w:tcPr>
          <w:p>
            <w:pPr>
              <w:rPr>
                <w:rFonts w:ascii="Arial" w:hAnsi="Arial"/>
                <w:szCs w:val="24"/>
              </w:rPr>
            </w:pPr>
            <w:r>
              <w:rPr>
                <w:rFonts w:ascii="Arial" w:hAnsi="Arial"/>
                <w:szCs w:val="24"/>
              </w:rPr>
              <w:t>U1-F</w:t>
            </w:r>
          </w:p>
        </w:tc>
        <w:tc>
          <w:tcPr>
            <w:tcW w:w="4250" w:type="dxa"/>
            <w:noWrap/>
            <w:vAlign w:val="center"/>
          </w:tcPr>
          <w:p>
            <w:pPr>
              <w:rPr>
                <w:rFonts w:ascii="Arial" w:hAnsi="Arial"/>
                <w:szCs w:val="24"/>
              </w:rPr>
            </w:pPr>
            <w:r>
              <w:rPr>
                <w:rFonts w:ascii="Arial" w:hAnsi="Arial"/>
                <w:szCs w:val="24"/>
              </w:rPr>
              <w:t>ACCTGGCAGGGGAGATACCA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872" w:type="dxa"/>
            <w:noWrap/>
            <w:vAlign w:val="bottom"/>
          </w:tcPr>
          <w:p>
            <w:pPr>
              <w:rPr>
                <w:rFonts w:ascii="Arial" w:hAnsi="Arial"/>
                <w:szCs w:val="24"/>
              </w:rPr>
            </w:pPr>
            <w:r>
              <w:rPr>
                <w:rFonts w:ascii="Arial" w:hAnsi="Arial"/>
                <w:szCs w:val="24"/>
              </w:rPr>
              <w:t>U1</w:t>
            </w:r>
          </w:p>
        </w:tc>
        <w:tc>
          <w:tcPr>
            <w:tcW w:w="2100" w:type="dxa"/>
            <w:noWrap/>
            <w:vAlign w:val="bottom"/>
          </w:tcPr>
          <w:p>
            <w:pPr>
              <w:rPr>
                <w:rFonts w:ascii="Arial" w:hAnsi="Arial"/>
                <w:szCs w:val="24"/>
              </w:rPr>
            </w:pPr>
            <w:r>
              <w:rPr>
                <w:rFonts w:ascii="Arial" w:hAnsi="Arial"/>
                <w:szCs w:val="24"/>
              </w:rPr>
              <w:t>U1-R</w:t>
            </w:r>
          </w:p>
        </w:tc>
        <w:tc>
          <w:tcPr>
            <w:tcW w:w="4250" w:type="dxa"/>
            <w:noWrap/>
            <w:vAlign w:val="center"/>
          </w:tcPr>
          <w:p>
            <w:pPr>
              <w:rPr>
                <w:rFonts w:ascii="Arial" w:hAnsi="Arial"/>
                <w:szCs w:val="24"/>
              </w:rPr>
            </w:pPr>
            <w:r>
              <w:rPr>
                <w:rFonts w:ascii="Arial" w:hAnsi="Arial"/>
                <w:szCs w:val="24"/>
              </w:rPr>
              <w:t>GAAAGCGCGAACGCAGTCC</w:t>
            </w:r>
          </w:p>
        </w:tc>
      </w:tr>
    </w:tbl>
    <w:p>
      <w:pPr>
        <w:rPr>
          <w:rFonts w:ascii="Arial" w:hAnsi="Arial"/>
          <w:b/>
          <w:szCs w:val="24"/>
        </w:rPr>
      </w:pPr>
    </w:p>
    <w:p>
      <w:pPr>
        <w:spacing w:after="120"/>
        <w:rPr>
          <w:rFonts w:ascii="Arial" w:hAnsi="Arial"/>
          <w:szCs w:val="24"/>
        </w:rPr>
      </w:pPr>
    </w:p>
    <w:p>
      <w:pPr>
        <w:spacing w:after="120"/>
        <w:rPr>
          <w:rFonts w:ascii="Arial" w:hAnsi="Arial"/>
          <w:szCs w:val="24"/>
        </w:rPr>
      </w:pPr>
    </w:p>
    <w:p>
      <w:pPr>
        <w:spacing w:after="120"/>
        <w:rPr>
          <w:rFonts w:ascii="Arial" w:hAnsi="Arial"/>
          <w:szCs w:val="24"/>
        </w:rPr>
      </w:pPr>
    </w:p>
    <w:p>
      <w:pPr>
        <w:spacing w:after="120"/>
        <w:rPr>
          <w:rFonts w:ascii="Arial" w:hAnsi="Arial"/>
          <w:szCs w:val="24"/>
        </w:rPr>
      </w:pPr>
    </w:p>
    <w:p>
      <w:pPr>
        <w:spacing w:after="120"/>
        <w:rPr>
          <w:rFonts w:ascii="Arial" w:hAnsi="Arial"/>
          <w:szCs w:val="24"/>
        </w:rPr>
      </w:pPr>
    </w:p>
    <w:p>
      <w:pPr>
        <w:spacing w:after="120"/>
        <w:rPr>
          <w:rFonts w:ascii="Arial" w:hAnsi="Arial"/>
          <w:szCs w:val="24"/>
        </w:rPr>
      </w:pPr>
    </w:p>
    <w:p>
      <w:pPr>
        <w:spacing w:after="120"/>
        <w:rPr>
          <w:rFonts w:ascii="Arial" w:hAnsi="Arial"/>
          <w:b/>
          <w:szCs w:val="24"/>
        </w:rPr>
      </w:pPr>
    </w:p>
    <w:p>
      <w:pPr>
        <w:spacing w:after="120"/>
        <w:rPr>
          <w:rFonts w:ascii="Arial" w:hAnsi="Arial"/>
          <w:b/>
          <w:szCs w:val="24"/>
        </w:rPr>
      </w:pPr>
      <w:r>
        <w:rPr>
          <w:rFonts w:ascii="Arial" w:hAnsi="Arial"/>
          <w:b/>
          <w:szCs w:val="24"/>
        </w:rPr>
        <w:t>Supplementary Table S3. Antibodies used in this study.</w:t>
      </w:r>
    </w:p>
    <w:tbl>
      <w:tblPr>
        <w:tblStyle w:val="7"/>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1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PARP (Cell Signaling Technology, 9532)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p-AKT (Cell Signaling Technology, 4056)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p-ERK (Cell Signaling Technology, 4370)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5812" w:type="dxa"/>
            <w:vAlign w:val="center"/>
          </w:tcPr>
          <w:p>
            <w:pPr>
              <w:rPr>
                <w:rFonts w:ascii="Arial" w:hAnsi="Arial"/>
                <w:szCs w:val="24"/>
              </w:rPr>
            </w:pPr>
            <w:r>
              <w:rPr>
                <w:rFonts w:ascii="Arial" w:hAnsi="Arial"/>
                <w:szCs w:val="24"/>
              </w:rPr>
              <w:t xml:space="preserve">ERK (Cell Signaling Technology, 9102)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GAPDH (Sigma, AB2302)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5812" w:type="dxa"/>
            <w:vAlign w:val="center"/>
          </w:tcPr>
          <w:p>
            <w:pPr>
              <w:rPr>
                <w:rFonts w:ascii="Arial" w:hAnsi="Arial"/>
                <w:szCs w:val="24"/>
              </w:rPr>
            </w:pPr>
            <w:r>
              <w:rPr>
                <w:rFonts w:ascii="Arial" w:hAnsi="Arial"/>
                <w:szCs w:val="24"/>
              </w:rPr>
              <w:t>SIN3A (Cell Signaling Technology, 8056)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LC3</w:t>
            </w:r>
            <w:r>
              <w:rPr>
                <w:rFonts w:ascii="Arial" w:hAnsi="Arial" w:cs="宋体"/>
                <w:szCs w:val="24"/>
              </w:rPr>
              <w:t>B-II (</w:t>
            </w:r>
            <w:r>
              <w:rPr>
                <w:rFonts w:ascii="Arial" w:hAnsi="Arial"/>
                <w:szCs w:val="24"/>
              </w:rPr>
              <w:t>abcam, ab192890)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FAK (Cell Signaling Technology, 3285</w:t>
            </w:r>
            <w:r>
              <w:rPr>
                <w:rFonts w:hint="eastAsia" w:ascii="Arial" w:hAnsi="Arial"/>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5812" w:type="dxa"/>
            <w:vAlign w:val="center"/>
          </w:tcPr>
          <w:p>
            <w:pPr>
              <w:rPr>
                <w:rFonts w:ascii="Arial" w:hAnsi="Arial"/>
                <w:szCs w:val="24"/>
              </w:rPr>
            </w:pPr>
            <w:r>
              <w:rPr>
                <w:rFonts w:ascii="Arial" w:hAnsi="Arial"/>
                <w:szCs w:val="24"/>
              </w:rPr>
              <w:t>p53</w:t>
            </w:r>
            <w:r>
              <w:rPr>
                <w:rFonts w:ascii="Arial" w:hAnsi="Arial" w:cs="宋体"/>
                <w:szCs w:val="24"/>
              </w:rPr>
              <w:t xml:space="preserve"> (</w:t>
            </w:r>
            <w:r>
              <w:rPr>
                <w:rFonts w:ascii="Arial" w:hAnsi="Arial"/>
                <w:szCs w:val="24"/>
              </w:rPr>
              <w:t>abcam, ab32049)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p62 (Cell Signaling Technology, 5114)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p70 (Cell Signaling Technology, 2708)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8" w:hRule="atLeast"/>
        </w:trPr>
        <w:tc>
          <w:tcPr>
            <w:tcW w:w="5812" w:type="dxa"/>
            <w:vAlign w:val="center"/>
          </w:tcPr>
          <w:p>
            <w:pPr>
              <w:rPr>
                <w:rFonts w:ascii="Arial" w:hAnsi="Arial"/>
                <w:szCs w:val="24"/>
              </w:rPr>
            </w:pPr>
            <w:r>
              <w:rPr>
                <w:rFonts w:ascii="Arial" w:hAnsi="Arial"/>
                <w:szCs w:val="24"/>
              </w:rPr>
              <w:t>Beclin1 (Cell Signaling Technology, 3495)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AMPK (Cell Signaling Technology, 5832)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 w:hRule="atLeast"/>
        </w:trPr>
        <w:tc>
          <w:tcPr>
            <w:tcW w:w="5812" w:type="dxa"/>
            <w:vAlign w:val="center"/>
          </w:tcPr>
          <w:p>
            <w:pPr>
              <w:rPr>
                <w:rFonts w:ascii="Arial" w:hAnsi="Arial"/>
                <w:szCs w:val="24"/>
              </w:rPr>
            </w:pPr>
            <w:r>
              <w:rPr>
                <w:rFonts w:ascii="Arial" w:hAnsi="Arial"/>
                <w:szCs w:val="24"/>
              </w:rPr>
              <w:t>p-AMPK (Cell Signaling Technology, 2535)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68" w:hRule="atLeast"/>
        </w:trPr>
        <w:tc>
          <w:tcPr>
            <w:tcW w:w="5812" w:type="dxa"/>
            <w:vAlign w:val="center"/>
          </w:tcPr>
          <w:p>
            <w:pPr>
              <w:rPr>
                <w:rFonts w:ascii="Arial" w:hAnsi="Arial"/>
                <w:szCs w:val="24"/>
              </w:rPr>
            </w:pPr>
            <w:r>
              <w:rPr>
                <w:rFonts w:ascii="Arial" w:hAnsi="Arial"/>
                <w:szCs w:val="24"/>
              </w:rPr>
              <w:t>Ki-67 (Cell Signaling Technology, 9129)</w:t>
            </w:r>
          </w:p>
        </w:tc>
      </w:tr>
    </w:tbl>
    <w:p>
      <w:pPr>
        <w:spacing w:line="360" w:lineRule="auto"/>
        <w:jc w:val="both"/>
        <w:rPr>
          <w:b/>
          <w:bCs/>
          <w:color w:val="C00000"/>
          <w:sz w:val="24"/>
          <w:szCs w:val="24"/>
        </w:rPr>
      </w:pPr>
    </w:p>
    <w:p>
      <w:pPr>
        <w:widowControl/>
        <w:autoSpaceDE/>
        <w:autoSpaceDN/>
        <w:ind w:firstLine="142"/>
        <w:rPr>
          <w:rFonts w:ascii="Arial" w:hAnsi="Arial"/>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hyphenationZone w:val="425"/>
  <w:characterSpacingControl w:val="doNotCompress"/>
  <w:compat>
    <w:useFELayout/>
    <w:compatSetting w:name="compatibilityMode" w:uri="http://schemas.microsoft.com/office/word" w:val="12"/>
  </w:compat>
  <w:docVars>
    <w:docVar w:name="commondata" w:val="eyJoZGlkIjoiZjVhNGJiMWVmZTg4ZjFhYWZhYWFiMzBkODkwYWRkZmUifQ=="/>
    <w:docVar w:name="EN.CategoryHeadingStyles" w:val="&lt;section-heading-styles&gt;&lt;category-title alignment=&quot;1&quot;&gt;&lt;/category-title&gt;&lt;category-heading alignment=&quot;1&quot;&gt;&lt;/category-heading&gt;&lt;/section-heading-styles&gt;"/>
    <w:docVar w:name="EN.DefaultReferenceGroups" w:val="&lt;reference-groups&gt;&lt;reference-group&gt;&lt;kind&gt;1&lt;/kind&gt;&lt;heading&gt;&lt;/heading&gt;&lt;alignment&gt;0&lt;/alignment&gt;&lt;records&gt;&lt;record&gt;&lt;key app=&quot;EN&quot; db-id=&quot;p2drtfdzz2dsxmeds28petesxtw5wawasa2d&quot; timestamp=&quot;1643450809&quot;&gt;1&lt;/key&gt;&lt;/record&gt;&lt;record&gt;&lt;key app=&quot;EN&quot; db-id=&quot;p2drtfdzz2dsxmeds28petesxtw5wawasa2d&quot; timestamp=&quot;1643451074&quot;&gt;2&lt;/key&gt;&lt;/record&gt;&lt;record&gt;&lt;key app=&quot;EN&quot; db-id=&quot;p2drtfdzz2dsxmeds28petesxtw5wawasa2d&quot; timestamp=&quot;1643453716&quot;&gt;3&lt;/key&gt;&lt;/record&gt;&lt;record&gt;&lt;key app=&quot;EN&quot; db-id=&quot;p2drtfdzz2dsxmeds28petesxtw5wawasa2d&quot; timestamp=&quot;1643454002&quot;&gt;4&lt;/key&gt;&lt;/record&gt;&lt;record&gt;&lt;key app=&quot;EN&quot; db-id=&quot;p2drtfdzz2dsxmeds28petesxtw5wawasa2d&quot; timestamp=&quot;1643454258&quot;&gt;5&lt;/key&gt;&lt;/record&gt;&lt;record&gt;&lt;key app=&quot;EN&quot; db-id=&quot;p2drtfdzz2dsxmeds28petesxtw5wawasa2d&quot; timestamp=&quot;1643454426&quot;&gt;6&lt;/key&gt;&lt;/record&gt;&lt;record&gt;&lt;key app=&quot;EN&quot; db-id=&quot;p2drtfdzz2dsxmeds28petesxtw5wawasa2d&quot; timestamp=&quot;1643454785&quot;&gt;7&lt;/key&gt;&lt;/record&gt;&lt;record&gt;&lt;key app=&quot;EN&quot; db-id=&quot;p2drtfdzz2dsxmeds28petesxtw5wawasa2d&quot; timestamp=&quot;1643454957&quot;&gt;8&lt;/key&gt;&lt;/record&gt;&lt;record&gt;&lt;key app=&quot;EN&quot; db-id=&quot;p2drtfdzz2dsxmeds28petesxtw5wawasa2d&quot; timestamp=&quot;1643455043&quot;&gt;9&lt;/key&gt;&lt;/record&gt;&lt;record&gt;&lt;key app=&quot;EN&quot; db-id=&quot;p2drtfdzz2dsxmeds28petesxtw5wawasa2d&quot; timestamp=&quot;1643455169&quot;&gt;10&lt;/key&gt;&lt;/record&gt;&lt;record&gt;&lt;key app=&quot;EN&quot; db-id=&quot;p2drtfdzz2dsxmeds28petesxtw5wawasa2d&quot; timestamp=&quot;1643456295&quot;&gt;11&lt;/key&gt;&lt;/record&gt;&lt;record&gt;&lt;key app=&quot;EN&quot; db-id=&quot;p2drtfdzz2dsxmeds28petesxtw5wawasa2d&quot; timestamp=&quot;1643456689&quot;&gt;12&lt;/key&gt;&lt;/record&gt;&lt;record&gt;&lt;key app=&quot;EN&quot; db-id=&quot;p2drtfdzz2dsxmeds28petesxtw5wawasa2d&quot; timestamp=&quot;1643457202&quot;&gt;14&lt;/key&gt;&lt;/record&gt;&lt;record&gt;&lt;key app=&quot;EN&quot; db-id=&quot;p2drtfdzz2dsxmeds28petesxtw5wawasa2d&quot; timestamp=&quot;1643457368&quot;&gt;16&lt;/key&gt;&lt;/record&gt;&lt;record&gt;&lt;key app=&quot;EN&quot; db-id=&quot;p2drtfdzz2dsxmeds28petesxtw5wawasa2d&quot; timestamp=&quot;1643457616&quot;&gt;17&lt;/key&gt;&lt;/record&gt;&lt;record&gt;&lt;key app=&quot;EN&quot; db-id=&quot;p2drtfdzz2dsxmeds28petesxtw5wawasa2d&quot; timestamp=&quot;1643457708&quot;&gt;18&lt;/key&gt;&lt;/record&gt;&lt;record&gt;&lt;key app=&quot;EN&quot; db-id=&quot;p2drtfdzz2dsxmeds28petesxtw5wawasa2d&quot; timestamp=&quot;1643461102&quot;&gt;20&lt;/key&gt;&lt;/record&gt;&lt;record&gt;&lt;key app=&quot;EN&quot; db-id=&quot;p2drtfdzz2dsxmeds28petesxtw5wawasa2d&quot; timestamp=&quot;1643461171&quot;&gt;21&lt;/key&gt;&lt;/record&gt;&lt;record&gt;&lt;key app=&quot;EN&quot; db-id=&quot;p2drtfdzz2dsxmeds28petesxtw5wawasa2d&quot; timestamp=&quot;1643461235&quot;&gt;22&lt;/key&gt;&lt;/record&gt;&lt;record&gt;&lt;key app=&quot;EN&quot; db-id=&quot;p2drtfdzz2dsxmeds28petesxtw5wawasa2d&quot; timestamp=&quot;1643461911&quot;&gt;23&lt;/key&gt;&lt;/record&gt;&lt;record&gt;&lt;key app=&quot;EN&quot; db-id=&quot;p2drtfdzz2dsxmeds28petesxtw5wawasa2d&quot; timestamp=&quot;1643462018&quot;&gt;24&lt;/key&gt;&lt;/record&gt;&lt;record&gt;&lt;key app=&quot;EN&quot; db-id=&quot;p2drtfdzz2dsxmeds28petesxtw5wawasa2d&quot; timestamp=&quot;1643462196&quot;&gt;25&lt;/key&gt;&lt;/record&gt;&lt;record&gt;&lt;key app=&quot;EN&quot; db-id=&quot;p2drtfdzz2dsxmeds28petesxtw5wawasa2d&quot; timestamp=&quot;1643462249&quot;&gt;26&lt;/key&gt;&lt;/record&gt;&lt;record&gt;&lt;key app=&quot;EN&quot; db-id=&quot;p2drtfdzz2dsxmeds28petesxtw5wawasa2d&quot; timestamp=&quot;1643462318&quot;&gt;27&lt;/key&gt;&lt;/record&gt;&lt;record&gt;&lt;key app=&quot;EN&quot; db-id=&quot;p2drtfdzz2dsxmeds28petesxtw5wawasa2d&quot; timestamp=&quot;1643462370&quot;&gt;28&lt;/key&gt;&lt;/record&gt;&lt;record&gt;&lt;key app=&quot;EN&quot; db-id=&quot;p2drtfdzz2dsxmeds28petesxtw5wawasa2d&quot; timestamp=&quot;1643462882&quot;&gt;29&lt;/key&gt;&lt;/record&gt;&lt;record&gt;&lt;key app=&quot;EN&quot; db-id=&quot;p2drtfdzz2dsxmeds28petesxtw5wawasa2d&quot; timestamp=&quot;1643462938&quot;&gt;30&lt;/key&gt;&lt;/record&gt;&lt;record&gt;&lt;key app=&quot;EN&quot; db-id=&quot;p2drtfdzz2dsxmeds28petesxtw5wawasa2d&quot; timestamp=&quot;1643462986&quot;&gt;31&lt;/key&gt;&lt;/record&gt;&lt;record&gt;&lt;key app=&quot;EN&quot; db-id=&quot;p2drtfdzz2dsxmeds28petesxtw5wawasa2d&quot; timestamp=&quot;1643463041&quot;&gt;32&lt;/key&gt;&lt;/record&gt;&lt;record&gt;&lt;key app=&quot;EN&quot; db-id=&quot;p2drtfdzz2dsxmeds28petesxtw5wawasa2d&quot; timestamp=&quot;1643463094&quot;&gt;33&lt;/key&gt;&lt;/record&gt;&lt;record&gt;&lt;key app=&quot;EN&quot; db-id=&quot;p2drtfdzz2dsxmeds28petesxtw5wawasa2d&quot; timestamp=&quot;1643463898&quot;&gt;34&lt;/key&gt;&lt;/record&gt;&lt;record&gt;&lt;key app=&quot;EN&quot; db-id=&quot;p2drtfdzz2dsxmeds28petesxtw5wawasa2d&quot; timestamp=&quot;1643463959&quot;&gt;35&lt;/key&gt;&lt;/record&gt;&lt;record&gt;&lt;key app=&quot;EN&quot; db-id=&quot;p2drtfdzz2dsxmeds28petesxtw5wawasa2d&quot; timestamp=&quot;1643465640&quot;&gt;36&lt;/key&gt;&lt;/record&gt;&lt;record&gt;&lt;key app=&quot;EN&quot; db-id=&quot;p2drtfdzz2dsxmeds28petesxtw5wawasa2d&quot; timestamp=&quot;1643465686&quot;&gt;37&lt;/key&gt;&lt;/record&gt;&lt;record&gt;&lt;key app=&quot;EN&quot; db-id=&quot;p2drtfdzz2dsxmeds28petesxtw5wawasa2d&quot; timestamp=&quot;1643465774&quot;&gt;38&lt;/key&gt;&lt;/record&gt;&lt;record&gt;&lt;key app=&quot;EN&quot; db-id=&quot;p2drtfdzz2dsxmeds28petesxtw5wawasa2d&quot; timestamp=&quot;1643465824&quot;&gt;39&lt;/key&gt;&lt;/record&gt;&lt;record&gt;&lt;key app=&quot;EN&quot; db-id=&quot;p2drtfdzz2dsxmeds28petesxtw5wawasa2d&quot; timestamp=&quot;1643465901&quot;&gt;40&lt;/key&gt;&lt;/record&gt;&lt;record&gt;&lt;key app=&quot;EN&quot; db-id=&quot;p2drtfdzz2dsxmeds28petesxtw5wawasa2d&quot; timestamp=&quot;1643465952&quot;&gt;41&lt;/key&gt;&lt;/record&gt;&lt;record&gt;&lt;key app=&quot;EN&quot; db-id=&quot;p2drtfdzz2dsxmeds28petesxtw5wawasa2d&quot; timestamp=&quot;1643465989&quot;&gt;42&lt;/key&gt;&lt;/record&gt;&lt;record&gt;&lt;key app=&quot;EN&quot; db-id=&quot;p2drtfdzz2dsxmeds28petesxtw5wawasa2d&quot; timestamp=&quot;1643466046&quot;&gt;43&lt;/key&gt;&lt;/record&gt;&lt;record&gt;&lt;key app=&quot;EN&quot;&gt;&lt;/key&gt;&lt;/record&gt;&lt;record&gt;&lt;key app=&quot;EN&quot; db-id=&quot;p2drtfdzz2dsxmeds28petesxtw5wawasa2d&quot; timestamp=&quot;1643466285&quot;&gt;46&lt;/key&gt;&lt;/record&gt;&lt;record&gt;&lt;key app=&quot;EN&quot; db-id=&quot;p2drtfdzz2dsxmeds28petesxtw5wawasa2d&quot; timestamp=&quot;1643466338&quot;&gt;47&lt;/key&gt;&lt;/record&gt;&lt;record&gt;&lt;key app=&quot;EN&quot; db-id=&quot;p2drtfdzz2dsxmeds28petesxtw5wawasa2d&quot; timestamp=&quot;1643466388&quot;&gt;48&lt;/key&gt;&lt;/record&gt;&lt;record&gt;&lt;key app=&quot;EN&quot; db-id=&quot;p2drtfdzz2dsxmeds28petesxtw5wawasa2d&quot; timestamp=&quot;1643466464&quot;&gt;49&lt;/key&gt;&lt;/record&gt;&lt;record&gt;&lt;key app=&quot;EN&quot; db-id=&quot;p2drtfdzz2dsxmeds28petesxtw5wawasa2d&quot; timestamp=&quot;1643466513&quot;&gt;50&lt;/key&gt;&lt;/record&gt;&lt;record&gt;&lt;key app=&quot;EN&quot; db-id=&quot;p2drtfdzz2dsxmeds28petesxtw5wawasa2d&quot; timestamp=&quot;1643466564&quot;&gt;51&lt;/key&gt;&lt;/record&gt;&lt;/records&gt;&lt;/reference-group&gt;&lt;/reference-groups&gt;"/>
    <w:docVar w:name="EN.InstantFormat" w:val="&lt;ENInstantFormat&gt;&lt;Enabled&gt;1&lt;/Enabled&gt;&lt;ScanUnformatted&gt;1&lt;/ScanUnformatted&gt;&lt;ScanChanges&gt;1&lt;/ScanChanges&gt;&lt;Suspended&gt;0&lt;/Suspended&gt;&lt;/ENInstantFormat&gt;"/>
    <w:docVar w:name="EN.Layout" w:val="&lt;ENLayout&gt;&lt;Style&gt;Oncogene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drtfdzz2dsxmeds28petesxtw5wawasa2d&quot;&gt;My EndNote Library&lt;record-ids&gt;&lt;item&gt;1&lt;/item&gt;&lt;item&gt;2&lt;/item&gt;&lt;item&gt;3&lt;/item&gt;&lt;item&gt;4&lt;/item&gt;&lt;item&gt;5&lt;/item&gt;&lt;item&gt;6&lt;/item&gt;&lt;item&gt;7&lt;/item&gt;&lt;item&gt;8&lt;/item&gt;&lt;item&gt;9&lt;/item&gt;&lt;item&gt;10&lt;/item&gt;&lt;item&gt;11&lt;/item&gt;&lt;item&gt;12&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6&lt;/item&gt;&lt;item&gt;47&lt;/item&gt;&lt;item&gt;48&lt;/item&gt;&lt;item&gt;49&lt;/item&gt;&lt;item&gt;50&lt;/item&gt;&lt;item&gt;51&lt;/item&gt;&lt;/record-ids&gt;&lt;/item&gt;&lt;/Libraries&gt;"/>
    <w:docVar w:name="KY_MEDREF_DOCUID" w:val="{338AEC45-81E0-457A-829A-2A39DF6046B5}"/>
    <w:docVar w:name="KY_MEDREF_VERSION" w:val="3"/>
  </w:docVars>
  <w:rsids>
    <w:rsidRoot w:val="004B6800"/>
    <w:rsid w:val="00002D06"/>
    <w:rsid w:val="00017491"/>
    <w:rsid w:val="00045FC8"/>
    <w:rsid w:val="00051A9D"/>
    <w:rsid w:val="00076807"/>
    <w:rsid w:val="00076D23"/>
    <w:rsid w:val="000C7397"/>
    <w:rsid w:val="000F5E67"/>
    <w:rsid w:val="00101837"/>
    <w:rsid w:val="0011516F"/>
    <w:rsid w:val="00124415"/>
    <w:rsid w:val="00157398"/>
    <w:rsid w:val="00182940"/>
    <w:rsid w:val="001A1FD7"/>
    <w:rsid w:val="001D69A7"/>
    <w:rsid w:val="00213DAD"/>
    <w:rsid w:val="0021446C"/>
    <w:rsid w:val="002164E6"/>
    <w:rsid w:val="00234D4C"/>
    <w:rsid w:val="00236307"/>
    <w:rsid w:val="00240CAD"/>
    <w:rsid w:val="0026222D"/>
    <w:rsid w:val="0027384D"/>
    <w:rsid w:val="002A00E1"/>
    <w:rsid w:val="002C0B03"/>
    <w:rsid w:val="002D4B2F"/>
    <w:rsid w:val="002E0AEF"/>
    <w:rsid w:val="002F1042"/>
    <w:rsid w:val="00330D16"/>
    <w:rsid w:val="003512C3"/>
    <w:rsid w:val="00372B5A"/>
    <w:rsid w:val="00373496"/>
    <w:rsid w:val="003871DE"/>
    <w:rsid w:val="003A59B5"/>
    <w:rsid w:val="003B6140"/>
    <w:rsid w:val="00415E38"/>
    <w:rsid w:val="00433A83"/>
    <w:rsid w:val="0044045C"/>
    <w:rsid w:val="00450466"/>
    <w:rsid w:val="00463ABE"/>
    <w:rsid w:val="00470015"/>
    <w:rsid w:val="004720EE"/>
    <w:rsid w:val="004730A7"/>
    <w:rsid w:val="00484E39"/>
    <w:rsid w:val="00486280"/>
    <w:rsid w:val="004B6800"/>
    <w:rsid w:val="004B7B59"/>
    <w:rsid w:val="004C19E3"/>
    <w:rsid w:val="004C4AEA"/>
    <w:rsid w:val="004D137D"/>
    <w:rsid w:val="004E3464"/>
    <w:rsid w:val="004E4CC9"/>
    <w:rsid w:val="005002D2"/>
    <w:rsid w:val="00553DF7"/>
    <w:rsid w:val="00566BFD"/>
    <w:rsid w:val="005E2F76"/>
    <w:rsid w:val="005E5F6A"/>
    <w:rsid w:val="005F381E"/>
    <w:rsid w:val="00625360"/>
    <w:rsid w:val="00640A4F"/>
    <w:rsid w:val="006427F1"/>
    <w:rsid w:val="00647109"/>
    <w:rsid w:val="006577FD"/>
    <w:rsid w:val="0069314D"/>
    <w:rsid w:val="006D2CDF"/>
    <w:rsid w:val="007244F4"/>
    <w:rsid w:val="007258B1"/>
    <w:rsid w:val="00733300"/>
    <w:rsid w:val="0075304C"/>
    <w:rsid w:val="00764BC2"/>
    <w:rsid w:val="007B1ADC"/>
    <w:rsid w:val="007B387E"/>
    <w:rsid w:val="007D7356"/>
    <w:rsid w:val="00832EF4"/>
    <w:rsid w:val="008361F1"/>
    <w:rsid w:val="00844940"/>
    <w:rsid w:val="0084548D"/>
    <w:rsid w:val="00880EE7"/>
    <w:rsid w:val="008912D1"/>
    <w:rsid w:val="008C7BFF"/>
    <w:rsid w:val="008E54DE"/>
    <w:rsid w:val="008E62AD"/>
    <w:rsid w:val="008F0544"/>
    <w:rsid w:val="0095142A"/>
    <w:rsid w:val="00986D1F"/>
    <w:rsid w:val="009B54B6"/>
    <w:rsid w:val="009C157B"/>
    <w:rsid w:val="009C2E87"/>
    <w:rsid w:val="009C3475"/>
    <w:rsid w:val="009C423B"/>
    <w:rsid w:val="00A03304"/>
    <w:rsid w:val="00A27459"/>
    <w:rsid w:val="00A55713"/>
    <w:rsid w:val="00A604EB"/>
    <w:rsid w:val="00AA58B7"/>
    <w:rsid w:val="00AB768E"/>
    <w:rsid w:val="00AC1997"/>
    <w:rsid w:val="00AF3FF1"/>
    <w:rsid w:val="00B173E6"/>
    <w:rsid w:val="00B512CD"/>
    <w:rsid w:val="00B642BF"/>
    <w:rsid w:val="00B83B79"/>
    <w:rsid w:val="00B91698"/>
    <w:rsid w:val="00B94BDC"/>
    <w:rsid w:val="00BB4C1F"/>
    <w:rsid w:val="00BC5AB1"/>
    <w:rsid w:val="00C1068C"/>
    <w:rsid w:val="00C13C81"/>
    <w:rsid w:val="00C26758"/>
    <w:rsid w:val="00C34E0F"/>
    <w:rsid w:val="00C368AA"/>
    <w:rsid w:val="00C721F2"/>
    <w:rsid w:val="00C7457C"/>
    <w:rsid w:val="00C75FA9"/>
    <w:rsid w:val="00C80BA2"/>
    <w:rsid w:val="00CC2035"/>
    <w:rsid w:val="00CC30FB"/>
    <w:rsid w:val="00CC6800"/>
    <w:rsid w:val="00CD37D0"/>
    <w:rsid w:val="00D16589"/>
    <w:rsid w:val="00D170B8"/>
    <w:rsid w:val="00D45B54"/>
    <w:rsid w:val="00D559A6"/>
    <w:rsid w:val="00D644C4"/>
    <w:rsid w:val="00D66C69"/>
    <w:rsid w:val="00D76341"/>
    <w:rsid w:val="00D8764A"/>
    <w:rsid w:val="00D93898"/>
    <w:rsid w:val="00DC4199"/>
    <w:rsid w:val="00E14F43"/>
    <w:rsid w:val="00E26B82"/>
    <w:rsid w:val="00E602E6"/>
    <w:rsid w:val="00E65173"/>
    <w:rsid w:val="00EA5DB8"/>
    <w:rsid w:val="00EA7221"/>
    <w:rsid w:val="00EC781E"/>
    <w:rsid w:val="00ED064C"/>
    <w:rsid w:val="00ED48B4"/>
    <w:rsid w:val="00EF2352"/>
    <w:rsid w:val="00F04C87"/>
    <w:rsid w:val="00F20DB0"/>
    <w:rsid w:val="00F8021D"/>
    <w:rsid w:val="00F946A7"/>
    <w:rsid w:val="00FA2623"/>
    <w:rsid w:val="00FF4454"/>
    <w:rsid w:val="00FF6407"/>
    <w:rsid w:val="012C2277"/>
    <w:rsid w:val="096864F2"/>
    <w:rsid w:val="10CA0855"/>
    <w:rsid w:val="18C63235"/>
    <w:rsid w:val="1BA01D40"/>
    <w:rsid w:val="25387269"/>
    <w:rsid w:val="2F811B72"/>
    <w:rsid w:val="35ED0CE5"/>
    <w:rsid w:val="38247B77"/>
    <w:rsid w:val="3AAA7E69"/>
    <w:rsid w:val="3BC64EE6"/>
    <w:rsid w:val="3D610E5A"/>
    <w:rsid w:val="4A9B49C7"/>
    <w:rsid w:val="4BD411EA"/>
    <w:rsid w:val="4F204E5F"/>
    <w:rsid w:val="547D277D"/>
    <w:rsid w:val="5A3E41ED"/>
    <w:rsid w:val="635F0F37"/>
    <w:rsid w:val="68994886"/>
    <w:rsid w:val="6BB32772"/>
    <w:rsid w:val="78CD1BCA"/>
    <w:rsid w:val="79685A76"/>
    <w:rsid w:val="7E630C35"/>
    <w:rsid w:val="7EFB6101"/>
    <w:rsid w:val="7F0F43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en-US"/>
    </w:rPr>
  </w:style>
  <w:style w:type="paragraph" w:styleId="2">
    <w:name w:val="heading 1"/>
    <w:basedOn w:val="1"/>
    <w:next w:val="1"/>
    <w:link w:val="11"/>
    <w:qFormat/>
    <w:uiPriority w:val="1"/>
    <w:pPr>
      <w:ind w:left="120"/>
      <w:jc w:val="both"/>
      <w:outlineLvl w:val="0"/>
    </w:pPr>
    <w:rPr>
      <w:b/>
      <w:bCs/>
      <w:sz w:val="24"/>
      <w:szCs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qFormat/>
    <w:uiPriority w:val="1"/>
    <w:pPr>
      <w:ind w:left="120"/>
      <w:jc w:val="both"/>
    </w:pPr>
    <w:rPr>
      <w:sz w:val="24"/>
      <w:szCs w:val="24"/>
      <w:lang w:val="zh-CN"/>
    </w:rPr>
  </w:style>
  <w:style w:type="paragraph" w:styleId="4">
    <w:name w:val="footer"/>
    <w:basedOn w:val="1"/>
    <w:link w:val="19"/>
    <w:unhideWhenUsed/>
    <w:qFormat/>
    <w:uiPriority w:val="99"/>
    <w:pPr>
      <w:tabs>
        <w:tab w:val="center" w:pos="4153"/>
        <w:tab w:val="right" w:pos="8306"/>
      </w:tabs>
      <w:snapToGrid w:val="0"/>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mphasis"/>
    <w:qFormat/>
    <w:uiPriority w:val="20"/>
    <w:rPr>
      <w:i/>
    </w:rPr>
  </w:style>
  <w:style w:type="character" w:styleId="10">
    <w:name w:val="Hyperlink"/>
    <w:qFormat/>
    <w:uiPriority w:val="0"/>
    <w:rPr>
      <w:color w:val="0000FF"/>
      <w:u w:val="single"/>
    </w:rPr>
  </w:style>
  <w:style w:type="character" w:customStyle="1" w:styleId="11">
    <w:name w:val="标题 1 字符"/>
    <w:basedOn w:val="8"/>
    <w:link w:val="2"/>
    <w:qFormat/>
    <w:uiPriority w:val="1"/>
    <w:rPr>
      <w:rFonts w:ascii="Times New Roman" w:hAnsi="Times New Roman" w:eastAsia="Times New Roman" w:cs="Times New Roman"/>
      <w:b/>
      <w:bCs/>
      <w:kern w:val="0"/>
      <w:sz w:val="24"/>
      <w:szCs w:val="24"/>
      <w:lang w:eastAsia="en-US" w:bidi="en-US"/>
    </w:rPr>
  </w:style>
  <w:style w:type="character" w:customStyle="1" w:styleId="12">
    <w:name w:val="正文文本 字符"/>
    <w:basedOn w:val="8"/>
    <w:link w:val="3"/>
    <w:qFormat/>
    <w:uiPriority w:val="1"/>
    <w:rPr>
      <w:rFonts w:ascii="Times New Roman" w:hAnsi="Times New Roman" w:eastAsia="Times New Roman" w:cs="Times New Roman"/>
      <w:kern w:val="0"/>
      <w:sz w:val="24"/>
      <w:szCs w:val="24"/>
      <w:lang w:val="zh-CN" w:eastAsia="en-US" w:bidi="en-US"/>
    </w:rPr>
  </w:style>
  <w:style w:type="paragraph" w:customStyle="1" w:styleId="13">
    <w:name w:val="EndNote Bibliography Title"/>
    <w:basedOn w:val="1"/>
    <w:link w:val="14"/>
    <w:qFormat/>
    <w:uiPriority w:val="0"/>
    <w:pPr>
      <w:jc w:val="center"/>
    </w:pPr>
  </w:style>
  <w:style w:type="character" w:customStyle="1" w:styleId="14">
    <w:name w:val="EndNote Bibliography Title 字符"/>
    <w:basedOn w:val="8"/>
    <w:link w:val="13"/>
    <w:qFormat/>
    <w:uiPriority w:val="0"/>
    <w:rPr>
      <w:rFonts w:ascii="Times New Roman" w:hAnsi="Times New Roman" w:eastAsia="Times New Roman" w:cs="Times New Roman"/>
      <w:sz w:val="22"/>
      <w:szCs w:val="22"/>
      <w:lang w:eastAsia="en-US" w:bidi="en-US"/>
    </w:rPr>
  </w:style>
  <w:style w:type="paragraph" w:customStyle="1" w:styleId="15">
    <w:name w:val="EndNote Bibliography"/>
    <w:basedOn w:val="1"/>
    <w:link w:val="16"/>
    <w:qFormat/>
    <w:uiPriority w:val="0"/>
  </w:style>
  <w:style w:type="character" w:customStyle="1" w:styleId="16">
    <w:name w:val="EndNote Bibliography 字符"/>
    <w:basedOn w:val="8"/>
    <w:link w:val="15"/>
    <w:qFormat/>
    <w:uiPriority w:val="0"/>
    <w:rPr>
      <w:rFonts w:ascii="Times New Roman" w:hAnsi="Times New Roman" w:eastAsia="Times New Roman" w:cs="Times New Roman"/>
      <w:sz w:val="22"/>
      <w:szCs w:val="22"/>
      <w:lang w:eastAsia="en-US" w:bidi="en-US"/>
    </w:rPr>
  </w:style>
  <w:style w:type="character" w:customStyle="1" w:styleId="17">
    <w:name w:val="docsum-authors full-authors"/>
    <w:qFormat/>
    <w:uiPriority w:val="0"/>
  </w:style>
  <w:style w:type="character" w:customStyle="1" w:styleId="18">
    <w:name w:val="页眉 字符"/>
    <w:basedOn w:val="8"/>
    <w:link w:val="5"/>
    <w:qFormat/>
    <w:uiPriority w:val="99"/>
    <w:rPr>
      <w:rFonts w:ascii="Times New Roman" w:hAnsi="Times New Roman" w:eastAsia="Times New Roman" w:cs="Times New Roman"/>
      <w:kern w:val="0"/>
      <w:sz w:val="18"/>
      <w:szCs w:val="18"/>
      <w:lang w:eastAsia="en-US" w:bidi="en-US"/>
    </w:rPr>
  </w:style>
  <w:style w:type="character" w:customStyle="1" w:styleId="19">
    <w:name w:val="页脚 字符"/>
    <w:basedOn w:val="8"/>
    <w:link w:val="4"/>
    <w:qFormat/>
    <w:uiPriority w:val="99"/>
    <w:rPr>
      <w:rFonts w:ascii="Times New Roman" w:hAnsi="Times New Roman" w:eastAsia="Times New Roman" w:cs="Times New Roman"/>
      <w:kern w:val="0"/>
      <w:sz w:val="18"/>
      <w:szCs w:val="18"/>
      <w:lang w:eastAsia="en-US" w:bidi="en-US"/>
    </w:rPr>
  </w:style>
  <w:style w:type="paragraph" w:customStyle="1" w:styleId="20">
    <w:name w:val="EndNote Category Heading"/>
    <w:basedOn w:val="1"/>
    <w:link w:val="21"/>
    <w:qFormat/>
    <w:uiPriority w:val="0"/>
    <w:pPr>
      <w:spacing w:before="120" w:after="120"/>
    </w:pPr>
  </w:style>
  <w:style w:type="character" w:customStyle="1" w:styleId="21">
    <w:name w:val="EndNote Category Heading 字符"/>
    <w:basedOn w:val="8"/>
    <w:link w:val="20"/>
    <w:qFormat/>
    <w:uiPriority w:val="0"/>
    <w:rPr>
      <w:rFonts w:ascii="Times New Roman" w:hAnsi="Times New Roman" w:eastAsia="Times New Roman" w:cs="Times New Roman"/>
      <w:sz w:val="22"/>
      <w:szCs w:val="22"/>
      <w:lang w:eastAsia="en-US" w:bidi="en-US"/>
    </w:rPr>
  </w:style>
  <w:style w:type="paragraph" w:customStyle="1" w:styleId="22">
    <w:name w:val="EndNote Category Title"/>
    <w:basedOn w:val="1"/>
    <w:link w:val="23"/>
    <w:qFormat/>
    <w:uiPriority w:val="0"/>
    <w:pPr>
      <w:spacing w:before="120" w:after="120"/>
      <w:jc w:val="center"/>
    </w:pPr>
  </w:style>
  <w:style w:type="character" w:customStyle="1" w:styleId="23">
    <w:name w:val="EndNote Category Title 字符"/>
    <w:basedOn w:val="8"/>
    <w:link w:val="22"/>
    <w:qFormat/>
    <w:uiPriority w:val="0"/>
    <w:rPr>
      <w:rFonts w:ascii="Times New Roman" w:hAnsi="Times New Roman" w:eastAsia="Times New Roman" w:cs="Times New Roman"/>
      <w:sz w:val="22"/>
      <w:szCs w:val="22"/>
      <w:lang w:eastAsia="en-US" w:bidi="en-US"/>
    </w:rPr>
  </w:style>
  <w:style w:type="character" w:customStyle="1" w:styleId="24">
    <w:name w:val="未处理的提及1"/>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Biologie Expérimentale</Company>
  <Pages>8</Pages>
  <Words>871</Words>
  <Characters>4971</Characters>
  <Lines>41</Lines>
  <Paragraphs>11</Paragraphs>
  <TotalTime>0</TotalTime>
  <ScaleCrop>false</ScaleCrop>
  <LinksUpToDate>false</LinksUpToDate>
  <CharactersWithSpaces>5831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2022-01-29T10:30:00Z</dcterms:created>
  <dc:creator>ASUS</dc:creator>
  <cp:lastModifiedBy>黄小碧</cp:lastModifiedBy>
  <dcterms:modified xsi:type="dcterms:W3CDTF">2023-11-04T02:44:49Z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24CB7A756F6049BFB14604131003C431</vt:lpwstr>
  </property>
</Properties>
</file>