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9AD23">
      <w:pPr>
        <w:pStyle w:val="2"/>
        <w:widowControl/>
        <w:shd w:val="clear" w:color="auto" w:fill="FFFFFF"/>
        <w:spacing w:line="48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Table S1. Medical records of patients who were responsive well to NET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7"/>
        <w:gridCol w:w="992"/>
        <w:gridCol w:w="709"/>
        <w:gridCol w:w="567"/>
        <w:gridCol w:w="567"/>
        <w:gridCol w:w="850"/>
        <w:gridCol w:w="1134"/>
        <w:gridCol w:w="851"/>
        <w:gridCol w:w="1544"/>
      </w:tblGrid>
      <w:tr w14:paraId="7590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5B8929D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4ECC12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5FCA32C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cTNM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336371B7">
            <w:pPr>
              <w:spacing w:line="48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Stage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628C35E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585998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PR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3FA2DDF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Ki67 (%)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FB205D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Duration of treatment (months)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39810D9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7FE8FF4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Postoperative lymph node</w:t>
            </w:r>
          </w:p>
        </w:tc>
      </w:tr>
      <w:tr w14:paraId="03E13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34151A7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3EDF15D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D65346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T2N1M0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7FB5D07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1A2D1C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C0D5E7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3A6822C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7D9112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1E23C5C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74A98D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0/34</w:t>
            </w:r>
          </w:p>
        </w:tc>
      </w:tr>
      <w:tr w14:paraId="751BF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4D2B8F4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B8438C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C4AB97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4DD8F5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DD170A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A3E94F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1C46D71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472B95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7BD59A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0B6B97C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0/4</w:t>
            </w:r>
          </w:p>
        </w:tc>
      </w:tr>
      <w:tr w14:paraId="3C7B6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3D2663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412CA0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B81A80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79F5574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9586CC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FBA227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310E8B5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63B109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19BD6C9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75B21A4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0/6</w:t>
            </w:r>
          </w:p>
        </w:tc>
      </w:tr>
      <w:tr w14:paraId="0BF6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7A7C064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3DBEB7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6E405B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718AA65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9E9844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8F132D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1AD23C0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2E2645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368B368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MP5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0D513E2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0/5</w:t>
            </w:r>
          </w:p>
        </w:tc>
      </w:tr>
      <w:tr w14:paraId="6DA3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184F557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BF19E9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D36049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6B9A5A1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5F00B34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6AD940F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6A711F5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626DC0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2C77696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5E3D400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0/5</w:t>
            </w:r>
          </w:p>
        </w:tc>
      </w:tr>
      <w:tr w14:paraId="31DC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2F0B703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4610AE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9A53D1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167C875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D4199D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7100FF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4036EFF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16E94C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6623E8F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3429295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0/2</w:t>
            </w:r>
          </w:p>
        </w:tc>
      </w:tr>
      <w:tr w14:paraId="0CDF0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11C353F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02ADDC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499AEC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6619055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D34F23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73C5BC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09A268F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FE649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42DA420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MP5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23F6EF5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0/2</w:t>
            </w:r>
          </w:p>
        </w:tc>
      </w:tr>
      <w:tr w14:paraId="5E016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35916B7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C48FFA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75D249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732CB42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C931EA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550B8E4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49728D6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E53D06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8BC1FD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0ECF4E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0/3</w:t>
            </w:r>
          </w:p>
        </w:tc>
      </w:tr>
    </w:tbl>
    <w:p w14:paraId="7EDDD12B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No, number; TNM, tumor-node-metastasis; ER, </w:t>
      </w:r>
      <w:r>
        <w:rPr>
          <w:rFonts w:hint="default" w:ascii="Times New Roman" w:hAnsi="Times New Roman" w:cs="Times New Roman"/>
          <w:sz w:val="24"/>
          <w:szCs w:val="24"/>
        </w:rPr>
        <w:t>estrogen receptor</w:t>
      </w:r>
      <w:r>
        <w:rPr>
          <w:rFonts w:hint="default" w:ascii="Times New Roman" w:hAnsi="Times New Roman" w:eastAsia="宋体" w:cs="Times New Roman"/>
          <w:sz w:val="24"/>
          <w:szCs w:val="24"/>
        </w:rPr>
        <w:t>; PR,</w:t>
      </w:r>
      <w:r>
        <w:rPr>
          <w:rFonts w:hint="default" w:ascii="Times New Roman" w:hAnsi="Times New Roman" w:cs="Times New Roman"/>
          <w:sz w:val="24"/>
          <w:szCs w:val="24"/>
        </w:rPr>
        <w:t xml:space="preserve"> progesterone receptor; MP, the Miller–Payne system. Results of original ER, original PR, and original Ki67 were presented.</w:t>
      </w:r>
    </w:p>
    <w:p w14:paraId="56DEB2A5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4D3A6518">
      <w:pPr>
        <w:pStyle w:val="2"/>
        <w:widowControl/>
        <w:shd w:val="clear" w:color="auto" w:fill="FFFFFF"/>
        <w:spacing w:line="48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Table S2. Medical records of patients evaluated with SD and having good compliance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7"/>
        <w:gridCol w:w="992"/>
        <w:gridCol w:w="709"/>
        <w:gridCol w:w="567"/>
        <w:gridCol w:w="567"/>
        <w:gridCol w:w="850"/>
        <w:gridCol w:w="1134"/>
        <w:gridCol w:w="851"/>
        <w:gridCol w:w="1544"/>
      </w:tblGrid>
      <w:tr w14:paraId="4A41A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05FD854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46B5FA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D77449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cTNM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22743B8">
            <w:pPr>
              <w:spacing w:line="48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Stage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BD10C8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26DC30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PR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0B244E9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Ki67 (%)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22BA58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Duration of treatment (months)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B79AE4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48D0193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Postoperative lymph node</w:t>
            </w:r>
          </w:p>
        </w:tc>
      </w:tr>
      <w:tr w14:paraId="0381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92C9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1918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FC0F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T2N1M0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4E8D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30822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5B0C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7FEE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259A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6426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MP5 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D220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1/11</w:t>
            </w:r>
          </w:p>
        </w:tc>
      </w:tr>
      <w:tr w14:paraId="07B7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6E8A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C285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62FA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T2N1M0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F294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9782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98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84AA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D0B3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4FE6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4BDD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MP4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3139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1/18</w:t>
            </w:r>
          </w:p>
        </w:tc>
      </w:tr>
      <w:tr w14:paraId="73804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75D8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4F55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65E5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B5B2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0773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A340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5EE1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230E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DED56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MP5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36A1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0/5</w:t>
            </w:r>
          </w:p>
        </w:tc>
      </w:tr>
      <w:tr w14:paraId="2A74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51C7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9CCE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D6F4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EB5A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4A8B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C878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8CF9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B229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6371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MP5 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F4D6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0/4</w:t>
            </w:r>
          </w:p>
        </w:tc>
      </w:tr>
      <w:tr w14:paraId="0452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C8A8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D0E4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327D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AB90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977C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E896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2196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4B24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A6E3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MP5 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44A7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0/2</w:t>
            </w:r>
          </w:p>
        </w:tc>
      </w:tr>
      <w:tr w14:paraId="2D9A6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0D7D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DA17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F876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22D9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1CBA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6AF4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5E3B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4498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AFA6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MP5 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C7AD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0/2</w:t>
            </w:r>
          </w:p>
        </w:tc>
      </w:tr>
      <w:tr w14:paraId="3CF5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15A4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E941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A973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57D3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87E7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F778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4C8BA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74FF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A202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MP3 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4BCE3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0/2</w:t>
            </w:r>
          </w:p>
        </w:tc>
      </w:tr>
    </w:tbl>
    <w:p w14:paraId="0BC23961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SD, stable disease; No, number; TNM, tumor-node-metastasis; ER, </w:t>
      </w:r>
      <w:r>
        <w:rPr>
          <w:rFonts w:hint="default" w:ascii="Times New Roman" w:hAnsi="Times New Roman" w:cs="Times New Roman"/>
          <w:sz w:val="24"/>
          <w:szCs w:val="24"/>
        </w:rPr>
        <w:t>estrogen receptor</w:t>
      </w:r>
      <w:r>
        <w:rPr>
          <w:rFonts w:hint="default" w:ascii="Times New Roman" w:hAnsi="Times New Roman" w:eastAsia="宋体" w:cs="Times New Roman"/>
          <w:sz w:val="24"/>
          <w:szCs w:val="24"/>
        </w:rPr>
        <w:t>; PR,</w:t>
      </w:r>
      <w:r>
        <w:rPr>
          <w:rFonts w:hint="default" w:ascii="Times New Roman" w:hAnsi="Times New Roman" w:cs="Times New Roman"/>
          <w:sz w:val="24"/>
          <w:szCs w:val="24"/>
        </w:rPr>
        <w:t xml:space="preserve"> progesterone receptor; MP, the Miller–Payne system. Results of original ER, original PR, and original Ki67 were presented.</w:t>
      </w:r>
    </w:p>
    <w:p w14:paraId="0CF1FB7F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510B781E">
      <w:pPr>
        <w:pStyle w:val="2"/>
        <w:widowControl/>
        <w:shd w:val="clear" w:color="auto" w:fill="FFFFFF"/>
        <w:spacing w:line="48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Table S3. Medical records of patients evaluated with SD and having poor compliance</w:t>
      </w:r>
    </w:p>
    <w:tbl>
      <w:tblPr>
        <w:tblStyle w:val="5"/>
        <w:tblW w:w="8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7"/>
        <w:gridCol w:w="992"/>
        <w:gridCol w:w="709"/>
        <w:gridCol w:w="567"/>
        <w:gridCol w:w="567"/>
        <w:gridCol w:w="850"/>
        <w:gridCol w:w="1134"/>
        <w:gridCol w:w="851"/>
        <w:gridCol w:w="952"/>
        <w:gridCol w:w="1134"/>
      </w:tblGrid>
      <w:tr w14:paraId="34AE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vAlign w:val="center"/>
          </w:tcPr>
          <w:p w14:paraId="4565FD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7D422A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BF785D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cTNM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50D8569">
            <w:pPr>
              <w:spacing w:line="48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Stage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46C324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7B9A39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PR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679AC5E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Ki67 (%)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BA37FB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Duration of treatment (months)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170E215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</w:t>
            </w:r>
          </w:p>
        </w:tc>
        <w:tc>
          <w:tcPr>
            <w:tcW w:w="952" w:type="dxa"/>
            <w:tcBorders>
              <w:tl2br w:val="nil"/>
              <w:tr2bl w:val="nil"/>
            </w:tcBorders>
          </w:tcPr>
          <w:p w14:paraId="57CD095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Positive Ki67(%)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E67274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Postoperative lymph node</w:t>
            </w:r>
          </w:p>
        </w:tc>
      </w:tr>
      <w:tr w14:paraId="4D33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C5E9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0E7A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330C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T2N1M0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2A34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B8AA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849D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24D0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E04B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88B1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3097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10EF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1/25</w:t>
            </w:r>
          </w:p>
        </w:tc>
      </w:tr>
      <w:tr w14:paraId="7720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E38E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7904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3B59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FB3A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E3A7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866D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CBB9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928E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AC8C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MP2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B6EB6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B5E6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0/5</w:t>
            </w:r>
          </w:p>
        </w:tc>
      </w:tr>
      <w:tr w14:paraId="5ADB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E3735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9F55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F7EE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T2N1M0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CE71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9933D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F17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7F78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343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AB9C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MP2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C439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D0ED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0/14</w:t>
            </w:r>
          </w:p>
        </w:tc>
      </w:tr>
      <w:tr w14:paraId="2F93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6241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F994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6213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D97C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51FA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8DEE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96CF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791B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969E6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FD34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0A36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1/31</w:t>
            </w:r>
          </w:p>
        </w:tc>
      </w:tr>
      <w:tr w14:paraId="6D5D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D665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279C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996D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T2N1M0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2AEB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7C49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7105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41C3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87B2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7851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MP2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D8F7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D454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3/17</w:t>
            </w:r>
          </w:p>
        </w:tc>
      </w:tr>
    </w:tbl>
    <w:p w14:paraId="33B18A87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SD, stable disease; No, number; TNM, tumor-node-metastasis; ER, </w:t>
      </w:r>
      <w:r>
        <w:rPr>
          <w:rFonts w:hint="default" w:ascii="Times New Roman" w:hAnsi="Times New Roman" w:cs="Times New Roman"/>
          <w:sz w:val="24"/>
          <w:szCs w:val="24"/>
        </w:rPr>
        <w:t>estrogen receptor</w:t>
      </w:r>
      <w:r>
        <w:rPr>
          <w:rFonts w:hint="default" w:ascii="Times New Roman" w:hAnsi="Times New Roman" w:eastAsia="宋体" w:cs="Times New Roman"/>
          <w:sz w:val="24"/>
          <w:szCs w:val="24"/>
        </w:rPr>
        <w:t>; PR,</w:t>
      </w:r>
      <w:r>
        <w:rPr>
          <w:rFonts w:hint="default" w:ascii="Times New Roman" w:hAnsi="Times New Roman" w:cs="Times New Roman"/>
          <w:sz w:val="24"/>
          <w:szCs w:val="24"/>
        </w:rPr>
        <w:t xml:space="preserve"> progesterone receptor; MP, the Miller–Payne system. Results of original ER and original PR were presented.</w:t>
      </w:r>
    </w:p>
    <w:p w14:paraId="2222AC61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eastAsia="宋体" w:cs="Times New Roman"/>
          <w:sz w:val="24"/>
          <w:szCs w:val="24"/>
        </w:rPr>
      </w:pPr>
    </w:p>
    <w:p w14:paraId="63CB9430">
      <w:pPr>
        <w:pStyle w:val="2"/>
        <w:widowControl/>
        <w:shd w:val="clear" w:color="auto" w:fill="FFFFFF"/>
        <w:spacing w:line="48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Table S4. Medical records of the other patients who did not achieve MP4</w:t>
      </w:r>
    </w:p>
    <w:tbl>
      <w:tblPr>
        <w:tblStyle w:val="5"/>
        <w:tblW w:w="9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68"/>
        <w:gridCol w:w="992"/>
        <w:gridCol w:w="709"/>
        <w:gridCol w:w="567"/>
        <w:gridCol w:w="567"/>
        <w:gridCol w:w="850"/>
        <w:gridCol w:w="1199"/>
        <w:gridCol w:w="644"/>
        <w:gridCol w:w="1159"/>
        <w:gridCol w:w="952"/>
        <w:gridCol w:w="15"/>
        <w:gridCol w:w="1119"/>
      </w:tblGrid>
      <w:tr w14:paraId="7463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vAlign w:val="center"/>
          </w:tcPr>
          <w:p w14:paraId="4930C2B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5B386D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9483FF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cTNM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2E91DBD">
            <w:pPr>
              <w:spacing w:line="48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Stage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354D56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53A9DE3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PR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02E73FC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Original Ki67 (%)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6B8EF07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Duration of treatment (months)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4BC6FD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</w:t>
            </w:r>
          </w:p>
        </w:tc>
        <w:tc>
          <w:tcPr>
            <w:tcW w:w="1159" w:type="dxa"/>
            <w:tcBorders>
              <w:tl2br w:val="nil"/>
              <w:tr2bl w:val="nil"/>
            </w:tcBorders>
          </w:tcPr>
          <w:p w14:paraId="7D8134A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Primary lesion</w:t>
            </w:r>
          </w:p>
        </w:tc>
        <w:tc>
          <w:tcPr>
            <w:tcW w:w="952" w:type="dxa"/>
            <w:tcBorders>
              <w:tl2br w:val="nil"/>
              <w:tr2bl w:val="nil"/>
            </w:tcBorders>
          </w:tcPr>
          <w:p w14:paraId="2BC410B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Positive Ki67(%)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1CA1E78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Postoperative lymph node</w:t>
            </w:r>
          </w:p>
        </w:tc>
      </w:tr>
      <w:tr w14:paraId="43DB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3788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21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7D23551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6A63CA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47B5ABE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FBB00A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CF1D47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59269FA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1C8BEFF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40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4657C6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39590B9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 mm, histological grade I</w:t>
            </w:r>
          </w:p>
        </w:tc>
        <w:tc>
          <w:tcPr>
            <w:tcW w:w="967" w:type="dxa"/>
            <w:gridSpan w:val="2"/>
            <w:tcBorders>
              <w:tl2br w:val="nil"/>
              <w:tr2bl w:val="nil"/>
            </w:tcBorders>
            <w:vAlign w:val="center"/>
          </w:tcPr>
          <w:p w14:paraId="72B529F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 w14:paraId="4916DAE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1/6 (sn)</w:t>
            </w:r>
          </w:p>
        </w:tc>
      </w:tr>
      <w:tr w14:paraId="406C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9FFA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22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61FD007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0CBB48C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34CD25C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D74683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99B8E1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7CBF4E4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202FA1C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38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9F0EEF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2804CD9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15 mm</w:t>
            </w: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0DDC68C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4AEF429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0/3</w:t>
            </w:r>
          </w:p>
        </w:tc>
      </w:tr>
      <w:tr w14:paraId="7FA1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FEE6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23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3C10515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B042BB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6F69501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51E04D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D0A018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66AC187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11FE887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23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33B042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MP3 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31B23BA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 mm, histological grade I</w:t>
            </w: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379D2BC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0-1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0B31F74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0/1</w:t>
            </w:r>
          </w:p>
        </w:tc>
      </w:tr>
      <w:tr w14:paraId="6E39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7E84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24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71F8F95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DD7C74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T1N0M0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66A7640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3B8218B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334844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7375009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563294C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19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11485F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69118D5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8mm, Highly differentiated tubular carcinoma</w:t>
            </w: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6ABC2F6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Mottled positive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730AD50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0/8</w:t>
            </w:r>
          </w:p>
        </w:tc>
      </w:tr>
      <w:tr w14:paraId="6A96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4988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25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2C5CA10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193C2F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02C6E4E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FF0505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9DB249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3ECDC53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0AC182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3ACA20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22FD560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723FE12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5A64BEF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1/26</w:t>
            </w:r>
          </w:p>
        </w:tc>
      </w:tr>
      <w:tr w14:paraId="26F2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3005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26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594AF0E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994996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EA7F70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756726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60391D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3BC306B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69F8E50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21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CC1FCE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7455436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invasive lobular carcinoma</w:t>
            </w: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24F8458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&lt; 1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47BA420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0/5</w:t>
            </w:r>
          </w:p>
        </w:tc>
      </w:tr>
      <w:tr w14:paraId="3DDE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FA4B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27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018D8CC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ACBCFB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T2N0M0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3FBA93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IIA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F84868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BA4CEF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2455C3D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4684B04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24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53892B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MP1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1835935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invasive lobular carcinoma</w:t>
            </w: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24D898A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0A72FD6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1/2 (sn)</w:t>
            </w:r>
          </w:p>
        </w:tc>
      </w:tr>
      <w:tr w14:paraId="4C7A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4293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28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7B87ED0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0588572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T3N0M0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363FB3B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IIB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38FFDAC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8E2251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04B88E3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 w14:paraId="56ECC66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19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7FC0AC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MP3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vAlign w:val="center"/>
          </w:tcPr>
          <w:p w14:paraId="4AB9031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30F8FDB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265DAB2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0/7</w:t>
            </w:r>
          </w:p>
        </w:tc>
      </w:tr>
      <w:bookmarkEnd w:id="0"/>
    </w:tbl>
    <w:p w14:paraId="631740C3">
      <w:pPr>
        <w:pStyle w:val="2"/>
        <w:widowControl/>
        <w:shd w:val="clear" w:color="auto" w:fill="FFFFFF"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No, number; TNM, tumor-node-metastasis; ER, </w:t>
      </w:r>
      <w:r>
        <w:rPr>
          <w:rFonts w:hint="default" w:ascii="Times New Roman" w:hAnsi="Times New Roman" w:cs="Times New Roman"/>
          <w:sz w:val="24"/>
          <w:szCs w:val="24"/>
        </w:rPr>
        <w:t>estrogen receptor</w:t>
      </w:r>
      <w:r>
        <w:rPr>
          <w:rFonts w:hint="default" w:ascii="Times New Roman" w:hAnsi="Times New Roman" w:eastAsia="宋体" w:cs="Times New Roman"/>
          <w:sz w:val="24"/>
          <w:szCs w:val="24"/>
        </w:rPr>
        <w:t>; PR,</w:t>
      </w:r>
      <w:r>
        <w:rPr>
          <w:rFonts w:hint="default" w:ascii="Times New Roman" w:hAnsi="Times New Roman" w:cs="Times New Roman"/>
          <w:sz w:val="24"/>
          <w:szCs w:val="24"/>
        </w:rPr>
        <w:t xml:space="preserve"> progesterone receptor; MP, the Miller–Payne system. Results of original ER and original PR were presented.</w:t>
      </w:r>
    </w:p>
    <w:p w14:paraId="1E8302A5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5NzMyYWRhZjYzZjllZGEwY2I2MTI3NWZmZTE5OGEifQ=="/>
  </w:docVars>
  <w:rsids>
    <w:rsidRoot w:val="00000000"/>
    <w:rsid w:val="5DDD785D"/>
    <w:rsid w:val="67FA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544</Words>
  <Characters>2198</Characters>
  <DocSecurity>0</DocSecurity>
  <Lines>0</Lines>
  <Paragraphs>0</Paragraphs>
  <ScaleCrop>false</ScaleCrop>
  <LinksUpToDate>false</LinksUpToDate>
  <CharactersWithSpaces>2398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seanw</dc:creator>
  <dcterms:created xsi:type="dcterms:W3CDTF">2024-09-09T07:22:00Z</dcterms:created>
  <dcterms:modified xsi:type="dcterms:W3CDTF">2024-09-09T07:37:36Z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AB51336DE364436BA867AA296AF5AB58_12</vt:lpwstr>
  </property>
</Properties>
</file>