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CB" w:rsidRPr="00C43E3E" w:rsidRDefault="00C43E3E">
      <w:pPr>
        <w:pStyle w:val="NormalWeb"/>
        <w:widowControl/>
        <w:spacing w:before="147" w:beforeAutospacing="0" w:afterAutospacing="0" w:line="360" w:lineRule="auto"/>
        <w:jc w:val="both"/>
        <w:rPr>
          <w:rFonts w:ascii="Times New Roman" w:eastAsia="SimSun" w:hAnsi="Times New Roman" w:cs="Microsoft YaHei"/>
          <w:color w:val="000000" w:themeColor="text1"/>
          <w:spacing w:val="12"/>
        </w:rPr>
      </w:pPr>
      <w:r w:rsidRPr="00C43E3E">
        <w:rPr>
          <w:rFonts w:ascii="Times New Roman" w:eastAsia="SimSun" w:hAnsi="Times New Roman" w:cs="Microsoft YaHei" w:hint="eastAsia"/>
          <w:noProof/>
          <w:color w:val="000000" w:themeColor="text1"/>
          <w:spacing w:val="12"/>
          <w:lang w:val="en-IN" w:eastAsia="en-IN"/>
        </w:rPr>
        <w:drawing>
          <wp:inline distT="0" distB="0" distL="114300" distR="114300">
            <wp:extent cx="4965700" cy="6560185"/>
            <wp:effectExtent l="0" t="0" r="6350" b="12065"/>
            <wp:docPr id="1" name="图片 1" descr="Fig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-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656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CB" w:rsidRPr="00C43E3E" w:rsidRDefault="00C43E3E">
      <w:pPr>
        <w:pStyle w:val="NormalWeb"/>
        <w:widowControl/>
        <w:spacing w:before="147" w:beforeAutospacing="0" w:afterAutospacing="0"/>
        <w:jc w:val="both"/>
        <w:rPr>
          <w:rFonts w:ascii="Times New Roman" w:eastAsia="SimSun" w:hAnsi="Times New Roman" w:cs="Microsoft YaHei"/>
          <w:b/>
          <w:bCs/>
          <w:color w:val="000000" w:themeColor="text1"/>
          <w:spacing w:val="12"/>
        </w:rPr>
      </w:pPr>
      <w:r w:rsidRPr="00C43E3E">
        <w:rPr>
          <w:rFonts w:ascii="Times New Roman" w:eastAsia="SimSun" w:hAnsi="Times New Roman" w:cs="Microsoft YaHei" w:hint="eastAsia"/>
          <w:b/>
          <w:bCs/>
          <w:color w:val="000000" w:themeColor="text1"/>
          <w:spacing w:val="12"/>
        </w:rPr>
        <w:t>Supplementary Figure1 Single cell data processing for gastric cells</w:t>
      </w:r>
    </w:p>
    <w:p w:rsidR="00844FCB" w:rsidRPr="00C43E3E" w:rsidRDefault="00C43E3E">
      <w:pPr>
        <w:pStyle w:val="NormalWeb"/>
        <w:widowControl/>
        <w:spacing w:before="147" w:beforeAutospacing="0" w:afterAutospacing="0"/>
        <w:jc w:val="both"/>
        <w:rPr>
          <w:rFonts w:ascii="Times New Roman" w:eastAsia="SimSun" w:hAnsi="Times New Roman" w:cs="Microsoft YaHei"/>
          <w:color w:val="000000" w:themeColor="text1"/>
          <w:spacing w:val="12"/>
        </w:rPr>
      </w:pPr>
      <w:proofErr w:type="gramStart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A</w:t>
      </w:r>
      <w:proofErr w:type="gramEnd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 xml:space="preserve"> </w:t>
      </w:r>
      <w:proofErr w:type="spellStart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nCount</w:t>
      </w:r>
      <w:proofErr w:type="spellEnd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 xml:space="preserve">-RNA and </w:t>
      </w:r>
      <w:proofErr w:type="spellStart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nFeature</w:t>
      </w:r>
      <w:proofErr w:type="spellEnd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-RNA show high-intensity gene expression in tumor cells. The B chart shows the percentage of gene expression an</w:t>
      </w:r>
      <w:bookmarkStart w:id="0" w:name="_GoBack"/>
      <w:bookmarkEnd w:id="0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 xml:space="preserve">d the correlation between </w:t>
      </w:r>
      <w:proofErr w:type="spellStart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nCount</w:t>
      </w:r>
      <w:proofErr w:type="spellEnd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 xml:space="preserve">-RNA and </w:t>
      </w:r>
      <w:proofErr w:type="spellStart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nFeature</w:t>
      </w:r>
      <w:proofErr w:type="spellEnd"/>
      <w:r w:rsidRPr="00C43E3E">
        <w:rPr>
          <w:rFonts w:ascii="Times New Roman" w:eastAsia="SimSun" w:hAnsi="Times New Roman" w:cs="Microsoft YaHei" w:hint="eastAsia"/>
          <w:color w:val="000000" w:themeColor="text1"/>
          <w:spacing w:val="12"/>
        </w:rPr>
        <w:t>-RNA, while C represents the average expression level and standardized variation of genes.</w:t>
      </w:r>
    </w:p>
    <w:p w:rsidR="00844FCB" w:rsidRPr="00C43E3E" w:rsidRDefault="00844FCB">
      <w:pPr>
        <w:pStyle w:val="NormalWeb"/>
        <w:widowControl/>
        <w:spacing w:before="147" w:beforeAutospacing="0" w:afterAutospacing="0"/>
        <w:jc w:val="both"/>
        <w:rPr>
          <w:rFonts w:ascii="Times New Roman" w:eastAsia="SimSun" w:hAnsi="Times New Roman" w:cs="Microsoft YaHei"/>
          <w:color w:val="000000" w:themeColor="text1"/>
          <w:spacing w:val="12"/>
        </w:rPr>
      </w:pPr>
    </w:p>
    <w:p w:rsidR="00844FCB" w:rsidRPr="00C43E3E" w:rsidRDefault="00844FCB">
      <w:pPr>
        <w:pStyle w:val="NormalWeb"/>
        <w:widowControl/>
        <w:spacing w:before="147" w:beforeAutospacing="0" w:afterAutospacing="0"/>
        <w:jc w:val="both"/>
        <w:rPr>
          <w:rFonts w:ascii="Times New Roman" w:eastAsia="SimSun" w:hAnsi="Times New Roman" w:cs="Microsoft YaHei"/>
          <w:color w:val="000000" w:themeColor="text1"/>
          <w:spacing w:val="12"/>
        </w:rPr>
      </w:pPr>
    </w:p>
    <w:p w:rsidR="00844FCB" w:rsidRPr="00C43E3E" w:rsidRDefault="00C43E3E">
      <w:pPr>
        <w:pStyle w:val="NormalWeb"/>
        <w:widowControl/>
        <w:spacing w:before="147" w:beforeAutospacing="0" w:afterAutospacing="0"/>
        <w:jc w:val="both"/>
        <w:rPr>
          <w:rFonts w:ascii="Times New Roman" w:eastAsia="SimSun" w:hAnsi="Times New Roman" w:cs="Microsoft YaHei"/>
          <w:color w:val="000000" w:themeColor="text1"/>
          <w:spacing w:val="12"/>
        </w:rPr>
      </w:pPr>
      <w:r w:rsidRPr="00C43E3E">
        <w:rPr>
          <w:rFonts w:ascii="Times New Roman" w:eastAsia="SimSun" w:hAnsi="Times New Roman" w:cs="Microsoft YaHei" w:hint="eastAsia"/>
          <w:noProof/>
          <w:color w:val="000000" w:themeColor="text1"/>
          <w:spacing w:val="12"/>
          <w:lang w:val="en-IN" w:eastAsia="en-IN"/>
        </w:rPr>
        <w:drawing>
          <wp:inline distT="0" distB="0" distL="114300" distR="114300">
            <wp:extent cx="5274310" cy="4742815"/>
            <wp:effectExtent l="0" t="0" r="2540" b="635"/>
            <wp:docPr id="2" name="图片 2" descr="未标题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FCB" w:rsidRPr="00C43E3E" w:rsidRDefault="00C43E3E">
      <w:pPr>
        <w:rPr>
          <w:color w:val="000000" w:themeColor="text1"/>
        </w:rPr>
      </w:pPr>
      <w:r w:rsidRPr="00C43E3E">
        <w:rPr>
          <w:rFonts w:ascii="Times New Roman" w:eastAsia="SimSun" w:hAnsi="Times New Roman" w:cs="Microsoft YaHei" w:hint="eastAsia"/>
          <w:b/>
          <w:bCs/>
          <w:color w:val="000000" w:themeColor="text1"/>
          <w:spacing w:val="12"/>
          <w:sz w:val="24"/>
        </w:rPr>
        <w:t>Supplementary Figure</w:t>
      </w:r>
      <w:r w:rsidRPr="00C43E3E">
        <w:rPr>
          <w:rFonts w:ascii="Times New Roman" w:eastAsia="SimSun" w:hAnsi="Times New Roman" w:cs="Microsoft YaHei" w:hint="eastAsia"/>
          <w:b/>
          <w:bCs/>
          <w:color w:val="000000" w:themeColor="text1"/>
          <w:spacing w:val="12"/>
          <w:sz w:val="24"/>
        </w:rPr>
        <w:t xml:space="preserve">2 </w:t>
      </w:r>
      <w:proofErr w:type="gramStart"/>
      <w:r w:rsidRPr="00C43E3E">
        <w:rPr>
          <w:rFonts w:hint="eastAsia"/>
          <w:b/>
          <w:bCs/>
          <w:color w:val="000000" w:themeColor="text1"/>
        </w:rPr>
        <w:t>The</w:t>
      </w:r>
      <w:proofErr w:type="gramEnd"/>
      <w:r w:rsidRPr="00C43E3E">
        <w:rPr>
          <w:rFonts w:hint="eastAsia"/>
          <w:b/>
          <w:bCs/>
          <w:color w:val="000000" w:themeColor="text1"/>
        </w:rPr>
        <w:t xml:space="preserve"> expression levels of TIMP1 and FN1 in tissue samples.</w:t>
      </w:r>
      <w:r w:rsidRPr="00C43E3E">
        <w:rPr>
          <w:rFonts w:hint="eastAsia"/>
          <w:color w:val="000000" w:themeColor="text1"/>
        </w:rPr>
        <w:t xml:space="preserve"> TIMP1: The first image labeled "Not detected" indicates no visible TIMP1 </w:t>
      </w:r>
      <w:r w:rsidRPr="00C43E3E">
        <w:rPr>
          <w:rFonts w:hint="eastAsia"/>
          <w:color w:val="000000" w:themeColor="text1"/>
        </w:rPr>
        <w:t>expression, while the second image labeled "Low" shows a low level of TIMP1 expression in the tissue. FN1: Similarly, the first image labeled "Not detected" shows no FN1 expression, and the second image labeled "Low" depicts a low level of FN1 expression.</w:t>
      </w:r>
    </w:p>
    <w:sectPr w:rsidR="00844FCB" w:rsidRPr="00C43E3E" w:rsidSect="00C43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mNzc1ODFjNDM3N2YxMTBkZTA1N2JmYTg4MzAwYTgifQ=="/>
  </w:docVars>
  <w:rsids>
    <w:rsidRoot w:val="00844FCB"/>
    <w:rsid w:val="00844FCB"/>
    <w:rsid w:val="00C43E3E"/>
    <w:rsid w:val="0F3D20CB"/>
    <w:rsid w:val="20A4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03CB9A6-ABE2-4389-866D-526E5705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>HP Inc.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Chandravadhana Ramesh</cp:lastModifiedBy>
  <cp:revision>2</cp:revision>
  <dcterms:created xsi:type="dcterms:W3CDTF">2024-11-07T01:25:00Z</dcterms:created>
  <dcterms:modified xsi:type="dcterms:W3CDTF">2024-11-17T09:18:00Z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C5510010C58B4B408D5E857E86F04961_12</vt:lpwstr>
  </property>
</Properties>
</file>