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FA2" w:rsidRPr="008059B6" w:rsidRDefault="008059B6">
      <w:pPr>
        <w:jc w:val="center"/>
      </w:pPr>
      <w:bookmarkStart w:id="0" w:name="_GoBack"/>
      <w:bookmarkEnd w:id="0"/>
      <w:r w:rsidRPr="008059B6">
        <w:rPr>
          <w:rFonts w:hint="eastAsia"/>
          <w:noProof/>
          <w:lang w:val="en-IN" w:eastAsia="en-IN"/>
        </w:rPr>
        <w:drawing>
          <wp:inline distT="0" distB="0" distL="114300" distR="114300">
            <wp:extent cx="5344160" cy="6452235"/>
            <wp:effectExtent l="0" t="0" r="5080" b="9525"/>
            <wp:docPr id="3" name="图片 3" descr="S-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-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4160" cy="645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FA2" w:rsidRPr="008059B6" w:rsidRDefault="008059B6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</w:rPr>
      </w:pPr>
      <w:r w:rsidRPr="008059B6">
        <w:rPr>
          <w:rFonts w:ascii="Times New Roman" w:hAnsi="Times New Roman" w:cs="Times New Roman"/>
          <w:b/>
          <w:bCs/>
          <w:sz w:val="24"/>
        </w:rPr>
        <w:t>Supplementary Fig. S</w:t>
      </w:r>
      <w:r w:rsidRPr="008059B6">
        <w:rPr>
          <w:rFonts w:ascii="Times New Roman" w:hAnsi="Times New Roman" w:cs="Times New Roman" w:hint="eastAsia"/>
          <w:b/>
          <w:bCs/>
          <w:sz w:val="24"/>
        </w:rPr>
        <w:t xml:space="preserve">1 (A). </w:t>
      </w:r>
      <w:r w:rsidRPr="008059B6">
        <w:rPr>
          <w:rFonts w:ascii="Times New Roman" w:hAnsi="Times New Roman" w:cs="Times New Roman" w:hint="eastAsia"/>
          <w:color w:val="000000" w:themeColor="text1"/>
          <w:kern w:val="0"/>
          <w:sz w:val="24"/>
        </w:rPr>
        <w:t xml:space="preserve">The PCA algorithm displayed the two-dimensional principal component diagram of three subtypes, with each point representing a single sample. (B). Proportion of each subtype in the four cohorts, including GSE140082, GSE53963, GSE32062, and TCGA-OV. </w:t>
      </w:r>
      <w:r w:rsidRPr="008059B6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</w:rPr>
        <w:t>(C-E, G)</w:t>
      </w:r>
      <w:r w:rsidRPr="008059B6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</w:rPr>
        <w:t xml:space="preserve">. </w:t>
      </w:r>
      <w:r w:rsidRPr="008059B6">
        <w:rPr>
          <w:rFonts w:ascii="Times New Roman" w:hAnsi="Times New Roman" w:cs="Times New Roman" w:hint="eastAsia"/>
          <w:color w:val="000000" w:themeColor="text1"/>
          <w:kern w:val="0"/>
          <w:sz w:val="24"/>
        </w:rPr>
        <w:t>The multivariate Cox regression analysis in the TCGA-OV</w:t>
      </w:r>
      <w:r w:rsidRPr="008059B6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</w:rPr>
        <w:t xml:space="preserve"> (C), </w:t>
      </w:r>
      <w:r w:rsidRPr="008059B6">
        <w:rPr>
          <w:rFonts w:ascii="Times New Roman" w:hAnsi="Times New Roman" w:cs="Times New Roman" w:hint="eastAsia"/>
          <w:color w:val="000000" w:themeColor="text1"/>
          <w:kern w:val="0"/>
          <w:sz w:val="24"/>
        </w:rPr>
        <w:t>GSE140082</w:t>
      </w:r>
      <w:r w:rsidRPr="008059B6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</w:rPr>
        <w:t xml:space="preserve"> (D),</w:t>
      </w:r>
      <w:r w:rsidRPr="008059B6">
        <w:rPr>
          <w:rFonts w:ascii="Times New Roman" w:hAnsi="Times New Roman" w:cs="Times New Roman" w:hint="eastAsia"/>
          <w:color w:val="000000" w:themeColor="text1"/>
          <w:kern w:val="0"/>
          <w:sz w:val="24"/>
        </w:rPr>
        <w:t xml:space="preserve"> GSE32062</w:t>
      </w:r>
      <w:r w:rsidRPr="008059B6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</w:rPr>
        <w:t xml:space="preserve"> (E), </w:t>
      </w:r>
      <w:r w:rsidRPr="008059B6">
        <w:rPr>
          <w:rFonts w:ascii="Times New Roman" w:hAnsi="Times New Roman" w:cs="Times New Roman" w:hint="eastAsia"/>
          <w:color w:val="000000" w:themeColor="text1"/>
          <w:kern w:val="0"/>
          <w:sz w:val="24"/>
        </w:rPr>
        <w:t xml:space="preserve">and GSE53963 </w:t>
      </w:r>
      <w:r w:rsidRPr="008059B6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</w:rPr>
        <w:t xml:space="preserve">(G) </w:t>
      </w:r>
      <w:r w:rsidRPr="008059B6">
        <w:rPr>
          <w:rFonts w:ascii="Times New Roman" w:hAnsi="Times New Roman" w:cs="Times New Roman" w:hint="eastAsia"/>
          <w:color w:val="000000" w:themeColor="text1"/>
          <w:kern w:val="0"/>
          <w:sz w:val="24"/>
        </w:rPr>
        <w:t>cohorts</w:t>
      </w:r>
      <w:r w:rsidRPr="008059B6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</w:rPr>
        <w:t xml:space="preserve">. (F). </w:t>
      </w:r>
      <w:r w:rsidRPr="008059B6">
        <w:rPr>
          <w:rFonts w:ascii="Times New Roman" w:hAnsi="Times New Roman" w:cs="Times New Roman" w:hint="eastAsia"/>
          <w:color w:val="000000" w:themeColor="text1"/>
          <w:kern w:val="0"/>
          <w:sz w:val="24"/>
        </w:rPr>
        <w:t>Proportion of different grades of the subtypes in GSE32062.</w:t>
      </w:r>
      <w:r w:rsidRPr="008059B6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</w:rPr>
        <w:t xml:space="preserve"> (H). </w:t>
      </w:r>
      <w:r w:rsidRPr="008059B6">
        <w:rPr>
          <w:rFonts w:ascii="Times New Roman" w:hAnsi="Times New Roman" w:cs="Times New Roman" w:hint="eastAsia"/>
          <w:color w:val="000000" w:themeColor="text1"/>
          <w:kern w:val="0"/>
          <w:sz w:val="24"/>
        </w:rPr>
        <w:t>Proportion of different grades of the subtypes in GSE53963.</w:t>
      </w:r>
      <w:r w:rsidRPr="008059B6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</w:rPr>
        <w:t xml:space="preserve"> </w:t>
      </w:r>
    </w:p>
    <w:p w:rsidR="00A87FA2" w:rsidRPr="008059B6" w:rsidRDefault="008059B6">
      <w:pPr>
        <w:rPr>
          <w:b/>
          <w:bCs/>
        </w:rPr>
      </w:pPr>
      <w:r w:rsidRPr="008059B6">
        <w:rPr>
          <w:b/>
          <w:bCs/>
        </w:rPr>
        <w:br w:type="page"/>
      </w:r>
    </w:p>
    <w:p w:rsidR="00A87FA2" w:rsidRPr="008059B6" w:rsidRDefault="008059B6">
      <w:pPr>
        <w:rPr>
          <w:b/>
          <w:bCs/>
        </w:rPr>
      </w:pPr>
      <w:r w:rsidRPr="008059B6">
        <w:rPr>
          <w:b/>
          <w:bCs/>
          <w:noProof/>
          <w:lang w:val="en-IN" w:eastAsia="en-IN"/>
        </w:rPr>
        <w:drawing>
          <wp:inline distT="0" distB="0" distL="114300" distR="114300">
            <wp:extent cx="5226050" cy="6450965"/>
            <wp:effectExtent l="0" t="0" r="1270" b="10795"/>
            <wp:docPr id="4" name="图片 4" descr="S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_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6050" cy="645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FA2" w:rsidRPr="008059B6" w:rsidRDefault="008059B6">
      <w:pPr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8059B6">
        <w:rPr>
          <w:rFonts w:ascii="Times New Roman" w:hAnsi="Times New Roman" w:cs="Times New Roman"/>
          <w:b/>
          <w:bCs/>
          <w:sz w:val="24"/>
        </w:rPr>
        <w:t>Supplementary Fig. S</w:t>
      </w:r>
      <w:r w:rsidRPr="008059B6">
        <w:rPr>
          <w:rFonts w:ascii="Times New Roman" w:hAnsi="Times New Roman" w:cs="Times New Roman" w:hint="eastAsia"/>
          <w:b/>
          <w:bCs/>
          <w:sz w:val="24"/>
        </w:rPr>
        <w:t xml:space="preserve">2 (A). </w:t>
      </w:r>
      <w:r w:rsidRPr="008059B6">
        <w:rPr>
          <w:rFonts w:ascii="Times New Roman" w:hAnsi="Times New Roman" w:cs="Times New Roman" w:hint="eastAsia"/>
          <w:sz w:val="24"/>
        </w:rPr>
        <w:t xml:space="preserve">The </w:t>
      </w:r>
      <w:proofErr w:type="spellStart"/>
      <w:r w:rsidRPr="008059B6">
        <w:rPr>
          <w:rFonts w:ascii="Times New Roman" w:hAnsi="Times New Roman" w:cs="Times New Roman" w:hint="eastAsia"/>
          <w:sz w:val="24"/>
        </w:rPr>
        <w:t>heatmap</w:t>
      </w:r>
      <w:proofErr w:type="spellEnd"/>
      <w:r w:rsidRPr="008059B6">
        <w:rPr>
          <w:rFonts w:ascii="Times New Roman" w:hAnsi="Times New Roman" w:cs="Times New Roman" w:hint="eastAsia"/>
          <w:sz w:val="24"/>
        </w:rPr>
        <w:t xml:space="preserve"> of immune infiltration load between subtypes by eight algorithms.</w:t>
      </w:r>
      <w:r w:rsidRPr="008059B6">
        <w:rPr>
          <w:rFonts w:ascii="Times New Roman" w:hAnsi="Times New Roman" w:cs="Times New Roman" w:hint="eastAsia"/>
          <w:b/>
          <w:bCs/>
          <w:sz w:val="24"/>
        </w:rPr>
        <w:t xml:space="preserve"> (B). </w:t>
      </w:r>
      <w:r w:rsidRPr="008059B6">
        <w:rPr>
          <w:rFonts w:ascii="Times New Roman" w:hAnsi="Times New Roman" w:cs="Times New Roman" w:hint="eastAsia"/>
          <w:sz w:val="24"/>
        </w:rPr>
        <w:t>Comparison of HRD, new antigen and TMB levels of three subtypes.</w:t>
      </w:r>
      <w:r w:rsidRPr="008059B6">
        <w:rPr>
          <w:rFonts w:ascii="Times New Roman" w:hAnsi="Times New Roman" w:cs="Times New Roman" w:hint="eastAsia"/>
          <w:b/>
          <w:bCs/>
          <w:sz w:val="24"/>
        </w:rPr>
        <w:t xml:space="preserve"> (C). </w:t>
      </w:r>
      <w:r w:rsidRPr="008059B6">
        <w:rPr>
          <w:rFonts w:ascii="Times New Roman" w:hAnsi="Times New Roman" w:cs="Times New Roman" w:hint="eastAsia"/>
          <w:sz w:val="24"/>
        </w:rPr>
        <w:t>Candidate drugs of each subtype developed based on ridge regression model.</w:t>
      </w:r>
      <w:r w:rsidRPr="008059B6">
        <w:rPr>
          <w:rFonts w:ascii="Times New Roman" w:hAnsi="Times New Roman" w:cs="Times New Roman" w:hint="eastAsia"/>
          <w:b/>
          <w:bCs/>
          <w:sz w:val="24"/>
        </w:rPr>
        <w:t xml:space="preserve"> (</w:t>
      </w:r>
      <w:r w:rsidRPr="008059B6">
        <w:rPr>
          <w:rFonts w:ascii="Times New Roman" w:hAnsi="Times New Roman" w:cs="Times New Roman" w:hint="eastAsia"/>
          <w:b/>
          <w:bCs/>
          <w:sz w:val="24"/>
        </w:rPr>
        <w:t xml:space="preserve">D). </w:t>
      </w:r>
      <w:proofErr w:type="spellStart"/>
      <w:r w:rsidRPr="008059B6">
        <w:rPr>
          <w:rFonts w:ascii="Times New Roman" w:hAnsi="Times New Roman" w:cs="Times New Roman" w:hint="eastAsia"/>
          <w:sz w:val="24"/>
        </w:rPr>
        <w:t>Heatmap</w:t>
      </w:r>
      <w:proofErr w:type="spellEnd"/>
      <w:r w:rsidRPr="008059B6">
        <w:rPr>
          <w:rFonts w:ascii="Times New Roman" w:hAnsi="Times New Roman" w:cs="Times New Roman" w:hint="eastAsia"/>
          <w:sz w:val="24"/>
        </w:rPr>
        <w:t xml:space="preserve"> of enrichment score generated from potential therapeutic compounds.</w:t>
      </w:r>
      <w:r w:rsidRPr="008059B6">
        <w:rPr>
          <w:rFonts w:ascii="Times New Roman" w:hAnsi="Times New Roman" w:cs="Times New Roman" w:hint="eastAsia"/>
          <w:b/>
          <w:bCs/>
          <w:sz w:val="24"/>
        </w:rPr>
        <w:t xml:space="preserve"> (E).</w:t>
      </w:r>
      <w:r w:rsidRPr="008059B6">
        <w:rPr>
          <w:rFonts w:ascii="Times New Roman" w:hAnsi="Times New Roman" w:cs="Times New Roman" w:hint="eastAsia"/>
          <w:sz w:val="24"/>
        </w:rPr>
        <w:t>The description of the mode of action (</w:t>
      </w:r>
      <w:proofErr w:type="spellStart"/>
      <w:r w:rsidRPr="008059B6">
        <w:rPr>
          <w:rFonts w:ascii="Times New Roman" w:hAnsi="Times New Roman" w:cs="Times New Roman" w:hint="eastAsia"/>
          <w:sz w:val="24"/>
        </w:rPr>
        <w:t>MoA</w:t>
      </w:r>
      <w:proofErr w:type="spellEnd"/>
      <w:r w:rsidRPr="008059B6">
        <w:rPr>
          <w:rFonts w:ascii="Times New Roman" w:hAnsi="Times New Roman" w:cs="Times New Roman" w:hint="eastAsia"/>
          <w:sz w:val="24"/>
        </w:rPr>
        <w:t>) of compounds targeting corresponding molecular pathways.</w:t>
      </w:r>
      <w:r w:rsidRPr="008059B6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8059B6">
        <w:rPr>
          <w:rFonts w:ascii="Times New Roman" w:hAnsi="Times New Roman" w:cs="Times New Roman" w:hint="eastAsia"/>
          <w:color w:val="000000" w:themeColor="text1"/>
          <w:kern w:val="0"/>
          <w:sz w:val="24"/>
        </w:rPr>
        <w:t>P values are shown as *P &lt; 0.05, **P &lt; 0.01, ***P &lt; 0.001, and ns was t</w:t>
      </w:r>
      <w:r w:rsidRPr="008059B6">
        <w:rPr>
          <w:rFonts w:ascii="Times New Roman" w:hAnsi="Times New Roman" w:cs="Times New Roman" w:hint="eastAsia"/>
          <w:color w:val="000000" w:themeColor="text1"/>
          <w:kern w:val="0"/>
          <w:sz w:val="24"/>
        </w:rPr>
        <w:t>he abbreviation of no significance.</w:t>
      </w:r>
    </w:p>
    <w:p w:rsidR="00A87FA2" w:rsidRPr="008059B6" w:rsidRDefault="008059B6">
      <w:pPr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8059B6">
        <w:rPr>
          <w:rFonts w:ascii="Times New Roman" w:hAnsi="Times New Roman" w:cs="Times New Roman" w:hint="eastAsia"/>
          <w:color w:val="000000" w:themeColor="text1"/>
          <w:kern w:val="0"/>
          <w:sz w:val="24"/>
        </w:rPr>
        <w:br w:type="page"/>
      </w:r>
    </w:p>
    <w:p w:rsidR="00A87FA2" w:rsidRPr="008059B6" w:rsidRDefault="008059B6">
      <w:pPr>
        <w:spacing w:line="360" w:lineRule="auto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8059B6">
        <w:rPr>
          <w:rFonts w:ascii="Times New Roman" w:hAnsi="Times New Roman" w:cs="Times New Roman"/>
          <w:noProof/>
          <w:color w:val="000000" w:themeColor="text1"/>
          <w:kern w:val="0"/>
          <w:sz w:val="24"/>
          <w:lang w:val="en-IN" w:eastAsia="en-IN"/>
        </w:rPr>
        <w:drawing>
          <wp:inline distT="0" distB="0" distL="114300" distR="114300">
            <wp:extent cx="5390515" cy="5115560"/>
            <wp:effectExtent l="0" t="0" r="4445" b="5080"/>
            <wp:docPr id="5" name="图片 5" descr="S_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_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0515" cy="511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FA2" w:rsidRPr="008059B6" w:rsidRDefault="008059B6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8059B6">
        <w:rPr>
          <w:rFonts w:ascii="Times New Roman" w:hAnsi="Times New Roman" w:cs="Times New Roman"/>
          <w:b/>
          <w:bCs/>
          <w:sz w:val="24"/>
        </w:rPr>
        <w:t>Supplementary Fig. S</w:t>
      </w:r>
      <w:r w:rsidRPr="008059B6">
        <w:rPr>
          <w:rFonts w:ascii="Times New Roman" w:hAnsi="Times New Roman" w:cs="Times New Roman" w:hint="eastAsia"/>
          <w:b/>
          <w:bCs/>
          <w:sz w:val="24"/>
        </w:rPr>
        <w:t>3</w:t>
      </w:r>
      <w:r w:rsidRPr="008059B6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8059B6">
        <w:rPr>
          <w:rFonts w:ascii="Times New Roman" w:hAnsi="Times New Roman" w:cs="Times New Roman" w:hint="eastAsia"/>
          <w:b/>
          <w:bCs/>
          <w:color w:val="000000" w:themeColor="text1"/>
          <w:kern w:val="0"/>
          <w:sz w:val="24"/>
        </w:rPr>
        <w:t>(A-C).</w:t>
      </w:r>
      <w:r w:rsidRPr="008059B6">
        <w:rPr>
          <w:rFonts w:ascii="Times New Roman" w:hAnsi="Times New Roman" w:cs="Times New Roman" w:hint="eastAsia"/>
          <w:color w:val="000000" w:themeColor="text1"/>
          <w:kern w:val="0"/>
          <w:sz w:val="24"/>
        </w:rPr>
        <w:t xml:space="preserve"> Expressions of </w:t>
      </w:r>
      <w:r w:rsidRPr="008059B6">
        <w:rPr>
          <w:rFonts w:ascii="Times New Roman" w:hAnsi="Times New Roman" w:cs="Times New Roman"/>
          <w:sz w:val="24"/>
        </w:rPr>
        <w:t>checkpoint co-stimulator genes</w:t>
      </w:r>
      <w:r w:rsidRPr="008059B6">
        <w:rPr>
          <w:rFonts w:ascii="Times New Roman" w:hAnsi="Times New Roman" w:cs="Times New Roman" w:hint="eastAsia"/>
          <w:sz w:val="24"/>
        </w:rPr>
        <w:t xml:space="preserve"> </w:t>
      </w:r>
      <w:r w:rsidRPr="008059B6">
        <w:rPr>
          <w:rFonts w:ascii="Times New Roman" w:hAnsi="Times New Roman" w:cs="Times New Roman" w:hint="eastAsia"/>
          <w:b/>
          <w:bCs/>
          <w:sz w:val="24"/>
        </w:rPr>
        <w:t>(A)</w:t>
      </w:r>
      <w:r w:rsidRPr="008059B6">
        <w:rPr>
          <w:rFonts w:ascii="Times New Roman" w:hAnsi="Times New Roman" w:cs="Times New Roman" w:hint="eastAsia"/>
          <w:sz w:val="24"/>
        </w:rPr>
        <w:t>,</w:t>
      </w:r>
      <w:r w:rsidRPr="008059B6">
        <w:rPr>
          <w:rFonts w:ascii="Times New Roman" w:hAnsi="Times New Roman" w:cs="Times New Roman" w:hint="eastAsia"/>
          <w:color w:val="000000" w:themeColor="text1"/>
          <w:kern w:val="0"/>
          <w:sz w:val="24"/>
        </w:rPr>
        <w:t xml:space="preserve"> </w:t>
      </w:r>
      <w:r w:rsidRPr="008059B6">
        <w:rPr>
          <w:rFonts w:ascii="Times New Roman" w:hAnsi="Times New Roman" w:cs="Times New Roman"/>
          <w:sz w:val="24"/>
        </w:rPr>
        <w:t>checkpoint co-inhibitor genes</w:t>
      </w:r>
      <w:r w:rsidRPr="008059B6">
        <w:rPr>
          <w:rFonts w:ascii="Times New Roman" w:hAnsi="Times New Roman" w:cs="Times New Roman" w:hint="eastAsia"/>
          <w:sz w:val="24"/>
        </w:rPr>
        <w:t xml:space="preserve"> </w:t>
      </w:r>
      <w:r w:rsidRPr="008059B6">
        <w:rPr>
          <w:rFonts w:ascii="Times New Roman" w:hAnsi="Times New Roman" w:cs="Times New Roman" w:hint="eastAsia"/>
          <w:b/>
          <w:bCs/>
          <w:sz w:val="24"/>
        </w:rPr>
        <w:t>(B)</w:t>
      </w:r>
      <w:r w:rsidRPr="008059B6">
        <w:rPr>
          <w:rFonts w:ascii="Times New Roman" w:hAnsi="Times New Roman" w:cs="Times New Roman" w:hint="eastAsia"/>
          <w:sz w:val="24"/>
        </w:rPr>
        <w:t xml:space="preserve">, and HLA molecular </w:t>
      </w:r>
      <w:r w:rsidRPr="008059B6">
        <w:rPr>
          <w:rFonts w:ascii="Times New Roman" w:hAnsi="Times New Roman" w:cs="Times New Roman" w:hint="eastAsia"/>
          <w:b/>
          <w:bCs/>
          <w:sz w:val="24"/>
        </w:rPr>
        <w:t>(C)</w:t>
      </w:r>
      <w:r w:rsidRPr="008059B6">
        <w:rPr>
          <w:rFonts w:ascii="Times New Roman" w:hAnsi="Times New Roman" w:cs="Times New Roman" w:hint="eastAsia"/>
          <w:color w:val="000000" w:themeColor="text1"/>
          <w:kern w:val="0"/>
          <w:sz w:val="24"/>
        </w:rPr>
        <w:t xml:space="preserve"> between </w:t>
      </w:r>
      <w:r w:rsidRPr="008059B6">
        <w:rPr>
          <w:rFonts w:ascii="Times New Roman" w:hAnsi="Times New Roman" w:cs="Times New Roman"/>
          <w:sz w:val="24"/>
        </w:rPr>
        <w:t>GSTKKs-based subtypes</w:t>
      </w:r>
      <w:r w:rsidRPr="008059B6">
        <w:rPr>
          <w:rFonts w:ascii="Times New Roman" w:hAnsi="Times New Roman" w:cs="Times New Roman" w:hint="eastAsia"/>
          <w:sz w:val="24"/>
        </w:rPr>
        <w:t>.</w:t>
      </w:r>
      <w:r w:rsidRPr="008059B6">
        <w:rPr>
          <w:rFonts w:ascii="Times New Roman" w:hAnsi="Times New Roman" w:cs="Times New Roman" w:hint="eastAsia"/>
          <w:b/>
          <w:bCs/>
          <w:sz w:val="24"/>
        </w:rPr>
        <w:t xml:space="preserve"> (D). </w:t>
      </w:r>
      <w:proofErr w:type="gramStart"/>
      <w:r w:rsidRPr="008059B6">
        <w:rPr>
          <w:rFonts w:ascii="Times New Roman" w:hAnsi="Times New Roman" w:cs="Times New Roman" w:hint="eastAsia"/>
          <w:sz w:val="24"/>
        </w:rPr>
        <w:t>The</w:t>
      </w:r>
      <w:proofErr w:type="gramEnd"/>
      <w:r w:rsidRPr="008059B6">
        <w:rPr>
          <w:rFonts w:ascii="Times New Roman" w:hAnsi="Times New Roman" w:cs="Times New Roman" w:hint="eastAsia"/>
          <w:sz w:val="24"/>
        </w:rPr>
        <w:t xml:space="preserve"> immune checkpoint </w:t>
      </w:r>
      <w:proofErr w:type="spellStart"/>
      <w:r w:rsidRPr="008059B6">
        <w:rPr>
          <w:rFonts w:ascii="Times New Roman" w:hAnsi="Times New Roman" w:cs="Times New Roman" w:hint="eastAsia"/>
          <w:sz w:val="24"/>
        </w:rPr>
        <w:t>profifiles</w:t>
      </w:r>
      <w:proofErr w:type="spellEnd"/>
      <w:r w:rsidRPr="008059B6">
        <w:rPr>
          <w:rFonts w:ascii="Times New Roman" w:hAnsi="Times New Roman" w:cs="Times New Roman" w:hint="eastAsia"/>
          <w:sz w:val="24"/>
        </w:rPr>
        <w:t xml:space="preserve"> of the </w:t>
      </w:r>
      <w:r w:rsidRPr="008059B6">
        <w:rPr>
          <w:rFonts w:ascii="Times New Roman" w:hAnsi="Times New Roman" w:cs="Times New Roman" w:hint="eastAsia"/>
          <w:sz w:val="24"/>
        </w:rPr>
        <w:t>three</w:t>
      </w:r>
      <w:r w:rsidRPr="008059B6">
        <w:rPr>
          <w:rFonts w:ascii="Times New Roman" w:hAnsi="Times New Roman" w:cs="Times New Roman"/>
          <w:sz w:val="24"/>
        </w:rPr>
        <w:t xml:space="preserve"> subtypes</w:t>
      </w:r>
      <w:r w:rsidRPr="008059B6">
        <w:rPr>
          <w:rFonts w:ascii="Times New Roman" w:hAnsi="Times New Roman" w:cs="Times New Roman" w:hint="eastAsia"/>
          <w:sz w:val="24"/>
        </w:rPr>
        <w:t>, including B7-CD28 superfamily, TNF superfamily, and other molecules.</w:t>
      </w:r>
      <w:r w:rsidRPr="008059B6">
        <w:rPr>
          <w:rFonts w:ascii="Times New Roman" w:hAnsi="Times New Roman" w:cs="Times New Roman" w:hint="eastAsia"/>
          <w:b/>
          <w:bCs/>
          <w:sz w:val="24"/>
        </w:rPr>
        <w:t xml:space="preserve"> (E-F). </w:t>
      </w:r>
      <w:r w:rsidRPr="008059B6">
        <w:rPr>
          <w:rFonts w:ascii="Times New Roman" w:hAnsi="Times New Roman" w:cs="Times New Roman" w:hint="eastAsia"/>
          <w:sz w:val="24"/>
        </w:rPr>
        <w:t>The comparison of leukocyte fraction</w:t>
      </w:r>
      <w:r w:rsidRPr="008059B6">
        <w:rPr>
          <w:rFonts w:ascii="Times New Roman" w:hAnsi="Times New Roman" w:cs="Times New Roman" w:hint="eastAsia"/>
          <w:b/>
          <w:bCs/>
          <w:sz w:val="24"/>
        </w:rPr>
        <w:t xml:space="preserve"> (E) </w:t>
      </w:r>
      <w:r w:rsidRPr="008059B6">
        <w:rPr>
          <w:rFonts w:ascii="Times New Roman" w:hAnsi="Times New Roman" w:cs="Times New Roman" w:hint="eastAsia"/>
          <w:sz w:val="24"/>
        </w:rPr>
        <w:t xml:space="preserve">and T-cell </w:t>
      </w:r>
      <w:proofErr w:type="spellStart"/>
      <w:r w:rsidRPr="008059B6">
        <w:rPr>
          <w:rFonts w:ascii="Times New Roman" w:hAnsi="Times New Roman" w:cs="Times New Roman" w:hint="eastAsia"/>
          <w:sz w:val="24"/>
        </w:rPr>
        <w:t>inflflammatory</w:t>
      </w:r>
      <w:proofErr w:type="spellEnd"/>
      <w:r w:rsidRPr="008059B6">
        <w:rPr>
          <w:rFonts w:ascii="Times New Roman" w:hAnsi="Times New Roman" w:cs="Times New Roman" w:hint="eastAsia"/>
          <w:sz w:val="24"/>
        </w:rPr>
        <w:t xml:space="preserve"> signature (TIS) prediction scores </w:t>
      </w:r>
      <w:r w:rsidRPr="008059B6">
        <w:rPr>
          <w:rFonts w:ascii="Times New Roman" w:hAnsi="Times New Roman" w:cs="Times New Roman" w:hint="eastAsia"/>
          <w:b/>
          <w:bCs/>
          <w:sz w:val="24"/>
        </w:rPr>
        <w:t xml:space="preserve">(F) </w:t>
      </w:r>
      <w:r w:rsidRPr="008059B6">
        <w:rPr>
          <w:rFonts w:ascii="Times New Roman" w:hAnsi="Times New Roman" w:cs="Times New Roman" w:hint="eastAsia"/>
          <w:sz w:val="24"/>
        </w:rPr>
        <w:t xml:space="preserve">between </w:t>
      </w:r>
      <w:r w:rsidRPr="008059B6">
        <w:rPr>
          <w:rFonts w:ascii="Times New Roman" w:hAnsi="Times New Roman" w:cs="Times New Roman"/>
          <w:sz w:val="24"/>
        </w:rPr>
        <w:t>GSTKKs-based subtypes</w:t>
      </w:r>
      <w:r w:rsidRPr="008059B6">
        <w:rPr>
          <w:rFonts w:ascii="Times New Roman" w:hAnsi="Times New Roman" w:cs="Times New Roman" w:hint="eastAsia"/>
          <w:sz w:val="24"/>
        </w:rPr>
        <w:t>.</w:t>
      </w:r>
    </w:p>
    <w:p w:rsidR="00A87FA2" w:rsidRPr="008059B6" w:rsidRDefault="00A87FA2">
      <w:pPr>
        <w:rPr>
          <w:rFonts w:ascii="Times New Roman" w:hAnsi="Times New Roman" w:cs="Times New Roman"/>
          <w:color w:val="000000" w:themeColor="text1"/>
          <w:kern w:val="0"/>
          <w:sz w:val="24"/>
        </w:rPr>
      </w:pPr>
    </w:p>
    <w:p w:rsidR="00A87FA2" w:rsidRPr="008059B6" w:rsidRDefault="008059B6">
      <w:pPr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8059B6">
        <w:rPr>
          <w:rFonts w:ascii="Times New Roman" w:hAnsi="Times New Roman" w:cs="Times New Roman" w:hint="eastAsia"/>
          <w:color w:val="000000" w:themeColor="text1"/>
          <w:kern w:val="0"/>
          <w:sz w:val="24"/>
        </w:rPr>
        <w:br w:type="page"/>
      </w:r>
    </w:p>
    <w:p w:rsidR="00A87FA2" w:rsidRPr="008059B6" w:rsidRDefault="008059B6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8059B6">
        <w:rPr>
          <w:rFonts w:ascii="Times New Roman" w:hAnsi="Times New Roman" w:cs="Times New Roman"/>
          <w:b/>
          <w:bCs/>
          <w:noProof/>
          <w:sz w:val="24"/>
          <w:lang w:val="en-IN" w:eastAsia="en-IN"/>
        </w:rPr>
        <w:drawing>
          <wp:inline distT="0" distB="0" distL="114300" distR="114300">
            <wp:extent cx="5468620" cy="5950585"/>
            <wp:effectExtent l="0" t="0" r="2540" b="8255"/>
            <wp:docPr id="12" name="图片 12" descr="组图10-药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组图10-药物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20" cy="595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FA2" w:rsidRDefault="008059B6">
      <w:pPr>
        <w:spacing w:line="360" w:lineRule="auto"/>
        <w:rPr>
          <w:rFonts w:ascii="Times New Roman" w:hAnsi="Times New Roman" w:cs="Times New Roman"/>
          <w:sz w:val="24"/>
        </w:rPr>
      </w:pPr>
      <w:r w:rsidRPr="008059B6">
        <w:rPr>
          <w:rFonts w:ascii="Times New Roman" w:hAnsi="Times New Roman" w:cs="Times New Roman"/>
          <w:b/>
          <w:bCs/>
          <w:sz w:val="24"/>
        </w:rPr>
        <w:t>Supplementary Fig. S</w:t>
      </w:r>
      <w:r w:rsidRPr="008059B6">
        <w:rPr>
          <w:rFonts w:ascii="Times New Roman" w:hAnsi="Times New Roman" w:cs="Times New Roman" w:hint="eastAsia"/>
          <w:b/>
          <w:bCs/>
          <w:sz w:val="24"/>
        </w:rPr>
        <w:t>4</w:t>
      </w:r>
      <w:r w:rsidRPr="008059B6">
        <w:rPr>
          <w:rFonts w:ascii="Times New Roman" w:hAnsi="Times New Roman" w:cs="Times New Roman" w:hint="eastAsia"/>
          <w:b/>
          <w:bCs/>
          <w:sz w:val="24"/>
        </w:rPr>
        <w:t xml:space="preserve"> (A). </w:t>
      </w:r>
      <w:r w:rsidRPr="008059B6">
        <w:rPr>
          <w:rFonts w:ascii="Times New Roman" w:hAnsi="Times New Roman" w:cs="Times New Roman" w:hint="eastAsia"/>
          <w:sz w:val="24"/>
        </w:rPr>
        <w:t xml:space="preserve">The promising therapeutic agents for patients in C1, including </w:t>
      </w:r>
      <w:r w:rsidRPr="008059B6">
        <w:rPr>
          <w:rFonts w:ascii="Times New Roman" w:hAnsi="Times New Roman" w:cs="Times New Roman"/>
          <w:sz w:val="24"/>
        </w:rPr>
        <w:t>Do</w:t>
      </w:r>
      <w:r w:rsidRPr="008059B6">
        <w:rPr>
          <w:rFonts w:ascii="Times New Roman" w:hAnsi="Times New Roman" w:cs="Times New Roman" w:hint="eastAsia"/>
          <w:sz w:val="24"/>
        </w:rPr>
        <w:t>x</w:t>
      </w:r>
      <w:r w:rsidRPr="008059B6">
        <w:rPr>
          <w:rFonts w:ascii="Times New Roman" w:hAnsi="Times New Roman" w:cs="Times New Roman"/>
          <w:sz w:val="24"/>
        </w:rPr>
        <w:t>orubicin</w:t>
      </w:r>
      <w:r w:rsidRPr="008059B6"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 w:rsidRPr="008059B6">
        <w:rPr>
          <w:rFonts w:ascii="Times New Roman" w:hAnsi="Times New Roman" w:cs="Times New Roman"/>
          <w:sz w:val="24"/>
        </w:rPr>
        <w:t>Cytarabine</w:t>
      </w:r>
      <w:proofErr w:type="spellEnd"/>
      <w:r w:rsidRPr="008059B6">
        <w:rPr>
          <w:rFonts w:ascii="Times New Roman" w:hAnsi="Times New Roman" w:cs="Times New Roman" w:hint="eastAsia"/>
          <w:sz w:val="24"/>
        </w:rPr>
        <w:t xml:space="preserve">, </w:t>
      </w:r>
      <w:r w:rsidRPr="008059B6">
        <w:rPr>
          <w:rFonts w:ascii="Times New Roman" w:hAnsi="Times New Roman" w:cs="Times New Roman"/>
          <w:sz w:val="24"/>
        </w:rPr>
        <w:t>TW.37,</w:t>
      </w:r>
      <w:r w:rsidRPr="008059B6">
        <w:rPr>
          <w:rFonts w:ascii="Times New Roman" w:hAnsi="Times New Roman" w:cs="Times New Roman" w:hint="eastAsia"/>
          <w:sz w:val="24"/>
        </w:rPr>
        <w:t xml:space="preserve"> </w:t>
      </w:r>
      <w:r w:rsidRPr="008059B6">
        <w:rPr>
          <w:rFonts w:ascii="Times New Roman" w:hAnsi="Times New Roman" w:cs="Times New Roman"/>
          <w:sz w:val="24"/>
        </w:rPr>
        <w:t>and QS11</w:t>
      </w:r>
      <w:r w:rsidRPr="008059B6">
        <w:rPr>
          <w:rFonts w:ascii="Times New Roman" w:hAnsi="Times New Roman" w:cs="Times New Roman" w:hint="eastAsia"/>
          <w:sz w:val="24"/>
        </w:rPr>
        <w:t xml:space="preserve">. </w:t>
      </w:r>
      <w:r w:rsidRPr="008059B6">
        <w:rPr>
          <w:rFonts w:ascii="Times New Roman" w:hAnsi="Times New Roman" w:cs="Times New Roman" w:hint="eastAsia"/>
          <w:b/>
          <w:bCs/>
          <w:sz w:val="24"/>
        </w:rPr>
        <w:t>(B).</w:t>
      </w:r>
      <w:r w:rsidRPr="008059B6">
        <w:rPr>
          <w:rFonts w:ascii="Times New Roman" w:hAnsi="Times New Roman" w:cs="Times New Roman" w:hint="eastAsia"/>
          <w:sz w:val="24"/>
        </w:rPr>
        <w:t xml:space="preserve"> </w:t>
      </w:r>
      <w:proofErr w:type="gramStart"/>
      <w:r w:rsidRPr="008059B6">
        <w:rPr>
          <w:rFonts w:ascii="Times New Roman" w:hAnsi="Times New Roman" w:cs="Times New Roman" w:hint="eastAsia"/>
          <w:sz w:val="24"/>
        </w:rPr>
        <w:t>The</w:t>
      </w:r>
      <w:proofErr w:type="gramEnd"/>
      <w:r w:rsidRPr="008059B6">
        <w:rPr>
          <w:rFonts w:ascii="Times New Roman" w:hAnsi="Times New Roman" w:cs="Times New Roman" w:hint="eastAsia"/>
          <w:sz w:val="24"/>
        </w:rPr>
        <w:t xml:space="preserve"> promising therapeutic agents for patients in C2, including </w:t>
      </w:r>
      <w:r w:rsidRPr="008059B6">
        <w:rPr>
          <w:rFonts w:ascii="Times New Roman" w:hAnsi="Times New Roman" w:cs="Times New Roman"/>
          <w:sz w:val="24"/>
        </w:rPr>
        <w:t xml:space="preserve">AZD6482, </w:t>
      </w:r>
      <w:proofErr w:type="spellStart"/>
      <w:r w:rsidRPr="008059B6">
        <w:rPr>
          <w:rFonts w:ascii="Times New Roman" w:hAnsi="Times New Roman" w:cs="Times New Roman"/>
          <w:sz w:val="24"/>
        </w:rPr>
        <w:t>Z.LLNle.CHO</w:t>
      </w:r>
      <w:proofErr w:type="spellEnd"/>
      <w:r w:rsidRPr="008059B6">
        <w:rPr>
          <w:rFonts w:ascii="Times New Roman" w:hAnsi="Times New Roman" w:cs="Times New Roman"/>
          <w:sz w:val="24"/>
        </w:rPr>
        <w:t xml:space="preserve">, CGP.082996 and </w:t>
      </w:r>
      <w:proofErr w:type="spellStart"/>
      <w:r w:rsidRPr="008059B6">
        <w:rPr>
          <w:rFonts w:ascii="Times New Roman" w:hAnsi="Times New Roman" w:cs="Times New Roman"/>
          <w:sz w:val="24"/>
        </w:rPr>
        <w:t>Pazopanib</w:t>
      </w:r>
      <w:proofErr w:type="spellEnd"/>
      <w:r w:rsidRPr="008059B6">
        <w:rPr>
          <w:rFonts w:ascii="Times New Roman" w:hAnsi="Times New Roman" w:cs="Times New Roman" w:hint="eastAsia"/>
          <w:sz w:val="24"/>
        </w:rPr>
        <w:t xml:space="preserve">. </w:t>
      </w:r>
      <w:r w:rsidRPr="008059B6">
        <w:rPr>
          <w:rFonts w:ascii="Times New Roman" w:hAnsi="Times New Roman" w:cs="Times New Roman" w:hint="eastAsia"/>
          <w:b/>
          <w:bCs/>
          <w:sz w:val="24"/>
        </w:rPr>
        <w:t>(C).</w:t>
      </w:r>
      <w:r w:rsidRPr="008059B6">
        <w:rPr>
          <w:rFonts w:ascii="Times New Roman" w:hAnsi="Times New Roman" w:cs="Times New Roman" w:hint="eastAsia"/>
          <w:sz w:val="24"/>
        </w:rPr>
        <w:t xml:space="preserve"> </w:t>
      </w:r>
      <w:proofErr w:type="gramStart"/>
      <w:r w:rsidRPr="008059B6">
        <w:rPr>
          <w:rFonts w:ascii="Times New Roman" w:hAnsi="Times New Roman" w:cs="Times New Roman" w:hint="eastAsia"/>
          <w:sz w:val="24"/>
        </w:rPr>
        <w:t>The</w:t>
      </w:r>
      <w:proofErr w:type="gramEnd"/>
      <w:r w:rsidRPr="008059B6">
        <w:rPr>
          <w:rFonts w:ascii="Times New Roman" w:hAnsi="Times New Roman" w:cs="Times New Roman" w:hint="eastAsia"/>
          <w:sz w:val="24"/>
        </w:rPr>
        <w:t xml:space="preserve"> promising therapeuti</w:t>
      </w:r>
      <w:r w:rsidRPr="008059B6">
        <w:rPr>
          <w:rFonts w:ascii="Times New Roman" w:hAnsi="Times New Roman" w:cs="Times New Roman" w:hint="eastAsia"/>
          <w:sz w:val="24"/>
        </w:rPr>
        <w:t xml:space="preserve">c agents for patients in C3, including </w:t>
      </w:r>
      <w:r w:rsidRPr="008059B6">
        <w:rPr>
          <w:rFonts w:ascii="Times New Roman" w:hAnsi="Times New Roman" w:cs="Times New Roman"/>
          <w:sz w:val="24"/>
        </w:rPr>
        <w:t>Bryostatin.1</w:t>
      </w:r>
      <w:r w:rsidRPr="008059B6">
        <w:rPr>
          <w:rFonts w:ascii="Times New Roman" w:hAnsi="Times New Roman" w:cs="Times New Roman" w:hint="eastAsia"/>
          <w:sz w:val="24"/>
        </w:rPr>
        <w:t xml:space="preserve">, </w:t>
      </w:r>
      <w:proofErr w:type="spellStart"/>
      <w:r w:rsidRPr="008059B6">
        <w:rPr>
          <w:rFonts w:ascii="Times New Roman" w:hAnsi="Times New Roman" w:cs="Times New Roman"/>
          <w:sz w:val="24"/>
        </w:rPr>
        <w:t>Bortezomib</w:t>
      </w:r>
      <w:proofErr w:type="spellEnd"/>
      <w:r w:rsidRPr="008059B6">
        <w:rPr>
          <w:rFonts w:ascii="Times New Roman" w:hAnsi="Times New Roman" w:cs="Times New Roman"/>
          <w:sz w:val="24"/>
        </w:rPr>
        <w:t>, RDEA119, and NVP.BEZ235</w:t>
      </w:r>
      <w:r w:rsidRPr="008059B6">
        <w:rPr>
          <w:rFonts w:ascii="Times New Roman" w:hAnsi="Times New Roman" w:cs="Times New Roman" w:hint="eastAsia"/>
          <w:sz w:val="24"/>
        </w:rPr>
        <w:t>.</w:t>
      </w:r>
    </w:p>
    <w:p w:rsidR="00A87FA2" w:rsidRDefault="00A87FA2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:rsidR="00A87FA2" w:rsidRDefault="00A87FA2">
      <w:pPr>
        <w:rPr>
          <w:rFonts w:ascii="Times New Roman" w:hAnsi="Times New Roman" w:cs="Times New Roman"/>
          <w:color w:val="000000" w:themeColor="text1"/>
          <w:kern w:val="0"/>
          <w:sz w:val="24"/>
        </w:rPr>
      </w:pPr>
    </w:p>
    <w:p w:rsidR="00A87FA2" w:rsidRDefault="00A87FA2">
      <w:pPr>
        <w:rPr>
          <w:rFonts w:ascii="Times New Roman" w:hAnsi="Times New Roman" w:cs="Times New Roman"/>
          <w:b/>
          <w:bCs/>
          <w:sz w:val="24"/>
        </w:rPr>
      </w:pPr>
    </w:p>
    <w:p w:rsidR="00A87FA2" w:rsidRDefault="00A87FA2">
      <w:pPr>
        <w:rPr>
          <w:b/>
          <w:bCs/>
        </w:rPr>
      </w:pPr>
    </w:p>
    <w:sectPr w:rsidR="00A87FA2" w:rsidSect="00805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embedSystemFonts/>
  <w:proofState w:spelling="clean" w:grammar="clean"/>
  <w:revisionView w:markup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2NjJmYzhjMDg5ODllMGQ5ZTQ5NmU0YzNkNTc0NzgifQ=="/>
  </w:docVars>
  <w:rsids>
    <w:rsidRoot w:val="00A87FA2"/>
    <w:rsid w:val="008059B6"/>
    <w:rsid w:val="00A87FA2"/>
    <w:rsid w:val="05F94DCD"/>
    <w:rsid w:val="089440ED"/>
    <w:rsid w:val="15F43C2F"/>
    <w:rsid w:val="1DD67A76"/>
    <w:rsid w:val="2AB938DA"/>
    <w:rsid w:val="40B7093F"/>
    <w:rsid w:val="6FAC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0DF38CF-307B-4DAF-B1FE-35FC12CBF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1623</Characters>
  <Application>Microsoft Office Word</Application>
  <DocSecurity>0</DocSecurity>
  <Lines>13</Lines>
  <Paragraphs>3</Paragraphs>
  <ScaleCrop>false</ScaleCrop>
  <Company>HP Inc.</Company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77424</dc:creator>
  <cp:lastModifiedBy>Sowmiya S Subramani</cp:lastModifiedBy>
  <cp:revision>2</cp:revision>
  <dcterms:created xsi:type="dcterms:W3CDTF">2023-01-16T03:40:00Z</dcterms:created>
  <dcterms:modified xsi:type="dcterms:W3CDTF">2024-11-28T01:01:00Z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114C5184E73E4DDA92017A98FFC354EE</vt:lpwstr>
  </property>
</Properties>
</file>