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1C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  <w:t>A Novel Ubiquitination-Related Gene Signature for Overall Survival Prediction in Patients with Liver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  <w:t>Hepatocellular Carcinoma</w:t>
      </w:r>
    </w:p>
    <w:p w14:paraId="7A3F7BEC">
      <w:pPr>
        <w:spacing w:line="480" w:lineRule="auto"/>
        <w:jc w:val="center"/>
        <w:rPr>
          <w:rFonts w:ascii="Times New Roman" w:hAnsi="Times New Roman" w:eastAsia="黑体" w:cs="Times New Roman"/>
          <w:kern w:val="0"/>
          <w:sz w:val="20"/>
          <w:szCs w:val="20"/>
          <w:vertAlign w:val="superscript"/>
        </w:rPr>
      </w:pPr>
      <w:bookmarkStart w:id="0" w:name="OLE_LINK95"/>
      <w:r>
        <w:rPr>
          <w:rFonts w:ascii="Times New Roman" w:hAnsi="Times New Roman" w:eastAsia="黑体" w:cs="Times New Roman"/>
          <w:kern w:val="0"/>
          <w:sz w:val="20"/>
          <w:szCs w:val="20"/>
        </w:rPr>
        <w:t>Xiuyun Chen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*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 w:eastAsia="黑体" w:cs="Times New Roman"/>
          <w:kern w:val="0"/>
          <w:sz w:val="20"/>
          <w:szCs w:val="20"/>
        </w:rPr>
        <w:t xml:space="preserve"> </w:t>
      </w:r>
      <w:bookmarkStart w:id="1" w:name="OLE_LINK34"/>
      <w:r>
        <w:rPr>
          <w:rFonts w:ascii="Times New Roman" w:hAnsi="Times New Roman" w:eastAsia="黑体" w:cs="Times New Roman"/>
          <w:kern w:val="0"/>
          <w:sz w:val="20"/>
          <w:szCs w:val="20"/>
        </w:rPr>
        <w:t xml:space="preserve">, </w:t>
      </w:r>
      <w:bookmarkEnd w:id="1"/>
      <w:r>
        <w:rPr>
          <w:rFonts w:ascii="Times New Roman" w:hAnsi="Times New Roman" w:eastAsia="黑体" w:cs="Times New Roman"/>
          <w:kern w:val="0"/>
          <w:sz w:val="20"/>
          <w:szCs w:val="20"/>
        </w:rPr>
        <w:t xml:space="preserve">SenLin </w:t>
      </w:r>
      <w:bookmarkStart w:id="2" w:name="OLE_LINK122"/>
      <w:r>
        <w:rPr>
          <w:rFonts w:ascii="Times New Roman" w:hAnsi="Times New Roman" w:eastAsia="黑体" w:cs="Times New Roman"/>
          <w:kern w:val="0"/>
          <w:sz w:val="20"/>
          <w:szCs w:val="20"/>
        </w:rPr>
        <w:t>Li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*</w:t>
      </w:r>
      <w:bookmarkStart w:id="3" w:name="OLE_LINK60"/>
      <w:r>
        <w:rPr>
          <w:rFonts w:ascii="Times New Roman" w:hAnsi="Times New Roman" w:eastAsia="微软雅黑" w:cs="Times New Roman"/>
          <w:kern w:val="0"/>
          <w:sz w:val="20"/>
          <w:szCs w:val="20"/>
          <w:vertAlign w:val="superscript"/>
        </w:rPr>
        <w:t>12</w:t>
      </w:r>
      <w:bookmarkEnd w:id="3"/>
      <w:r>
        <w:rPr>
          <w:rFonts w:ascii="Times New Roman" w:hAnsi="Times New Roman" w:eastAsia="黑体" w:cs="Times New Roman"/>
          <w:kern w:val="0"/>
          <w:sz w:val="20"/>
          <w:szCs w:val="20"/>
        </w:rPr>
        <w:t>, Lixue Cao</w:t>
      </w:r>
      <w:bookmarkEnd w:id="2"/>
      <w:r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 w:eastAsia="黑体" w:cs="Times New Roman"/>
          <w:kern w:val="0"/>
          <w:sz w:val="20"/>
          <w:szCs w:val="20"/>
        </w:rPr>
        <w:t>, Shaoxian Chen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 w:eastAsia="黑体" w:cs="Times New Roman"/>
          <w:kern w:val="0"/>
          <w:sz w:val="20"/>
          <w:szCs w:val="20"/>
        </w:rPr>
        <w:t xml:space="preserve"> , Qiuxiong Lin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 w:eastAsia="黑体" w:cs="Times New Roman"/>
          <w:kern w:val="0"/>
          <w:sz w:val="20"/>
          <w:szCs w:val="20"/>
        </w:rPr>
        <w:t xml:space="preserve">, </w:t>
      </w:r>
      <w:bookmarkStart w:id="4" w:name="OLE_LINK69"/>
      <w:r>
        <w:rPr>
          <w:rFonts w:ascii="Times New Roman" w:hAnsi="Times New Roman" w:eastAsia="黑体" w:cs="Times New Roman"/>
          <w:kern w:val="0"/>
          <w:sz w:val="20"/>
          <w:szCs w:val="20"/>
        </w:rPr>
        <w:t>Shilong Zhong</w:t>
      </w:r>
      <w:bookmarkEnd w:id="0"/>
      <w:bookmarkEnd w:id="4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**</w:t>
      </w:r>
      <w:r>
        <w:rPr>
          <w:rFonts w:ascii="Times New Roman" w:hAnsi="Times New Roman" w:eastAsia="微软雅黑" w:cs="Times New Roman"/>
          <w:kern w:val="0"/>
          <w:sz w:val="20"/>
          <w:szCs w:val="20"/>
          <w:vertAlign w:val="superscript"/>
        </w:rPr>
        <w:t>12</w:t>
      </w:r>
      <w:r>
        <w:rPr>
          <w:rFonts w:ascii="Times New Roman" w:hAnsi="Times New Roman" w:eastAsia="黑体" w:cs="Times New Roman"/>
          <w:kern w:val="0"/>
          <w:sz w:val="20"/>
          <w:szCs w:val="20"/>
        </w:rPr>
        <w:t xml:space="preserve"> </w:t>
      </w:r>
    </w:p>
    <w:p w14:paraId="7081FABA">
      <w:pPr>
        <w:spacing w:line="480" w:lineRule="auto"/>
        <w:jc w:val="lef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Medical Research Institute, </w:t>
      </w:r>
      <w:bookmarkStart w:id="5" w:name="OLE_LINK126"/>
      <w:bookmarkStart w:id="6" w:name="OLE_LINK125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Guangdong Provincial People's Hospital</w:t>
      </w:r>
      <w:bookmarkEnd w:id="5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bookmarkEnd w:id="6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(Guangdong Academy of Medical Sciences), Southern Medical University, Guangzhou 510080, China</w:t>
      </w:r>
    </w:p>
    <w:p w14:paraId="457CA449">
      <w:pPr>
        <w:spacing w:line="480" w:lineRule="auto"/>
        <w:jc w:val="lef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>
        <w:rPr>
          <w:rFonts w:ascii="Times New Roman" w:hAnsi="Times New Roman" w:eastAsia="微软雅黑" w:cs="Times New Roman"/>
          <w:kern w:val="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School of Medicine, South China University of Technology, Guangzhou, Guangdong, China.</w:t>
      </w:r>
    </w:p>
    <w:p w14:paraId="59B761F4">
      <w:pPr>
        <w:spacing w:line="480" w:lineRule="auto"/>
        <w:jc w:val="lef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bookmarkStart w:id="7" w:name="OLE_LINK45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*</w:t>
      </w:r>
      <w:bookmarkEnd w:id="7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Contributed equally </w:t>
      </w:r>
    </w:p>
    <w:p w14:paraId="6B35BAE2">
      <w:pPr>
        <w:spacing w:line="480" w:lineRule="auto"/>
        <w:jc w:val="lef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**Corresponding author</w:t>
      </w:r>
    </w:p>
    <w:p w14:paraId="074F69DD">
      <w:pPr>
        <w:spacing w:line="480" w:lineRule="auto"/>
        <w:ind w:firstLine="200" w:firstLineChars="100"/>
        <w:jc w:val="lef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Tel: </w:t>
      </w:r>
      <w:r>
        <w:rPr>
          <w:rFonts w:ascii="Times New Roman" w:hAnsi="Times New Roman" w:eastAsia="微软雅黑" w:cs="Times New Roman"/>
          <w:color w:val="191B1F"/>
          <w:sz w:val="20"/>
          <w:szCs w:val="20"/>
          <w:shd w:val="clear" w:color="auto" w:fill="FFFFFF"/>
        </w:rPr>
        <w:t>+86-18620829696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; Email: </w:t>
      </w:r>
      <w:r>
        <w:fldChar w:fldCharType="begin"/>
      </w:r>
      <w:r>
        <w:instrText xml:space="preserve"> HYPERLINK "mailto:shz2020@qq.com" </w:instrText>
      </w:r>
      <w:r>
        <w:fldChar w:fldCharType="separate"/>
      </w:r>
      <w:r>
        <w:rPr>
          <w:rStyle w:val="6"/>
          <w:rFonts w:ascii="Times New Roman" w:hAnsi="Times New Roman" w:cs="Times New Roman"/>
          <w:i/>
          <w:iCs/>
          <w:kern w:val="0"/>
          <w:sz w:val="20"/>
          <w:szCs w:val="20"/>
        </w:rPr>
        <w:t>shz2020@qq.com</w:t>
      </w:r>
      <w:r>
        <w:rPr>
          <w:rStyle w:val="6"/>
          <w:rFonts w:ascii="Times New Roman" w:hAnsi="Times New Roman" w:cs="Times New Roman"/>
          <w:i/>
          <w:iCs/>
          <w:kern w:val="0"/>
          <w:sz w:val="20"/>
          <w:szCs w:val="20"/>
        </w:rPr>
        <w:fldChar w:fldCharType="end"/>
      </w:r>
    </w:p>
    <w:p w14:paraId="73721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Clinicopathological features of the patients in TCGA-LICH cohort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</w:t>
      </w:r>
    </w:p>
    <w:tbl>
      <w:tblPr>
        <w:tblStyle w:val="3"/>
        <w:tblW w:w="6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266"/>
        <w:gridCol w:w="1266"/>
        <w:gridCol w:w="1266"/>
        <w:gridCol w:w="1080"/>
      </w:tblGrid>
      <w:tr w14:paraId="4BDBF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51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Covariates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FB9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Type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E9B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Total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5C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Test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681F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Train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14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Pvalue</w:t>
            </w:r>
          </w:p>
        </w:tc>
      </w:tr>
      <w:tr w14:paraId="6B566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E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&lt;=65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7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232(62.7%)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124(67.03%)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86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108(58.38%)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D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0.1068</w:t>
            </w:r>
          </w:p>
        </w:tc>
      </w:tr>
      <w:tr w14:paraId="72BA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585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D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&gt;65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9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138(37.3%)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D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61(32.97%)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77(41.62%)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1F9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18F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A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E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121(32.7%)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1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58(31.35%)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B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63(34.05%)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8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0.6576</w:t>
            </w:r>
          </w:p>
        </w:tc>
      </w:tr>
      <w:tr w14:paraId="78B1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C05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E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249(67.3%)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19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127(68.65%)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8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122(65.95%)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B6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C5C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4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0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55(14.86%)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5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31(16.76%)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24(12.97%)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0.7488</w:t>
            </w:r>
          </w:p>
        </w:tc>
      </w:tr>
      <w:tr w14:paraId="2CA25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DD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F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A7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177(47.84%)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7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85(45.95%)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4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92(49.73%)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DA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ED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D34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9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2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121(32.7%)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9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62(33.51%)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C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59(31.89%)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92D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B79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05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B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B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12(3.24%)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E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6(3.24%)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A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6(3.24%)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C4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98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C4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D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5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5(1.35%)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2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1(0.54%)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2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4(2.16%)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607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5A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A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Stage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171(46.22%)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F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83(44.86%)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A8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88(47.57%)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0.4774</w:t>
            </w:r>
          </w:p>
        </w:tc>
      </w:tr>
      <w:tr w14:paraId="2CA5A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C6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F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Stage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3B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85(22.97%)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46(24.86%)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2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39(21.08%)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B1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05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7E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3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Stage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7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85(22.97%)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5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42(22.7%)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4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43(23.24%)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63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663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EC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3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Stage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C2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5(1.35%)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3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4(2.16%)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6A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1(0.54%)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8B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280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E6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9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E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24(6.49%)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4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10(5.41%)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2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14(7.57%)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10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35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9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E0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181(48.92%)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AE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88(47.57%)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D8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93(50.27%)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0.8195</w:t>
            </w:r>
          </w:p>
        </w:tc>
      </w:tr>
      <w:tr w14:paraId="1654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697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2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49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93(25.14%)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0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48(25.95%)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2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45(24.32%)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AEF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3F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C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2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7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80(21.62%)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5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40(21.62%)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40(21.62%)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E6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E3A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16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A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E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13(3.51%)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C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8(4.32%)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44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5(2.7%)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4B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F7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EA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3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C1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3(0.81%)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D5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1(0.54%)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2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2(1.08%)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8A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69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D6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5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266(71.89%)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6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136(73.51%)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5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130(70.27%)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0.1505</w:t>
            </w:r>
          </w:p>
        </w:tc>
      </w:tr>
      <w:tr w14:paraId="3F91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CE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4C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4(1.08%)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5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4(2.16%)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8F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0(0%)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4E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DA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24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0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5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100(27.03%)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ED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45(24.32%)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9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55(29.73%)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CC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6C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DB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2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252(68.11%)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F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135(72.97%)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8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117(63.24%)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DC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0.1043</w:t>
            </w:r>
          </w:p>
        </w:tc>
      </w:tr>
      <w:tr w14:paraId="3E47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2F13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9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6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4(1.08%)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E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0(0%)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C2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4(2.16%)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8C3E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F7E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6DD1D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D089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7A30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114(30.81%)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C526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50(27.03%)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B71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64(34.59%)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E296C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D71550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</w:pPr>
    </w:p>
    <w:p w14:paraId="73866D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The UbRGs used to construct the UbRGPs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.</w:t>
      </w:r>
    </w:p>
    <w:tbl>
      <w:tblPr>
        <w:tblStyle w:val="3"/>
        <w:tblW w:w="8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764"/>
        <w:gridCol w:w="2413"/>
        <w:gridCol w:w="2301"/>
      </w:tblGrid>
      <w:tr w14:paraId="1BBC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42FB40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UbRG 1</w:t>
            </w:r>
          </w:p>
        </w:tc>
        <w:tc>
          <w:tcPr>
            <w:tcW w:w="176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35ED4D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UbRG 2</w:t>
            </w:r>
          </w:p>
        </w:tc>
        <w:tc>
          <w:tcPr>
            <w:tcW w:w="24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6E59EC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UbRGP</w:t>
            </w:r>
          </w:p>
        </w:tc>
        <w:tc>
          <w:tcPr>
            <w:tcW w:w="230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51532B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Coefficient</w:t>
            </w:r>
          </w:p>
        </w:tc>
      </w:tr>
      <w:tr w14:paraId="1017B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A9A0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WRAP53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966B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CCNF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A42F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WRAP53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|</w:t>
            </w:r>
            <w:r>
              <w:rPr>
                <w:rStyle w:val="8"/>
                <w:rFonts w:eastAsia="宋体"/>
                <w:lang w:val="en-US" w:eastAsia="zh-CN" w:bidi="ar"/>
              </w:rPr>
              <w:t>CCNF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4C9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-0.428833</w:t>
            </w:r>
          </w:p>
        </w:tc>
      </w:tr>
      <w:tr w14:paraId="67D97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26C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UBE2T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28A6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NSMCE2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9D67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UBE2T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|</w:t>
            </w:r>
            <w:r>
              <w:rPr>
                <w:rStyle w:val="8"/>
                <w:rFonts w:eastAsia="宋体"/>
                <w:lang w:val="en-US" w:eastAsia="zh-CN" w:bidi="ar"/>
              </w:rPr>
              <w:t>NSMCE2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55B2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0.5218003</w:t>
            </w:r>
          </w:p>
        </w:tc>
      </w:tr>
      <w:tr w14:paraId="5213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27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ESR1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880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RNFT2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20C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ESR1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|</w:t>
            </w:r>
            <w:r>
              <w:rPr>
                <w:rStyle w:val="8"/>
                <w:rFonts w:eastAsia="宋体"/>
                <w:lang w:val="en-US" w:eastAsia="zh-CN" w:bidi="ar"/>
              </w:rPr>
              <w:t>RNFT2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085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-0.587934</w:t>
            </w:r>
          </w:p>
        </w:tc>
      </w:tr>
      <w:tr w14:paraId="6653C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45A7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FBXL6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71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DCAF13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6A0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FBXL6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|</w:t>
            </w:r>
            <w:r>
              <w:rPr>
                <w:rStyle w:val="8"/>
                <w:rFonts w:eastAsia="宋体"/>
                <w:lang w:val="en-US" w:eastAsia="zh-CN" w:bidi="ar"/>
              </w:rPr>
              <w:t>DCAF13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380A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-0.826076</w:t>
            </w:r>
          </w:p>
        </w:tc>
      </w:tr>
      <w:tr w14:paraId="67A1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107DF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FBXW4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1359C2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SHKBP1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0DDD63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FBXW4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|</w:t>
            </w:r>
            <w:r>
              <w:rPr>
                <w:rStyle w:val="8"/>
                <w:rFonts w:eastAsia="宋体"/>
                <w:lang w:val="en-US" w:eastAsia="zh-CN" w:bidi="ar"/>
              </w:rPr>
              <w:t>SHKBP1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255D1E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-0.406648</w:t>
            </w:r>
          </w:p>
        </w:tc>
      </w:tr>
    </w:tbl>
    <w:p w14:paraId="64E8B8A1">
      <w:pPr>
        <w:tabs>
          <w:tab w:val="left" w:pos="3028"/>
        </w:tabs>
        <w:bidi w:val="0"/>
        <w:jc w:val="left"/>
        <w:rPr>
          <w:rFonts w:hint="default"/>
          <w:lang w:val="en-US" w:eastAsia="zh-CN"/>
        </w:rPr>
      </w:pPr>
    </w:p>
    <w:p w14:paraId="53E48019"/>
    <w:p w14:paraId="5EC77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385" w:firstLineChars="600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S3.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Segoe UI" w:cs="Times New Roman"/>
          <w:color w:val="2A2B2E"/>
          <w:sz w:val="20"/>
          <w:szCs w:val="20"/>
          <w:shd w:val="clear" w:color="auto" w:fill="FFFFFF"/>
        </w:rPr>
        <w:t>Hazard ratios (and 95% CI) in the Kaplan-Meier survival curve</w:t>
      </w:r>
      <w:r>
        <w:rPr>
          <w:rFonts w:hint="eastAsia" w:ascii="Times New Roman" w:hAnsi="Times New Roman" w:eastAsia="宋体" w:cs="Times New Roman"/>
          <w:color w:val="2A2B2E"/>
          <w:sz w:val="20"/>
          <w:szCs w:val="20"/>
          <w:shd w:val="clear" w:color="auto" w:fill="FFFFFF"/>
          <w:lang w:val="en-US" w:eastAsia="zh-CN"/>
        </w:rPr>
        <w:t>.</w:t>
      </w:r>
    </w:p>
    <w:tbl>
      <w:tblPr>
        <w:tblStyle w:val="4"/>
        <w:tblW w:w="0" w:type="auto"/>
        <w:tblInd w:w="10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595"/>
        <w:gridCol w:w="1601"/>
        <w:gridCol w:w="1747"/>
        <w:gridCol w:w="1541"/>
      </w:tblGrid>
      <w:tr w14:paraId="1466C1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tcBorders>
              <w:bottom w:val="single" w:color="auto" w:sz="4" w:space="0"/>
            </w:tcBorders>
            <w:vAlign w:val="top"/>
          </w:tcPr>
          <w:p w14:paraId="4F7EC0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595" w:type="dxa"/>
            <w:tcBorders>
              <w:bottom w:val="single" w:color="auto" w:sz="4" w:space="0"/>
            </w:tcBorders>
            <w:vAlign w:val="top"/>
          </w:tcPr>
          <w:p w14:paraId="20D80C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1601" w:type="dxa"/>
            <w:tcBorders>
              <w:bottom w:val="single" w:color="auto" w:sz="4" w:space="0"/>
            </w:tcBorders>
            <w:vAlign w:val="top"/>
          </w:tcPr>
          <w:p w14:paraId="4DC4277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1747" w:type="dxa"/>
            <w:tcBorders>
              <w:bottom w:val="single" w:color="auto" w:sz="4" w:space="0"/>
            </w:tcBorders>
            <w:vAlign w:val="top"/>
          </w:tcPr>
          <w:p w14:paraId="0AC447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154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8E991D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14:paraId="2402E4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21D9E2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train</w:t>
            </w:r>
          </w:p>
        </w:tc>
        <w:tc>
          <w:tcPr>
            <w:tcW w:w="159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3896B9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60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12AE3F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74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61F1C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154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408CBD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3.06E-07</w:t>
            </w:r>
          </w:p>
        </w:tc>
      </w:tr>
      <w:tr w14:paraId="2349A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tcBorders>
              <w:tl2br w:val="nil"/>
              <w:tr2bl w:val="nil"/>
            </w:tcBorders>
            <w:vAlign w:val="top"/>
          </w:tcPr>
          <w:p w14:paraId="083AC9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top"/>
          </w:tcPr>
          <w:p w14:paraId="4045DB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vAlign w:val="top"/>
          </w:tcPr>
          <w:p w14:paraId="0C5BD1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1747" w:type="dxa"/>
            <w:tcBorders>
              <w:tl2br w:val="nil"/>
              <w:tr2bl w:val="nil"/>
            </w:tcBorders>
            <w:vAlign w:val="top"/>
          </w:tcPr>
          <w:p w14:paraId="64B871B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273F2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3.67E-02</w:t>
            </w:r>
          </w:p>
        </w:tc>
      </w:tr>
      <w:tr w14:paraId="068693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799" w:type="dxa"/>
            <w:tcBorders>
              <w:tl2br w:val="nil"/>
              <w:tr2bl w:val="nil"/>
            </w:tcBorders>
            <w:vAlign w:val="top"/>
          </w:tcPr>
          <w:p w14:paraId="0CD41EB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eastAsia="zh-CN"/>
              </w:rPr>
            </w:pPr>
            <w:bookmarkStart w:id="8" w:name="OLE_LINK6"/>
            <w:r>
              <w:rPr>
                <w:rFonts w:hint="default" w:ascii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）</w:t>
            </w:r>
            <w:bookmarkEnd w:id="8"/>
          </w:p>
        </w:tc>
        <w:tc>
          <w:tcPr>
            <w:tcW w:w="1595" w:type="dxa"/>
            <w:tcBorders>
              <w:tl2br w:val="nil"/>
              <w:tr2bl w:val="nil"/>
            </w:tcBorders>
            <w:vAlign w:val="top"/>
          </w:tcPr>
          <w:p w14:paraId="7F16BF7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vAlign w:val="top"/>
          </w:tcPr>
          <w:p w14:paraId="5AF34A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1747" w:type="dxa"/>
            <w:tcBorders>
              <w:tl2br w:val="nil"/>
              <w:tr2bl w:val="nil"/>
            </w:tcBorders>
            <w:vAlign w:val="top"/>
          </w:tcPr>
          <w:p w14:paraId="4FCE98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6F940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1.485</w:t>
            </w:r>
            <w:bookmarkStart w:id="9" w:name="OLE_LINK18"/>
            <w:r>
              <w:rPr>
                <w:rFonts w:hint="default" w:ascii="Times New Roman" w:hAnsi="Times New Roman" w:cs="Times New Roman"/>
                <w:sz w:val="20"/>
                <w:szCs w:val="20"/>
              </w:rPr>
              <w:t>E-07</w:t>
            </w:r>
            <w:bookmarkEnd w:id="9"/>
          </w:p>
        </w:tc>
      </w:tr>
      <w:tr w14:paraId="1789A4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tcBorders>
              <w:tl2br w:val="nil"/>
              <w:tr2bl w:val="nil"/>
            </w:tcBorders>
            <w:vAlign w:val="top"/>
          </w:tcPr>
          <w:p w14:paraId="29E3DCF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PFS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top"/>
          </w:tcPr>
          <w:p w14:paraId="55FCE7E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0.566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vAlign w:val="top"/>
          </w:tcPr>
          <w:p w14:paraId="3E37CD1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0.421</w:t>
            </w:r>
          </w:p>
        </w:tc>
        <w:tc>
          <w:tcPr>
            <w:tcW w:w="1747" w:type="dxa"/>
            <w:tcBorders>
              <w:tl2br w:val="nil"/>
              <w:tr2bl w:val="nil"/>
            </w:tcBorders>
            <w:vAlign w:val="top"/>
          </w:tcPr>
          <w:p w14:paraId="429A990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0.761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top"/>
          </w:tcPr>
          <w:p w14:paraId="607DD81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1.7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E-0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</w:tr>
    </w:tbl>
    <w:p w14:paraId="0AD24C4C"/>
    <w:p w14:paraId="6AF19A37"/>
    <w:p w14:paraId="23E131E8">
      <w:pPr>
        <w:tabs>
          <w:tab w:val="left" w:pos="3028"/>
        </w:tabs>
        <w:jc w:val="center"/>
        <w:rPr>
          <w:rFonts w:hint="default" w:ascii="Times New Roman" w:hAnsi="Times New Roman" w:eastAsia="宋体" w:cs="Times New Roman"/>
          <w:color w:val="auto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15"/>
          <w:sz w:val="20"/>
          <w:szCs w:val="20"/>
        </w:rPr>
        <w:t xml:space="preserve">Table S4. </w:t>
      </w:r>
      <w:r>
        <w:rPr>
          <w:rFonts w:hint="default" w:ascii="Times New Roman" w:hAnsi="Times New Roman" w:eastAsia="Verdana" w:cs="Times New Roman"/>
          <w:color w:val="auto"/>
          <w:sz w:val="20"/>
          <w:szCs w:val="20"/>
          <w:shd w:val="clear" w:color="auto" w:fill="FFFFFF"/>
        </w:rPr>
        <w:t>Log-rank Test</w:t>
      </w:r>
      <w:r>
        <w:rPr>
          <w:rFonts w:hint="default"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P value in the Kaplan-Meier survival curve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shd w:val="clear" w:color="auto" w:fill="FFFFFF"/>
        </w:rPr>
        <w:t>.</w:t>
      </w:r>
      <w:bookmarkStart w:id="13" w:name="_GoBack"/>
      <w:bookmarkEnd w:id="13"/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4515"/>
      </w:tblGrid>
      <w:tr w14:paraId="6A2166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0" w:type="dxa"/>
            <w:tcBorders>
              <w:bottom w:val="single" w:color="auto" w:sz="4" w:space="0"/>
            </w:tcBorders>
          </w:tcPr>
          <w:p w14:paraId="2FBBC7C9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Model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shd w:val="clear" w:color="auto" w:fill="auto"/>
          </w:tcPr>
          <w:p w14:paraId="2B6C05A5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P value</w:t>
            </w:r>
          </w:p>
        </w:tc>
      </w:tr>
      <w:tr w14:paraId="096AA2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0" w:type="dxa"/>
            <w:tcBorders>
              <w:top w:val="single" w:color="auto" w:sz="4" w:space="0"/>
              <w:tl2br w:val="nil"/>
              <w:tr2bl w:val="nil"/>
            </w:tcBorders>
          </w:tcPr>
          <w:p w14:paraId="1E5ABBE0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train</w:t>
            </w:r>
          </w:p>
        </w:tc>
        <w:tc>
          <w:tcPr>
            <w:tcW w:w="451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BD01962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3.71E-08</w:t>
            </w:r>
          </w:p>
        </w:tc>
      </w:tr>
      <w:tr w14:paraId="7763BA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0" w:type="dxa"/>
            <w:tcBorders>
              <w:tl2br w:val="nil"/>
              <w:tr2bl w:val="nil"/>
            </w:tcBorders>
          </w:tcPr>
          <w:p w14:paraId="5AF3DF38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test</w:t>
            </w:r>
          </w:p>
        </w:tc>
        <w:tc>
          <w:tcPr>
            <w:tcW w:w="4515" w:type="dxa"/>
            <w:tcBorders>
              <w:tl2br w:val="nil"/>
              <w:tr2bl w:val="nil"/>
            </w:tcBorders>
            <w:shd w:val="clear" w:color="auto" w:fill="auto"/>
          </w:tcPr>
          <w:p w14:paraId="2A64C845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3.45E-02</w:t>
            </w:r>
          </w:p>
        </w:tc>
      </w:tr>
      <w:tr w14:paraId="71A80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890" w:type="dxa"/>
            <w:tcBorders>
              <w:tl2br w:val="nil"/>
              <w:tr2bl w:val="nil"/>
            </w:tcBorders>
          </w:tcPr>
          <w:p w14:paraId="47E7A31B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All（OS）</w:t>
            </w:r>
          </w:p>
        </w:tc>
        <w:tc>
          <w:tcPr>
            <w:tcW w:w="4515" w:type="dxa"/>
            <w:tcBorders>
              <w:tl2br w:val="nil"/>
              <w:tr2bl w:val="nil"/>
            </w:tcBorders>
            <w:shd w:val="clear" w:color="auto" w:fill="auto"/>
          </w:tcPr>
          <w:p w14:paraId="54E50971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4.84E-08</w:t>
            </w:r>
          </w:p>
        </w:tc>
      </w:tr>
      <w:tr w14:paraId="0A3454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0" w:type="dxa"/>
            <w:tcBorders>
              <w:tl2br w:val="nil"/>
              <w:tr2bl w:val="nil"/>
            </w:tcBorders>
          </w:tcPr>
          <w:p w14:paraId="574C33F2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All（PFS）</w:t>
            </w:r>
          </w:p>
        </w:tc>
        <w:tc>
          <w:tcPr>
            <w:tcW w:w="4515" w:type="dxa"/>
            <w:tcBorders>
              <w:tl2br w:val="nil"/>
              <w:tr2bl w:val="nil"/>
            </w:tcBorders>
          </w:tcPr>
          <w:p w14:paraId="4080045E">
            <w:pPr>
              <w:tabs>
                <w:tab w:val="left" w:pos="3028"/>
              </w:tabs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1.35E-04</w:t>
            </w:r>
          </w:p>
        </w:tc>
      </w:tr>
    </w:tbl>
    <w:p w14:paraId="72FB9768"/>
    <w:p w14:paraId="2788F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385" w:firstLineChars="600"/>
        <w:textAlignment w:val="auto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>S5.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C-index and integrated Brier score for the testing dataset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tbl>
      <w:tblPr>
        <w:tblStyle w:val="4"/>
        <w:tblW w:w="0" w:type="auto"/>
        <w:tblInd w:w="57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477"/>
        <w:gridCol w:w="2642"/>
      </w:tblGrid>
      <w:tr w14:paraId="79B54A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bottom w:val="single" w:color="auto" w:sz="4" w:space="0"/>
            </w:tcBorders>
            <w:vAlign w:val="top"/>
          </w:tcPr>
          <w:p w14:paraId="617A44ED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Models</w:t>
            </w:r>
          </w:p>
        </w:tc>
        <w:tc>
          <w:tcPr>
            <w:tcW w:w="2477" w:type="dxa"/>
            <w:tcBorders>
              <w:bottom w:val="single" w:color="auto" w:sz="4" w:space="0"/>
            </w:tcBorders>
            <w:vAlign w:val="top"/>
          </w:tcPr>
          <w:p w14:paraId="10DE16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C-index</w:t>
            </w:r>
          </w:p>
        </w:tc>
        <w:tc>
          <w:tcPr>
            <w:tcW w:w="2642" w:type="dxa"/>
            <w:tcBorders>
              <w:bottom w:val="single" w:color="auto" w:sz="4" w:space="0"/>
            </w:tcBorders>
            <w:vAlign w:val="top"/>
          </w:tcPr>
          <w:p w14:paraId="484A08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IBS</w:t>
            </w:r>
          </w:p>
        </w:tc>
      </w:tr>
      <w:tr w14:paraId="4BBDB3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FB97EC5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model 1</w:t>
            </w:r>
          </w:p>
        </w:tc>
        <w:tc>
          <w:tcPr>
            <w:tcW w:w="247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51651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0.69</w:t>
            </w:r>
          </w:p>
        </w:tc>
        <w:tc>
          <w:tcPr>
            <w:tcW w:w="2642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93426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0.17</w:t>
            </w:r>
          </w:p>
        </w:tc>
      </w:tr>
      <w:tr w14:paraId="291CA0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l2br w:val="nil"/>
              <w:tr2bl w:val="nil"/>
            </w:tcBorders>
            <w:vAlign w:val="top"/>
          </w:tcPr>
          <w:p w14:paraId="1D38D95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model 2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vAlign w:val="top"/>
          </w:tcPr>
          <w:p w14:paraId="27DFC7E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0.74</w:t>
            </w:r>
          </w:p>
        </w:tc>
        <w:tc>
          <w:tcPr>
            <w:tcW w:w="2642" w:type="dxa"/>
            <w:tcBorders>
              <w:tl2br w:val="nil"/>
              <w:tr2bl w:val="nil"/>
            </w:tcBorders>
            <w:vAlign w:val="top"/>
          </w:tcPr>
          <w:p w14:paraId="5FF883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0.16</w:t>
            </w:r>
          </w:p>
        </w:tc>
      </w:tr>
    </w:tbl>
    <w:p w14:paraId="77CFF172">
      <w:pPr>
        <w:spacing w:line="160" w:lineRule="exact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5CF4FDCF">
      <w:pPr>
        <w:spacing w:line="160" w:lineRule="exact"/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Model1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：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age, sex, Grade, Stage, T, M, N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eastAsia="zh-CN"/>
        </w:rPr>
        <w:t>；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Model2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eastAsia="zh-CN"/>
        </w:rPr>
        <w:t>：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risk score, age, sex, Grade, Stage, T, M, N</w:t>
      </w:r>
    </w:p>
    <w:p w14:paraId="73C75B60"/>
    <w:p w14:paraId="1B5B9F96"/>
    <w:p w14:paraId="25B9C493">
      <w:pPr>
        <w:jc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</w:pPr>
      <w:bookmarkStart w:id="10" w:name="OLE_LINK37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S6.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15"/>
          <w:sz w:val="20"/>
          <w:szCs w:val="20"/>
          <w:lang w:val="en-US" w:eastAsia="zh-CN"/>
        </w:rPr>
        <w:t xml:space="preserve">The significant differences between these groups in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14:ligatures w14:val="none"/>
        </w:rPr>
        <w:t>Delong Test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/>
          <w14:ligatures w14:val="none"/>
        </w:rPr>
        <w:t>.</w:t>
      </w:r>
    </w:p>
    <w:bookmarkEnd w:id="10"/>
    <w:tbl>
      <w:tblPr>
        <w:tblStyle w:val="4"/>
        <w:tblW w:w="0" w:type="auto"/>
        <w:tblInd w:w="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9"/>
        <w:gridCol w:w="3698"/>
      </w:tblGrid>
      <w:tr w14:paraId="52C0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7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3ED7B91D">
            <w:pPr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bookmarkStart w:id="11" w:name="OLE_LINK89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Delong Test</w:t>
            </w:r>
            <w:bookmarkEnd w:id="11"/>
          </w:p>
        </w:tc>
      </w:tr>
      <w:tr w14:paraId="77CC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515C587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</w:p>
        </w:tc>
        <w:tc>
          <w:tcPr>
            <w:tcW w:w="36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516A387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14:paraId="2F81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8C46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model TMB</w:t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77A2D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</w:tr>
      <w:tr w14:paraId="3317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A468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model risk</w:t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CF46B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14:paraId="12A5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9" w:type="dxa"/>
            <w:tcBorders>
              <w:top w:val="nil"/>
              <w:left w:val="nil"/>
              <w:right w:val="nil"/>
            </w:tcBorders>
            <w:vAlign w:val="center"/>
          </w:tcPr>
          <w:p w14:paraId="51998373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combined</w:t>
            </w:r>
          </w:p>
        </w:tc>
        <w:tc>
          <w:tcPr>
            <w:tcW w:w="3698" w:type="dxa"/>
            <w:tcBorders>
              <w:top w:val="nil"/>
              <w:left w:val="nil"/>
              <w:right w:val="nil"/>
            </w:tcBorders>
            <w:vAlign w:val="center"/>
          </w:tcPr>
          <w:p w14:paraId="74DE5181">
            <w:pPr>
              <w:widowControl/>
              <w:jc w:val="center"/>
              <w:rPr>
                <w:rFonts w:hint="default" w:ascii="Times New Roman" w:hAnsi="Times New Roman" w:eastAsia="Segoe UI" w:cs="Times New Roman"/>
                <w:color w:val="2A2B2E"/>
                <w:sz w:val="20"/>
                <w:szCs w:val="20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</w:tbl>
    <w:p w14:paraId="624DFBCB"/>
    <w:sectPr>
      <w:headerReference r:id="rId3" w:type="default"/>
      <w:pgSz w:w="11906" w:h="16838"/>
      <w:pgMar w:top="1327" w:right="1800" w:bottom="64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D8070">
    <w:pPr>
      <w:pStyle w:val="2"/>
      <w:rPr>
        <w:rFonts w:hint="default" w:ascii="Times New Roman" w:hAnsi="Times New Roman" w:cs="Times New Roman"/>
      </w:rPr>
    </w:pPr>
    <w:bookmarkStart w:id="12" w:name="OLE_LINK1"/>
    <w:r>
      <w:rPr>
        <w:rFonts w:hint="default" w:ascii="Times New Roman" w:hAnsi="Times New Roman" w:cs="Times New Roman"/>
      </w:rPr>
      <w:fldChar w:fldCharType="begin"/>
    </w:r>
    <w:r>
      <w:rPr>
        <w:rFonts w:hint="default" w:ascii="Times New Roman" w:hAnsi="Times New Roman" w:cs="Times New Roman"/>
      </w:rPr>
      <w:instrText xml:space="preserve"> HYPERLINK "https://bmcbioinformatics.biomedcentral.com/" </w:instrText>
    </w:r>
    <w:r>
      <w:rPr>
        <w:rFonts w:hint="default" w:ascii="Times New Roman" w:hAnsi="Times New Roman" w:cs="Times New Roman"/>
      </w:rPr>
      <w:fldChar w:fldCharType="separate"/>
    </w:r>
    <w:r>
      <w:rPr>
        <w:rFonts w:hint="eastAsia" w:ascii="Times New Roman" w:hAnsi="Times New Roman" w:cs="Times New Roman"/>
        <w:lang w:val="en-US" w:eastAsia="zh-CN"/>
      </w:rPr>
      <w:t>Discover Oncology</w:t>
    </w:r>
    <w:r>
      <w:rPr>
        <w:rFonts w:hint="default" w:ascii="Times New Roman" w:hAnsi="Times New Roman" w:cs="Times New Roman"/>
      </w:rPr>
      <w:t xml:space="preserve"> </w:t>
    </w:r>
    <w:r>
      <w:rPr>
        <w:rFonts w:hint="default" w:ascii="Times New Roman" w:hAnsi="Times New Roman" w:cs="Times New Roman"/>
      </w:rPr>
      <w:fldChar w:fldCharType="end"/>
    </w:r>
    <w:bookmarkEnd w:id="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2UwNDgyMmFhNmZhODMwMTAwODFjZjBkOTdkMzkifQ=="/>
  </w:docVars>
  <w:rsids>
    <w:rsidRoot w:val="23F90B0F"/>
    <w:rsid w:val="1733316F"/>
    <w:rsid w:val="23646626"/>
    <w:rsid w:val="23F90B0F"/>
    <w:rsid w:val="2FAD4648"/>
    <w:rsid w:val="30276A86"/>
    <w:rsid w:val="37B52757"/>
    <w:rsid w:val="64373137"/>
    <w:rsid w:val="70D92B1E"/>
    <w:rsid w:val="76C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2307</Characters>
  <Lines>0</Lines>
  <Paragraphs>0</Paragraphs>
  <TotalTime>233</TotalTime>
  <ScaleCrop>false</ScaleCrop>
  <LinksUpToDate>false</LinksUpToDate>
  <CharactersWithSpaces>2456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2024-04-22T02:38:00Z</dcterms:created>
  <dc:creator>陈秀云</dc:creator>
  <cp:lastModifiedBy>陈秀云</cp:lastModifiedBy>
  <dcterms:modified xsi:type="dcterms:W3CDTF">2024-12-13T06:59:50Z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EE6B376A34B04714983C16D25F93CB61_13</vt:lpwstr>
  </property>
</Properties>
</file>