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54E4" w:rsidRDefault="008D37CD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C3BE058">
            <wp:extent cx="4925695" cy="4298315"/>
            <wp:effectExtent l="0" t="0" r="8255" b="6985"/>
            <wp:docPr id="17958250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429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7CD" w:rsidRDefault="008D37CD" w:rsidP="008D37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sz w:val="24"/>
          <w:szCs w:val="24"/>
        </w:rPr>
        <w:t>S1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AA6">
        <w:rPr>
          <w:rFonts w:ascii="Times New Roman" w:hAnsi="Times New Roman" w:cs="Times New Roman"/>
          <w:sz w:val="24"/>
          <w:szCs w:val="24"/>
        </w:rPr>
        <w:t xml:space="preserve">Midazolam concentration-dependently </w:t>
      </w:r>
      <w:r w:rsidRPr="00E67C3F">
        <w:rPr>
          <w:rFonts w:ascii="Times New Roman" w:hAnsi="Times New Roman" w:cs="Times New Roman"/>
          <w:sz w:val="24"/>
          <w:szCs w:val="24"/>
        </w:rPr>
        <w:t xml:space="preserve">inhibits </w:t>
      </w:r>
      <w:r>
        <w:rPr>
          <w:rFonts w:ascii="Times New Roman" w:hAnsi="Times New Roman" w:cs="Times New Roman" w:hint="eastAsia"/>
          <w:sz w:val="24"/>
          <w:szCs w:val="24"/>
        </w:rPr>
        <w:t>KTC-1</w:t>
      </w:r>
      <w:r w:rsidRPr="00E67C3F">
        <w:rPr>
          <w:rFonts w:ascii="Times New Roman" w:hAnsi="Times New Roman" w:cs="Times New Roman"/>
          <w:sz w:val="24"/>
          <w:szCs w:val="24"/>
        </w:rPr>
        <w:t xml:space="preserve"> cell migration and invasion</w:t>
      </w:r>
      <w:r>
        <w:rPr>
          <w:rFonts w:ascii="Times New Roman" w:hAnsi="Times New Roman" w:cs="Times New Roman"/>
          <w:sz w:val="24"/>
          <w:szCs w:val="24"/>
        </w:rPr>
        <w:t xml:space="preserve">. A. Wound healing assay </w:t>
      </w:r>
      <w:r>
        <w:rPr>
          <w:rFonts w:ascii="Times New Roman" w:hAnsi="Times New Roman" w:cs="Times New Roman" w:hint="eastAsia"/>
          <w:sz w:val="24"/>
          <w:szCs w:val="24"/>
        </w:rPr>
        <w:t>was used to detect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KTC-1 </w:t>
      </w:r>
      <w:r>
        <w:rPr>
          <w:rFonts w:ascii="Times New Roman" w:hAnsi="Times New Roman" w:cs="Times New Roman"/>
          <w:sz w:val="24"/>
          <w:szCs w:val="24"/>
        </w:rPr>
        <w:t xml:space="preserve">cell migration. B. Transwell assay </w:t>
      </w:r>
      <w:r>
        <w:rPr>
          <w:rFonts w:ascii="Times New Roman" w:hAnsi="Times New Roman" w:cs="Times New Roman" w:hint="eastAsia"/>
          <w:sz w:val="24"/>
          <w:szCs w:val="24"/>
        </w:rPr>
        <w:t>was used to detect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KTC-1 </w:t>
      </w:r>
      <w:r>
        <w:rPr>
          <w:rFonts w:ascii="Times New Roman" w:hAnsi="Times New Roman" w:cs="Times New Roman"/>
          <w:sz w:val="24"/>
          <w:szCs w:val="24"/>
        </w:rPr>
        <w:t xml:space="preserve">cell invasion. C. Western blot </w:t>
      </w:r>
      <w:r>
        <w:rPr>
          <w:rFonts w:ascii="Times New Roman" w:hAnsi="Times New Roman" w:cs="Times New Roman" w:hint="eastAsia"/>
          <w:sz w:val="24"/>
          <w:szCs w:val="24"/>
        </w:rPr>
        <w:t>was used to detect</w:t>
      </w:r>
      <w:r w:rsidRPr="00D87AA6">
        <w:rPr>
          <w:rFonts w:ascii="Times New Roman" w:hAnsi="Times New Roman" w:cs="Times New Roman"/>
          <w:sz w:val="24"/>
          <w:szCs w:val="24"/>
        </w:rPr>
        <w:t xml:space="preserve"> the expressions of </w:t>
      </w:r>
      <w:r>
        <w:rPr>
          <w:rFonts w:ascii="Times New Roman" w:hAnsi="Times New Roman" w:cs="Times New Roman"/>
          <w:sz w:val="24"/>
          <w:szCs w:val="24"/>
        </w:rPr>
        <w:t>MMPs</w:t>
      </w:r>
      <w:r>
        <w:rPr>
          <w:rFonts w:ascii="Times New Roman" w:hAnsi="Times New Roman" w:cs="Times New Roman" w:hint="eastAsia"/>
          <w:sz w:val="24"/>
          <w:szCs w:val="24"/>
        </w:rPr>
        <w:t xml:space="preserve"> in KTC-1 cells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546C">
        <w:rPr>
          <w:rFonts w:ascii="Times New Roman" w:hAnsi="Times New Roman" w:cs="Times New Roman"/>
          <w:sz w:val="24"/>
          <w:szCs w:val="24"/>
        </w:rPr>
        <w:t xml:space="preserve">All experiments were performed at least three times. </w:t>
      </w:r>
      <w:r>
        <w:rPr>
          <w:rFonts w:ascii="Times New Roman" w:hAnsi="Times New Roman" w:cs="Times New Roman" w:hint="eastAsia"/>
          <w:sz w:val="24"/>
          <w:szCs w:val="24"/>
        </w:rPr>
        <w:t>**P&lt;0.01 and ***P&lt;0.001.</w:t>
      </w:r>
    </w:p>
    <w:p w:rsidR="008D37CD" w:rsidRDefault="008D37CD" w:rsidP="008D37CD">
      <w:pPr>
        <w:rPr>
          <w:rFonts w:hint="eastAsia"/>
        </w:rPr>
      </w:pPr>
    </w:p>
    <w:p w:rsidR="008D37CD" w:rsidRDefault="000A4C45" w:rsidP="008D37CD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5591810"/>
            <wp:effectExtent l="0" t="0" r="2540" b="8890"/>
            <wp:docPr id="7080304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9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7CD" w:rsidRDefault="008D37CD" w:rsidP="008D37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sz w:val="24"/>
          <w:szCs w:val="24"/>
        </w:rPr>
        <w:t xml:space="preserve">S2 </w:t>
      </w:r>
      <w:r w:rsidRPr="00021D6D">
        <w:rPr>
          <w:rFonts w:ascii="Times New Roman" w:hAnsi="Times New Roman" w:cs="Times New Roman"/>
          <w:sz w:val="24"/>
          <w:szCs w:val="24"/>
        </w:rPr>
        <w:t xml:space="preserve">Midazolam concentration-dependently </w:t>
      </w:r>
      <w:r w:rsidRPr="007C3E4F">
        <w:rPr>
          <w:rFonts w:ascii="Times New Roman" w:hAnsi="Times New Roman" w:cs="Times New Roman"/>
          <w:sz w:val="24"/>
          <w:szCs w:val="24"/>
        </w:rPr>
        <w:t xml:space="preserve">induces </w:t>
      </w:r>
      <w:r>
        <w:rPr>
          <w:rFonts w:ascii="Times New Roman" w:hAnsi="Times New Roman" w:cs="Times New Roman" w:hint="eastAsia"/>
          <w:sz w:val="24"/>
          <w:szCs w:val="24"/>
        </w:rPr>
        <w:t>KTC-1</w:t>
      </w:r>
      <w:r w:rsidRPr="007C3E4F">
        <w:rPr>
          <w:rFonts w:ascii="Times New Roman" w:hAnsi="Times New Roman" w:cs="Times New Roman"/>
          <w:sz w:val="24"/>
          <w:szCs w:val="24"/>
        </w:rPr>
        <w:t xml:space="preserve"> cell apoptosis</w:t>
      </w:r>
      <w:r>
        <w:rPr>
          <w:rFonts w:ascii="Times New Roman" w:hAnsi="Times New Roman" w:cs="Times New Roman"/>
          <w:sz w:val="24"/>
          <w:szCs w:val="24"/>
        </w:rPr>
        <w:t xml:space="preserve">. A. </w:t>
      </w:r>
      <w:r w:rsidRPr="00021D6D">
        <w:rPr>
          <w:rFonts w:ascii="Times New Roman" w:hAnsi="Times New Roman" w:cs="Times New Roman"/>
          <w:sz w:val="24"/>
          <w:szCs w:val="24"/>
        </w:rPr>
        <w:t>Flow cytometry assay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was used to detect</w:t>
      </w:r>
      <w:r w:rsidRPr="008B1A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KTC-1</w:t>
      </w:r>
      <w:r>
        <w:rPr>
          <w:rFonts w:ascii="Times New Roman" w:hAnsi="Times New Roman" w:cs="Times New Roman"/>
          <w:sz w:val="24"/>
          <w:szCs w:val="24"/>
        </w:rPr>
        <w:t xml:space="preserve"> cell apoptosis. B. W</w:t>
      </w:r>
      <w:r w:rsidRPr="00021D6D">
        <w:rPr>
          <w:rFonts w:ascii="Times New Roman" w:hAnsi="Times New Roman" w:cs="Times New Roman"/>
          <w:sz w:val="24"/>
          <w:szCs w:val="24"/>
        </w:rPr>
        <w:t>estern blot</w:t>
      </w:r>
      <w:r>
        <w:rPr>
          <w:rFonts w:ascii="Times New Roman" w:hAnsi="Times New Roman" w:cs="Times New Roman" w:hint="eastAsia"/>
          <w:sz w:val="24"/>
          <w:szCs w:val="24"/>
        </w:rPr>
        <w:t xml:space="preserve"> was used to detect</w:t>
      </w:r>
      <w:r>
        <w:rPr>
          <w:rFonts w:ascii="Times New Roman" w:hAnsi="Times New Roman" w:cs="Times New Roman"/>
          <w:sz w:val="24"/>
          <w:szCs w:val="24"/>
        </w:rPr>
        <w:t xml:space="preserve"> the expressions of apoptotic proteins</w:t>
      </w:r>
      <w:r w:rsidRPr="008B1A09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 KTC-1 cells</w:t>
      </w:r>
      <w:r>
        <w:rPr>
          <w:rFonts w:ascii="Times New Roman" w:hAnsi="Times New Roman" w:cs="Times New Roman"/>
          <w:sz w:val="24"/>
          <w:szCs w:val="24"/>
        </w:rPr>
        <w:t>. C. I</w:t>
      </w:r>
      <w:r w:rsidRPr="00021D6D">
        <w:rPr>
          <w:rFonts w:ascii="Times New Roman" w:hAnsi="Times New Roman" w:cs="Times New Roman"/>
          <w:sz w:val="24"/>
          <w:szCs w:val="24"/>
        </w:rPr>
        <w:t xml:space="preserve">mmunofluorescence staining </w:t>
      </w:r>
      <w:r>
        <w:rPr>
          <w:rFonts w:ascii="Times New Roman" w:hAnsi="Times New Roman" w:cs="Times New Roman" w:hint="eastAsia"/>
          <w:sz w:val="24"/>
          <w:szCs w:val="24"/>
        </w:rPr>
        <w:t>was used to detect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1D6D">
        <w:rPr>
          <w:rFonts w:ascii="Times New Roman" w:hAnsi="Times New Roman" w:cs="Times New Roman"/>
          <w:sz w:val="24"/>
          <w:szCs w:val="24"/>
        </w:rPr>
        <w:t>cleaved caspase3</w:t>
      </w:r>
      <w:r>
        <w:rPr>
          <w:rFonts w:ascii="Times New Roman" w:hAnsi="Times New Roman" w:cs="Times New Roman"/>
          <w:sz w:val="24"/>
          <w:szCs w:val="24"/>
        </w:rPr>
        <w:t xml:space="preserve"> expression</w:t>
      </w:r>
      <w:r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Pr="008B1A09">
        <w:rPr>
          <w:rFonts w:ascii="Times New Roman" w:hAnsi="Times New Roman" w:cs="Times New Roman"/>
          <w:sz w:val="24"/>
          <w:szCs w:val="24"/>
        </w:rPr>
        <w:t>TPC-1</w:t>
      </w:r>
      <w:r>
        <w:rPr>
          <w:rFonts w:ascii="Times New Roman" w:hAnsi="Times New Roman" w:cs="Times New Roman" w:hint="eastAsia"/>
          <w:sz w:val="24"/>
          <w:szCs w:val="24"/>
        </w:rPr>
        <w:t xml:space="preserve"> cells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546C">
        <w:rPr>
          <w:rFonts w:ascii="Times New Roman" w:hAnsi="Times New Roman" w:cs="Times New Roman"/>
          <w:sz w:val="24"/>
          <w:szCs w:val="24"/>
        </w:rPr>
        <w:t xml:space="preserve">All experiments were performed at least three times. </w:t>
      </w:r>
      <w:r>
        <w:rPr>
          <w:rFonts w:ascii="Times New Roman" w:hAnsi="Times New Roman" w:cs="Times New Roman" w:hint="eastAsia"/>
          <w:sz w:val="24"/>
          <w:szCs w:val="24"/>
        </w:rPr>
        <w:t>**P&lt;0.01 and ***P&lt;0.001.</w:t>
      </w:r>
    </w:p>
    <w:p w:rsidR="008D37CD" w:rsidRDefault="008D37CD" w:rsidP="008D37CD">
      <w:pPr>
        <w:rPr>
          <w:rFonts w:hint="eastAsia"/>
        </w:rPr>
      </w:pPr>
    </w:p>
    <w:p w:rsidR="008D37CD" w:rsidRDefault="008D37CD" w:rsidP="008D37C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55C7EF6A">
            <wp:extent cx="5273675" cy="4255135"/>
            <wp:effectExtent l="0" t="0" r="3175" b="0"/>
            <wp:docPr id="930136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25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7CD" w:rsidRPr="00ED0656" w:rsidRDefault="008D37CD" w:rsidP="008D37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 w:hint="eastAsia"/>
          <w:sz w:val="24"/>
          <w:szCs w:val="24"/>
        </w:rPr>
        <w:t>S3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656">
        <w:rPr>
          <w:rFonts w:ascii="Times New Roman" w:hAnsi="Times New Roman" w:cs="Times New Roman"/>
          <w:sz w:val="24"/>
          <w:szCs w:val="24"/>
        </w:rPr>
        <w:t xml:space="preserve">YWHAH </w:t>
      </w:r>
      <w:r>
        <w:rPr>
          <w:rFonts w:ascii="Times New Roman" w:hAnsi="Times New Roman" w:cs="Times New Roman" w:hint="eastAsia"/>
          <w:sz w:val="24"/>
          <w:szCs w:val="24"/>
        </w:rPr>
        <w:t>knockdown suppresses</w:t>
      </w:r>
      <w:r w:rsidRPr="00ED0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KTC-1</w:t>
      </w:r>
      <w:r>
        <w:rPr>
          <w:rFonts w:ascii="Times New Roman" w:hAnsi="Times New Roman" w:cs="Times New Roman"/>
          <w:sz w:val="24"/>
          <w:szCs w:val="24"/>
        </w:rPr>
        <w:t xml:space="preserve"> cell proliferation, migration as well as invasion.</w:t>
      </w:r>
      <w:r w:rsidRPr="00ED0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A-B. Examination of transfection efficacy of </w:t>
      </w:r>
      <w:r w:rsidRPr="00ED0656">
        <w:rPr>
          <w:rFonts w:ascii="Times New Roman" w:hAnsi="Times New Roman" w:cs="Times New Roman"/>
          <w:sz w:val="24"/>
          <w:szCs w:val="24"/>
        </w:rPr>
        <w:t>siRNA-YWHAH-1</w:t>
      </w:r>
      <w:r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 w:hint="eastAsia"/>
          <w:sz w:val="24"/>
          <w:szCs w:val="24"/>
        </w:rPr>
        <w:t xml:space="preserve"> in KTC-1 cells</w:t>
      </w:r>
      <w:r>
        <w:rPr>
          <w:rFonts w:ascii="Times New Roman" w:hAnsi="Times New Roman" w:cs="Times New Roman"/>
          <w:sz w:val="24"/>
          <w:szCs w:val="24"/>
        </w:rPr>
        <w:t xml:space="preserve">. C. CCK-8 method </w:t>
      </w:r>
      <w:r>
        <w:rPr>
          <w:rFonts w:ascii="Times New Roman" w:hAnsi="Times New Roman" w:cs="Times New Roman" w:hint="eastAsia"/>
          <w:sz w:val="24"/>
          <w:szCs w:val="24"/>
        </w:rPr>
        <w:t>was used to detect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KTC-1 </w:t>
      </w:r>
      <w:r>
        <w:rPr>
          <w:rFonts w:ascii="Times New Roman" w:hAnsi="Times New Roman" w:cs="Times New Roman"/>
          <w:sz w:val="24"/>
          <w:szCs w:val="24"/>
        </w:rPr>
        <w:t xml:space="preserve">cell viability. D. EDU staining </w:t>
      </w:r>
      <w:r>
        <w:rPr>
          <w:rFonts w:ascii="Times New Roman" w:hAnsi="Times New Roman" w:cs="Times New Roman" w:hint="eastAsia"/>
          <w:sz w:val="24"/>
          <w:szCs w:val="24"/>
        </w:rPr>
        <w:t>was used to detect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KTC-1 </w:t>
      </w:r>
      <w:r>
        <w:rPr>
          <w:rFonts w:ascii="Times New Roman" w:hAnsi="Times New Roman" w:cs="Times New Roman"/>
          <w:sz w:val="24"/>
          <w:szCs w:val="24"/>
        </w:rPr>
        <w:t xml:space="preserve">cell proliferation. E. Wound healing assay </w:t>
      </w:r>
      <w:r>
        <w:rPr>
          <w:rFonts w:ascii="Times New Roman" w:hAnsi="Times New Roman" w:cs="Times New Roman" w:hint="eastAsia"/>
          <w:sz w:val="24"/>
          <w:szCs w:val="24"/>
        </w:rPr>
        <w:t>was used to detect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KTC-1 </w:t>
      </w:r>
      <w:r>
        <w:rPr>
          <w:rFonts w:ascii="Times New Roman" w:hAnsi="Times New Roman" w:cs="Times New Roman"/>
          <w:sz w:val="24"/>
          <w:szCs w:val="24"/>
        </w:rPr>
        <w:t xml:space="preserve">cell migration. F. Transwell assay </w:t>
      </w:r>
      <w:r>
        <w:rPr>
          <w:rFonts w:ascii="Times New Roman" w:hAnsi="Times New Roman" w:cs="Times New Roman" w:hint="eastAsia"/>
          <w:sz w:val="24"/>
          <w:szCs w:val="24"/>
        </w:rPr>
        <w:t>was used to detect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KTC-1 </w:t>
      </w:r>
      <w:r>
        <w:rPr>
          <w:rFonts w:ascii="Times New Roman" w:hAnsi="Times New Roman" w:cs="Times New Roman"/>
          <w:sz w:val="24"/>
          <w:szCs w:val="24"/>
        </w:rPr>
        <w:t>cell invasion. G. Western blot</w:t>
      </w:r>
      <w:r>
        <w:rPr>
          <w:rFonts w:ascii="Times New Roman" w:hAnsi="Times New Roman" w:cs="Times New Roman" w:hint="eastAsia"/>
          <w:sz w:val="24"/>
          <w:szCs w:val="24"/>
        </w:rPr>
        <w:t xml:space="preserve"> was used to detect</w:t>
      </w:r>
      <w:r w:rsidRPr="00D87AA6">
        <w:rPr>
          <w:rFonts w:ascii="Times New Roman" w:hAnsi="Times New Roman" w:cs="Times New Roman"/>
          <w:sz w:val="24"/>
          <w:szCs w:val="24"/>
        </w:rPr>
        <w:t xml:space="preserve"> the expressions of </w:t>
      </w:r>
      <w:r>
        <w:rPr>
          <w:rFonts w:ascii="Times New Roman" w:hAnsi="Times New Roman" w:cs="Times New Roman"/>
          <w:sz w:val="24"/>
          <w:szCs w:val="24"/>
        </w:rPr>
        <w:t>MMPs</w:t>
      </w:r>
      <w:r>
        <w:rPr>
          <w:rFonts w:ascii="Times New Roman" w:hAnsi="Times New Roman" w:cs="Times New Roman" w:hint="eastAsia"/>
          <w:sz w:val="24"/>
          <w:szCs w:val="24"/>
        </w:rPr>
        <w:t xml:space="preserve"> in KTC-1 cells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546C">
        <w:rPr>
          <w:rFonts w:ascii="Times New Roman" w:hAnsi="Times New Roman" w:cs="Times New Roman"/>
          <w:sz w:val="24"/>
          <w:szCs w:val="24"/>
        </w:rPr>
        <w:t xml:space="preserve">All experiments were performed at least three times. </w:t>
      </w:r>
      <w:r>
        <w:rPr>
          <w:rFonts w:ascii="Times New Roman" w:hAnsi="Times New Roman" w:cs="Times New Roman" w:hint="eastAsia"/>
          <w:sz w:val="24"/>
          <w:szCs w:val="24"/>
        </w:rPr>
        <w:t>***P&lt;0.001.</w:t>
      </w:r>
    </w:p>
    <w:p w:rsidR="008D37CD" w:rsidRDefault="008D37CD" w:rsidP="008D37CD">
      <w:pPr>
        <w:rPr>
          <w:rFonts w:ascii="Times New Roman" w:hAnsi="Times New Roman" w:cs="Times New Roman"/>
          <w:sz w:val="28"/>
          <w:szCs w:val="28"/>
        </w:rPr>
      </w:pPr>
    </w:p>
    <w:p w:rsidR="008D37CD" w:rsidRPr="008D37CD" w:rsidRDefault="008D37CD" w:rsidP="008D37CD">
      <w:pPr>
        <w:rPr>
          <w:rFonts w:hint="eastAsia"/>
        </w:rPr>
      </w:pPr>
    </w:p>
    <w:sectPr w:rsidR="008D37CD" w:rsidRPr="008D37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7CD"/>
    <w:rsid w:val="00000437"/>
    <w:rsid w:val="000A4C45"/>
    <w:rsid w:val="000B104B"/>
    <w:rsid w:val="001358C3"/>
    <w:rsid w:val="003426AE"/>
    <w:rsid w:val="003753D9"/>
    <w:rsid w:val="003754E4"/>
    <w:rsid w:val="003860C8"/>
    <w:rsid w:val="00397148"/>
    <w:rsid w:val="00645EE6"/>
    <w:rsid w:val="00661381"/>
    <w:rsid w:val="006E3EAE"/>
    <w:rsid w:val="008B72CC"/>
    <w:rsid w:val="008D37CD"/>
    <w:rsid w:val="0099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76B4B8-CB88-45D2-8B59-88B8ECF7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3753D9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bottom w:val="single" w:sz="4" w:space="0" w:color="auto"/>
        </w:tcBorders>
      </w:tcPr>
    </w:tblStylePr>
  </w:style>
  <w:style w:type="table" w:customStyle="1" w:styleId="1">
    <w:name w:val="样式1"/>
    <w:basedOn w:val="a1"/>
    <w:uiPriority w:val="99"/>
    <w:rsid w:val="003753D9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2024-12-13T01:24:00Z</dcterms:created>
  <dcterms:modified xsi:type="dcterms:W3CDTF">2025-01-20T07:48:00Z</dcterms:modified>
</cp:coreProperties>
</file>