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66D00" w14:textId="58EC941A" w:rsidR="009D302D" w:rsidRPr="006353E9" w:rsidRDefault="006353E9" w:rsidP="00EA0077">
      <w:pPr>
        <w:jc w:val="center"/>
        <w:rPr>
          <w:b/>
          <w:bCs/>
          <w:sz w:val="36"/>
          <w:szCs w:val="36"/>
        </w:rPr>
      </w:pPr>
      <w:r w:rsidRPr="006353E9">
        <w:rPr>
          <w:b/>
          <w:bCs/>
          <w:sz w:val="36"/>
          <w:szCs w:val="36"/>
        </w:rPr>
        <w:t>Supplementary material</w:t>
      </w:r>
    </w:p>
    <w:p w14:paraId="72FA9761" w14:textId="760FC33A" w:rsidR="006353E9" w:rsidRDefault="00EA0077" w:rsidP="00EA0077">
      <w:pPr>
        <w:jc w:val="center"/>
      </w:pPr>
      <w:bookmarkStart w:id="0" w:name="_GoBack"/>
      <w:r>
        <w:rPr>
          <w:noProof/>
          <w:lang w:val="en-IN" w:eastAsia="en-IN"/>
        </w:rPr>
        <w:drawing>
          <wp:inline distT="0" distB="0" distL="0" distR="0" wp14:anchorId="0F77C468" wp14:editId="44297797">
            <wp:extent cx="5400000" cy="5797775"/>
            <wp:effectExtent l="0" t="0" r="0" b="0"/>
            <wp:docPr id="8455655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79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19D0DDC4" w14:textId="77777777" w:rsidR="00EA0077" w:rsidRPr="00EA0077" w:rsidRDefault="00EA0077" w:rsidP="00EA0077">
      <w:r w:rsidRPr="00EA0077">
        <w:rPr>
          <w:b/>
          <w:bCs/>
        </w:rPr>
        <w:t xml:space="preserve">Supplementary Fig. S1. </w:t>
      </w:r>
      <w:r w:rsidRPr="00EA0077">
        <w:t xml:space="preserve">ROC curve analyzing the discriminatory power between normal tissue and tumor tissue for </w:t>
      </w:r>
      <w:r w:rsidRPr="00610F46">
        <w:rPr>
          <w:i/>
          <w:iCs/>
        </w:rPr>
        <w:t>ATF4</w:t>
      </w:r>
      <w:r w:rsidRPr="00EA0077">
        <w:t xml:space="preserve"> (A), </w:t>
      </w:r>
      <w:r w:rsidRPr="00610F46">
        <w:rPr>
          <w:i/>
          <w:iCs/>
        </w:rPr>
        <w:t>TFAM</w:t>
      </w:r>
      <w:r w:rsidRPr="00EA0077">
        <w:t xml:space="preserve"> (B), </w:t>
      </w:r>
      <w:r w:rsidRPr="00610F46">
        <w:rPr>
          <w:i/>
          <w:iCs/>
        </w:rPr>
        <w:t>LONP1</w:t>
      </w:r>
      <w:r w:rsidRPr="00EA0077">
        <w:t xml:space="preserve"> (C), </w:t>
      </w:r>
      <w:r w:rsidRPr="00610F46">
        <w:rPr>
          <w:i/>
          <w:iCs/>
        </w:rPr>
        <w:t>PINK1</w:t>
      </w:r>
      <w:r w:rsidRPr="00EA0077">
        <w:t xml:space="preserve"> (D), </w:t>
      </w:r>
      <w:r w:rsidRPr="00610F46">
        <w:rPr>
          <w:i/>
          <w:iCs/>
        </w:rPr>
        <w:t>OPA1</w:t>
      </w:r>
      <w:r w:rsidRPr="00EA0077">
        <w:t xml:space="preserve"> (E), </w:t>
      </w:r>
      <w:r w:rsidRPr="00610F46">
        <w:rPr>
          <w:i/>
          <w:iCs/>
        </w:rPr>
        <w:t>MFN1</w:t>
      </w:r>
      <w:r w:rsidRPr="00EA0077">
        <w:t xml:space="preserve"> (F), </w:t>
      </w:r>
      <w:r w:rsidRPr="00610F46">
        <w:rPr>
          <w:i/>
          <w:iCs/>
        </w:rPr>
        <w:t>HSPA9</w:t>
      </w:r>
      <w:r w:rsidRPr="00EA0077">
        <w:t xml:space="preserve"> (G), </w:t>
      </w:r>
      <w:r w:rsidRPr="00610F46">
        <w:rPr>
          <w:i/>
          <w:iCs/>
        </w:rPr>
        <w:t>CLPP</w:t>
      </w:r>
      <w:r w:rsidRPr="00EA0077">
        <w:t xml:space="preserve"> (H), </w:t>
      </w:r>
      <w:r w:rsidRPr="00610F46">
        <w:rPr>
          <w:i/>
          <w:iCs/>
        </w:rPr>
        <w:t>DNM1L</w:t>
      </w:r>
      <w:r w:rsidRPr="00EA0077">
        <w:t xml:space="preserve"> (I), </w:t>
      </w:r>
      <w:r w:rsidRPr="00610F46">
        <w:rPr>
          <w:i/>
          <w:iCs/>
        </w:rPr>
        <w:t>SIRT3</w:t>
      </w:r>
      <w:r w:rsidRPr="00EA0077">
        <w:t xml:space="preserve"> (J), </w:t>
      </w:r>
      <w:r w:rsidRPr="00610F46">
        <w:rPr>
          <w:i/>
          <w:iCs/>
        </w:rPr>
        <w:t>NRF1</w:t>
      </w:r>
      <w:r w:rsidRPr="00EA0077">
        <w:t xml:space="preserve"> (K), </w:t>
      </w:r>
      <w:r w:rsidRPr="00610F46">
        <w:rPr>
          <w:i/>
          <w:iCs/>
        </w:rPr>
        <w:t>NFE2L2</w:t>
      </w:r>
      <w:r w:rsidRPr="00EA0077">
        <w:t xml:space="preserve"> (L), and </w:t>
      </w:r>
      <w:r w:rsidRPr="00610F46">
        <w:rPr>
          <w:i/>
          <w:iCs/>
        </w:rPr>
        <w:t>MFN2</w:t>
      </w:r>
      <w:r w:rsidRPr="00EA0077">
        <w:t xml:space="preserve"> (M).</w:t>
      </w:r>
    </w:p>
    <w:p w14:paraId="33D2006F" w14:textId="77777777" w:rsidR="00EA0077" w:rsidRPr="00EA0077" w:rsidRDefault="00EA0077" w:rsidP="006353E9"/>
    <w:p w14:paraId="2BB2522C" w14:textId="68287417" w:rsidR="006353E9" w:rsidRDefault="006353E9" w:rsidP="006353E9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7177DFD7" wp14:editId="6B1DB417">
            <wp:extent cx="3500650" cy="4203009"/>
            <wp:effectExtent l="0" t="0" r="0" b="0"/>
            <wp:docPr id="18122323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297" cy="4207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85B80C" w14:textId="19EFF256" w:rsidR="00EA0077" w:rsidRPr="00EA0077" w:rsidRDefault="00EA0077" w:rsidP="00EA0077">
      <w:r w:rsidRPr="00EA0077">
        <w:rPr>
          <w:b/>
          <w:bCs/>
        </w:rPr>
        <w:t>Supplementary Fig</w:t>
      </w:r>
      <w:r>
        <w:rPr>
          <w:rFonts w:hint="eastAsia"/>
          <w:b/>
          <w:bCs/>
        </w:rPr>
        <w:t>.</w:t>
      </w:r>
      <w:r w:rsidRPr="00EA0077">
        <w:rPr>
          <w:b/>
          <w:bCs/>
        </w:rPr>
        <w:t xml:space="preserve"> S2. Differential ATF5 protein expression between CESC and normal tissue. </w:t>
      </w:r>
      <w:r w:rsidRPr="00EA0077">
        <w:t>Immunohistochemical analysis using anti-ATF5 antibody (HPA030187) reveals elevated ATF5 protein levels in CESC tumor compared to normal cervical epithelium.</w:t>
      </w:r>
    </w:p>
    <w:p w14:paraId="16FDB04B" w14:textId="6CAF8585" w:rsidR="00EA0077" w:rsidRDefault="00EA0077" w:rsidP="00EA0077">
      <w:r>
        <w:br w:type="page"/>
      </w:r>
    </w:p>
    <w:p w14:paraId="24A2315C" w14:textId="6C5A20B9" w:rsidR="006353E9" w:rsidRDefault="00EA0077" w:rsidP="00EA0077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75622FB4" wp14:editId="7C437D43">
            <wp:extent cx="5400000" cy="6078150"/>
            <wp:effectExtent l="0" t="0" r="0" b="0"/>
            <wp:docPr id="120875066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07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0E3DB" w14:textId="77777777" w:rsidR="00EA0077" w:rsidRPr="00EA0077" w:rsidRDefault="00EA0077" w:rsidP="00EA0077">
      <w:r w:rsidRPr="00EA0077">
        <w:rPr>
          <w:b/>
          <w:bCs/>
        </w:rPr>
        <w:t xml:space="preserve">Supplementary Fig. S3. </w:t>
      </w:r>
      <w:r w:rsidRPr="005D0F53">
        <w:rPr>
          <w:b/>
          <w:bCs/>
          <w:i/>
          <w:iCs/>
        </w:rPr>
        <w:t>ATF5</w:t>
      </w:r>
      <w:r w:rsidRPr="00EA0077">
        <w:rPr>
          <w:b/>
          <w:bCs/>
        </w:rPr>
        <w:t xml:space="preserve"> dependency correlates with fluorouracil sensitivity in cervical cancer cells.</w:t>
      </w:r>
      <w:r w:rsidRPr="00EA0077">
        <w:t xml:space="preserve"> Analysis of CRISPR-based screening data from the DepMap portal (</w:t>
      </w:r>
      <w:r w:rsidRPr="00EA0077">
        <w:rPr>
          <w:b/>
          <w:bCs/>
        </w:rPr>
        <w:t>A</w:t>
      </w:r>
      <w:r w:rsidRPr="00EA0077">
        <w:t xml:space="preserve">) links </w:t>
      </w:r>
      <w:r w:rsidRPr="005D0F53">
        <w:rPr>
          <w:i/>
          <w:iCs/>
        </w:rPr>
        <w:t>ATF5</w:t>
      </w:r>
      <w:r w:rsidRPr="00EA0077">
        <w:t xml:space="preserve"> dependency to biological pathways and chemotherapeutic response in CESC cell lines. The scatter plots exhibit the correlation between </w:t>
      </w:r>
      <w:r w:rsidRPr="005D0F53">
        <w:rPr>
          <w:i/>
          <w:iCs/>
        </w:rPr>
        <w:t>ATF5</w:t>
      </w:r>
      <w:r w:rsidRPr="00EA0077">
        <w:t xml:space="preserve"> Gene Effect scores and cellular proteostasis (</w:t>
      </w:r>
      <w:r w:rsidRPr="00EA0077">
        <w:rPr>
          <w:b/>
          <w:bCs/>
        </w:rPr>
        <w:t>B</w:t>
      </w:r>
      <w:r w:rsidRPr="00EA0077">
        <w:t>), receptor-mediated mitophagy (</w:t>
      </w:r>
      <w:r w:rsidRPr="00EA0077">
        <w:rPr>
          <w:b/>
          <w:bCs/>
        </w:rPr>
        <w:t>C</w:t>
      </w:r>
      <w:r w:rsidRPr="00EA0077">
        <w:t>), and fluorouracil sensitivity (AUC, area under curve) based on GDSC1 (</w:t>
      </w:r>
      <w:r w:rsidRPr="00EA0077">
        <w:rPr>
          <w:b/>
          <w:bCs/>
        </w:rPr>
        <w:t>D</w:t>
      </w:r>
      <w:r w:rsidRPr="00EA0077">
        <w:t>) and GDSC2 (</w:t>
      </w:r>
      <w:r w:rsidRPr="00EA0077">
        <w:rPr>
          <w:b/>
          <w:bCs/>
        </w:rPr>
        <w:t>E</w:t>
      </w:r>
      <w:r w:rsidRPr="00EA0077">
        <w:t xml:space="preserve">). Lower Gene Effect scores indicate stronger </w:t>
      </w:r>
      <w:r w:rsidRPr="005D0F53">
        <w:rPr>
          <w:i/>
          <w:iCs/>
        </w:rPr>
        <w:t>ATF5</w:t>
      </w:r>
      <w:r w:rsidRPr="00EA0077">
        <w:t xml:space="preserve"> dependency, while higher AUC values represent increased drug resistance.</w:t>
      </w:r>
    </w:p>
    <w:p w14:paraId="67CE85F4" w14:textId="77777777" w:rsidR="00EA0077" w:rsidRPr="00EA0077" w:rsidRDefault="00EA0077" w:rsidP="00EA0077"/>
    <w:sectPr w:rsidR="00EA0077" w:rsidRPr="00EA0077" w:rsidSect="005F154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C9728" w14:textId="77777777" w:rsidR="00AF4ECB" w:rsidRDefault="00AF4ECB" w:rsidP="006353E9">
      <w:pPr>
        <w:spacing w:after="0" w:line="240" w:lineRule="auto"/>
      </w:pPr>
      <w:r>
        <w:separator/>
      </w:r>
    </w:p>
  </w:endnote>
  <w:endnote w:type="continuationSeparator" w:id="0">
    <w:p w14:paraId="4CA54F4F" w14:textId="77777777" w:rsidR="00AF4ECB" w:rsidRDefault="00AF4ECB" w:rsidP="0063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6E287" w14:textId="77777777" w:rsidR="00AF4ECB" w:rsidRDefault="00AF4ECB" w:rsidP="006353E9">
      <w:pPr>
        <w:spacing w:after="0" w:line="240" w:lineRule="auto"/>
      </w:pPr>
      <w:r>
        <w:separator/>
      </w:r>
    </w:p>
  </w:footnote>
  <w:footnote w:type="continuationSeparator" w:id="0">
    <w:p w14:paraId="3C314DDD" w14:textId="77777777" w:rsidR="00AF4ECB" w:rsidRDefault="00AF4ECB" w:rsidP="006353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2D"/>
    <w:rsid w:val="00146EA3"/>
    <w:rsid w:val="005D0F53"/>
    <w:rsid w:val="005F154B"/>
    <w:rsid w:val="00610F46"/>
    <w:rsid w:val="00623B37"/>
    <w:rsid w:val="006353E9"/>
    <w:rsid w:val="00820ED0"/>
    <w:rsid w:val="00942E95"/>
    <w:rsid w:val="009D302D"/>
    <w:rsid w:val="00AF4ECB"/>
    <w:rsid w:val="00C8637F"/>
    <w:rsid w:val="00CE2404"/>
    <w:rsid w:val="00EA0077"/>
    <w:rsid w:val="00F0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A86C6"/>
  <w15:chartTrackingRefBased/>
  <w15:docId w15:val="{FBECD45B-EE17-42FE-8009-0E91A055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30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02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02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0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0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0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0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0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02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0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02D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02D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0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0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0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0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0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02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53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353E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353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53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宏昱 林</dc:creator>
  <cp:keywords/>
  <dc:description/>
  <cp:lastModifiedBy>Rajalakshmi Thangaraj</cp:lastModifiedBy>
  <cp:revision>6</cp:revision>
  <dcterms:created xsi:type="dcterms:W3CDTF">2025-03-29T13:08:00Z</dcterms:created>
  <dcterms:modified xsi:type="dcterms:W3CDTF">2025-05-18T05:44:00Z</dcterms:modified>
</cp:coreProperties>
</file>