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8B91E" w14:textId="2BBFA759" w:rsidR="00F2719A" w:rsidRDefault="003D4014" w:rsidP="00F2719A">
      <w:pPr>
        <w:jc w:val="center"/>
      </w:pPr>
      <w:r>
        <w:rPr>
          <w:noProof/>
        </w:rPr>
        <w:drawing>
          <wp:inline distT="0" distB="0" distL="0" distR="0" wp14:anchorId="25F90D7E" wp14:editId="30E793D1">
            <wp:extent cx="5271135" cy="5744210"/>
            <wp:effectExtent l="0" t="0" r="5715" b="8890"/>
            <wp:docPr id="19766413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74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DA7FC" w14:textId="3FA4CFB0" w:rsidR="00F2719A" w:rsidRPr="003D4014" w:rsidRDefault="003D4014" w:rsidP="003D401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3D4014">
        <w:rPr>
          <w:rFonts w:ascii="Times New Roman" w:hAnsi="Times New Roman" w:cs="Times New Roman"/>
          <w:b/>
          <w:bCs/>
          <w:sz w:val="20"/>
          <w:szCs w:val="20"/>
        </w:rPr>
        <w:t>Supplementary Figure 1.</w:t>
      </w:r>
      <w:r w:rsidRPr="003D4014">
        <w:rPr>
          <w:rFonts w:ascii="Times New Roman" w:hAnsi="Times New Roman" w:cs="Times New Roman"/>
          <w:sz w:val="20"/>
          <w:szCs w:val="20"/>
        </w:rPr>
        <w:t xml:space="preserve"> (</w:t>
      </w:r>
      <w:r w:rsidRPr="003D4014">
        <w:rPr>
          <w:rFonts w:ascii="Times New Roman" w:hAnsi="Times New Roman" w:cs="Times New Roman"/>
          <w:sz w:val="20"/>
          <w:szCs w:val="20"/>
        </w:rPr>
        <w:t>A</w:t>
      </w:r>
      <w:r w:rsidRPr="003D4014">
        <w:rPr>
          <w:rFonts w:ascii="Times New Roman" w:hAnsi="Times New Roman" w:cs="Times New Roman"/>
          <w:sz w:val="20"/>
          <w:szCs w:val="20"/>
        </w:rPr>
        <w:t>)</w:t>
      </w:r>
      <w:r w:rsidRPr="003D4014">
        <w:rPr>
          <w:rFonts w:ascii="Times New Roman" w:hAnsi="Times New Roman" w:cs="Times New Roman"/>
          <w:sz w:val="20"/>
          <w:szCs w:val="20"/>
        </w:rPr>
        <w:t xml:space="preserve"> The risk score distribution map, survival status scatter plot, and gene expression heatmap display the characteristic differences between the high-risk and low-risk groups in the development set.</w:t>
      </w:r>
      <w:r w:rsidRPr="003D4014">
        <w:rPr>
          <w:rFonts w:ascii="Times New Roman" w:hAnsi="Times New Roman" w:cs="Times New Roman"/>
          <w:sz w:val="20"/>
          <w:szCs w:val="20"/>
        </w:rPr>
        <w:t xml:space="preserve"> (</w:t>
      </w:r>
      <w:r w:rsidRPr="003D4014">
        <w:rPr>
          <w:rFonts w:ascii="Times New Roman" w:hAnsi="Times New Roman" w:cs="Times New Roman"/>
          <w:sz w:val="20"/>
          <w:szCs w:val="20"/>
        </w:rPr>
        <w:t>B</w:t>
      </w:r>
      <w:r w:rsidRPr="003D4014">
        <w:rPr>
          <w:rFonts w:ascii="Times New Roman" w:hAnsi="Times New Roman" w:cs="Times New Roman"/>
          <w:sz w:val="20"/>
          <w:szCs w:val="20"/>
        </w:rPr>
        <w:t>)</w:t>
      </w:r>
      <w:r w:rsidRPr="003D4014">
        <w:rPr>
          <w:rFonts w:ascii="Times New Roman" w:hAnsi="Times New Roman" w:cs="Times New Roman"/>
          <w:sz w:val="20"/>
          <w:szCs w:val="20"/>
        </w:rPr>
        <w:t xml:space="preserve"> The risk score distribution map, survival status scatter plot, and gene expression heatmap display the characteristic differences between the high-risk and low-risk groups in the test set.</w:t>
      </w:r>
      <w:r w:rsidRPr="003D4014">
        <w:rPr>
          <w:rFonts w:ascii="Times New Roman" w:hAnsi="Times New Roman" w:cs="Times New Roman"/>
          <w:sz w:val="20"/>
          <w:szCs w:val="20"/>
        </w:rPr>
        <w:t xml:space="preserve"> (</w:t>
      </w:r>
      <w:r w:rsidRPr="003D4014">
        <w:rPr>
          <w:rFonts w:ascii="Times New Roman" w:hAnsi="Times New Roman" w:cs="Times New Roman"/>
          <w:sz w:val="20"/>
          <w:szCs w:val="20"/>
        </w:rPr>
        <w:t>C</w:t>
      </w:r>
      <w:r w:rsidRPr="003D4014">
        <w:rPr>
          <w:rFonts w:ascii="Times New Roman" w:hAnsi="Times New Roman" w:cs="Times New Roman"/>
          <w:sz w:val="20"/>
          <w:szCs w:val="20"/>
        </w:rPr>
        <w:t>)</w:t>
      </w:r>
      <w:r w:rsidRPr="003D4014">
        <w:rPr>
          <w:rFonts w:ascii="Times New Roman" w:hAnsi="Times New Roman" w:cs="Times New Roman"/>
          <w:sz w:val="20"/>
          <w:szCs w:val="20"/>
        </w:rPr>
        <w:t xml:space="preserve"> The risk score distribution map, survival status scatter plot, and gene expression heatmap display the characteristic differences between the high-risk and low-risk groups in the validation set.</w:t>
      </w:r>
      <w:r w:rsidRPr="003D4014">
        <w:rPr>
          <w:rFonts w:ascii="Times New Roman" w:hAnsi="Times New Roman" w:cs="Times New Roman"/>
          <w:sz w:val="20"/>
          <w:szCs w:val="20"/>
        </w:rPr>
        <w:t xml:space="preserve"> </w:t>
      </w:r>
      <w:r w:rsidR="00F2719A" w:rsidRPr="003D4014">
        <w:rPr>
          <w:rFonts w:ascii="Times New Roman" w:hAnsi="Times New Roman" w:cs="Times New Roman"/>
          <w:sz w:val="20"/>
          <w:szCs w:val="20"/>
        </w:rPr>
        <w:br w:type="page"/>
      </w:r>
    </w:p>
    <w:p w14:paraId="7B49B52B" w14:textId="405316A5" w:rsidR="00F2719A" w:rsidRDefault="00F2719A" w:rsidP="00F2719A">
      <w:pPr>
        <w:jc w:val="center"/>
      </w:pPr>
      <w:r>
        <w:rPr>
          <w:noProof/>
        </w:rPr>
        <w:lastRenderedPageBreak/>
        <w:drawing>
          <wp:inline distT="0" distB="0" distL="0" distR="0" wp14:anchorId="111E4AD4" wp14:editId="71A37D41">
            <wp:extent cx="5269865" cy="3773170"/>
            <wp:effectExtent l="0" t="0" r="6985" b="0"/>
            <wp:docPr id="3088772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77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87E00" w14:textId="7B9633CE" w:rsidR="00F2719A" w:rsidRDefault="003D4014">
      <w:pPr>
        <w:widowControl/>
        <w:jc w:val="left"/>
      </w:pPr>
      <w:r w:rsidRPr="003D4014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2. </w:t>
      </w:r>
      <w:r w:rsidRPr="003D4014">
        <w:rPr>
          <w:rFonts w:ascii="Times New Roman" w:hAnsi="Times New Roman" w:cs="Times New Roman" w:hint="eastAsia"/>
          <w:sz w:val="20"/>
          <w:szCs w:val="20"/>
        </w:rPr>
        <w:t>(</w:t>
      </w:r>
      <w:r w:rsidRPr="003D4014">
        <w:rPr>
          <w:rFonts w:ascii="Times New Roman" w:hAnsi="Times New Roman" w:cs="Times New Roman"/>
          <w:sz w:val="20"/>
          <w:szCs w:val="20"/>
        </w:rPr>
        <w:t>A</w:t>
      </w:r>
      <w:r w:rsidRPr="003D4014">
        <w:rPr>
          <w:rFonts w:ascii="Times New Roman" w:hAnsi="Times New Roman" w:cs="Times New Roman" w:hint="eastAsia"/>
          <w:sz w:val="20"/>
          <w:szCs w:val="20"/>
        </w:rPr>
        <w:t>-</w:t>
      </w:r>
      <w:r w:rsidRPr="003D4014">
        <w:rPr>
          <w:rFonts w:ascii="Times New Roman" w:hAnsi="Times New Roman" w:cs="Times New Roman"/>
          <w:sz w:val="20"/>
          <w:szCs w:val="20"/>
        </w:rPr>
        <w:t>L</w:t>
      </w:r>
      <w:r w:rsidRPr="003D4014">
        <w:rPr>
          <w:rFonts w:ascii="Times New Roman" w:hAnsi="Times New Roman" w:cs="Times New Roman" w:hint="eastAsia"/>
          <w:sz w:val="20"/>
          <w:szCs w:val="20"/>
        </w:rPr>
        <w:t>)</w:t>
      </w:r>
      <w:r w:rsidRPr="003D4014">
        <w:rPr>
          <w:rFonts w:ascii="Times New Roman" w:hAnsi="Times New Roman" w:cs="Times New Roman"/>
          <w:sz w:val="20"/>
          <w:szCs w:val="20"/>
        </w:rPr>
        <w:t xml:space="preserve"> The expression status of immune checkpoint genes in the high-risk and low-risk groups.</w:t>
      </w:r>
      <w:r w:rsidR="00F2719A">
        <w:br w:type="page"/>
      </w:r>
    </w:p>
    <w:p w14:paraId="3F5F2674" w14:textId="47DC3275" w:rsidR="00FB29B1" w:rsidRDefault="00F2719A" w:rsidP="00F2719A">
      <w:pPr>
        <w:jc w:val="center"/>
      </w:pPr>
      <w:r>
        <w:rPr>
          <w:noProof/>
        </w:rPr>
        <w:lastRenderedPageBreak/>
        <w:drawing>
          <wp:inline distT="0" distB="0" distL="0" distR="0" wp14:anchorId="6024CBDC" wp14:editId="3892C52F">
            <wp:extent cx="5273675" cy="6445885"/>
            <wp:effectExtent l="0" t="0" r="3175" b="0"/>
            <wp:docPr id="149791449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644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4F602" w14:textId="51EA84F3" w:rsidR="00074CB8" w:rsidRPr="003D4014" w:rsidRDefault="003D4014" w:rsidP="00074CB8">
      <w:pPr>
        <w:rPr>
          <w:rFonts w:ascii="Times New Roman" w:hAnsi="Times New Roman" w:cs="Times New Roman"/>
          <w:sz w:val="20"/>
          <w:szCs w:val="20"/>
        </w:rPr>
      </w:pPr>
      <w:r w:rsidRPr="003D4014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3. </w:t>
      </w:r>
      <w:r w:rsidRPr="003D4014">
        <w:rPr>
          <w:rFonts w:ascii="Times New Roman" w:hAnsi="Times New Roman" w:cs="Times New Roman" w:hint="eastAsia"/>
          <w:sz w:val="20"/>
          <w:szCs w:val="20"/>
        </w:rPr>
        <w:t>(</w:t>
      </w:r>
      <w:r w:rsidRPr="003D4014">
        <w:rPr>
          <w:rFonts w:ascii="Times New Roman" w:hAnsi="Times New Roman" w:cs="Times New Roman"/>
          <w:sz w:val="20"/>
          <w:szCs w:val="20"/>
        </w:rPr>
        <w:t>A</w:t>
      </w:r>
      <w:r w:rsidRPr="003D4014">
        <w:rPr>
          <w:rFonts w:ascii="Times New Roman" w:hAnsi="Times New Roman" w:cs="Times New Roman" w:hint="eastAsia"/>
          <w:sz w:val="20"/>
          <w:szCs w:val="20"/>
        </w:rPr>
        <w:t>-</w:t>
      </w:r>
      <w:r w:rsidRPr="003D4014">
        <w:rPr>
          <w:rFonts w:ascii="Times New Roman" w:hAnsi="Times New Roman" w:cs="Times New Roman"/>
          <w:sz w:val="20"/>
          <w:szCs w:val="20"/>
        </w:rPr>
        <w:t>J</w:t>
      </w:r>
      <w:r w:rsidRPr="003D4014">
        <w:rPr>
          <w:rFonts w:ascii="Times New Roman" w:hAnsi="Times New Roman" w:cs="Times New Roman" w:hint="eastAsia"/>
          <w:sz w:val="20"/>
          <w:szCs w:val="20"/>
        </w:rPr>
        <w:t>)</w:t>
      </w:r>
      <w:r w:rsidRPr="003D4014">
        <w:rPr>
          <w:rFonts w:ascii="Times New Roman" w:hAnsi="Times New Roman" w:cs="Times New Roman"/>
          <w:sz w:val="20"/>
          <w:szCs w:val="20"/>
        </w:rPr>
        <w:t xml:space="preserve"> The infiltration status of different immune cells in the high-risk and low-risk groups.</w:t>
      </w:r>
    </w:p>
    <w:p w14:paraId="3D830518" w14:textId="77777777" w:rsidR="00F2719A" w:rsidRDefault="00F2719A"/>
    <w:sectPr w:rsidR="00F27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62C8A" w14:textId="77777777" w:rsidR="0002796D" w:rsidRDefault="0002796D" w:rsidP="003D4014">
      <w:r>
        <w:separator/>
      </w:r>
    </w:p>
  </w:endnote>
  <w:endnote w:type="continuationSeparator" w:id="0">
    <w:p w14:paraId="7E3C7AFE" w14:textId="77777777" w:rsidR="0002796D" w:rsidRDefault="0002796D" w:rsidP="003D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29A55" w14:textId="77777777" w:rsidR="0002796D" w:rsidRDefault="0002796D" w:rsidP="003D4014">
      <w:r>
        <w:separator/>
      </w:r>
    </w:p>
  </w:footnote>
  <w:footnote w:type="continuationSeparator" w:id="0">
    <w:p w14:paraId="0348F1C4" w14:textId="77777777" w:rsidR="0002796D" w:rsidRDefault="0002796D" w:rsidP="003D4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6D"/>
    <w:rsid w:val="0002796D"/>
    <w:rsid w:val="00074CB8"/>
    <w:rsid w:val="000F79F7"/>
    <w:rsid w:val="00390863"/>
    <w:rsid w:val="003D4014"/>
    <w:rsid w:val="003D494D"/>
    <w:rsid w:val="004A0515"/>
    <w:rsid w:val="007E49A7"/>
    <w:rsid w:val="00B75439"/>
    <w:rsid w:val="00C2366D"/>
    <w:rsid w:val="00EF5602"/>
    <w:rsid w:val="00F2719A"/>
    <w:rsid w:val="00FB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88CF1"/>
  <w15:chartTrackingRefBased/>
  <w15:docId w15:val="{6CB96727-0BAE-4A98-BB1C-A1213EE3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40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40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40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40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建航 游</dc:creator>
  <cp:keywords/>
  <dc:description/>
  <cp:lastModifiedBy>建航 游</cp:lastModifiedBy>
  <cp:revision>4</cp:revision>
  <dcterms:created xsi:type="dcterms:W3CDTF">2024-12-22T10:22:00Z</dcterms:created>
  <dcterms:modified xsi:type="dcterms:W3CDTF">2024-12-23T13:22:00Z</dcterms:modified>
</cp:coreProperties>
</file>