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42FBD" w14:textId="37011968" w:rsidR="0017569A" w:rsidRDefault="00A533B0" w:rsidP="0017569A">
      <w:pPr>
        <w:spacing w:after="0" w:line="360" w:lineRule="auto"/>
        <w:ind w:left="-993" w:right="-988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Table 1. </w:t>
      </w:r>
      <w:r w:rsidR="0017569A" w:rsidRPr="002C4510">
        <w:rPr>
          <w:rFonts w:asciiTheme="majorBidi" w:hAnsiTheme="majorBidi" w:cstheme="majorBidi"/>
          <w:sz w:val="28"/>
          <w:szCs w:val="28"/>
        </w:rPr>
        <w:t>Details on the role of selected hypoxic genes in breast cancer</w:t>
      </w:r>
      <w:r w:rsidR="0017569A">
        <w:rPr>
          <w:rFonts w:asciiTheme="majorBidi" w:hAnsiTheme="majorBidi" w:cstheme="majorBidi"/>
          <w:sz w:val="28"/>
          <w:szCs w:val="28"/>
        </w:rPr>
        <w:t xml:space="preserve"> during previous studies</w:t>
      </w:r>
    </w:p>
    <w:tbl>
      <w:tblPr>
        <w:tblStyle w:val="TableGrid3"/>
        <w:tblW w:w="11790" w:type="dxa"/>
        <w:tblInd w:w="-1175" w:type="dxa"/>
        <w:tblLayout w:type="fixed"/>
        <w:tblLook w:val="04A0" w:firstRow="1" w:lastRow="0" w:firstColumn="1" w:lastColumn="0" w:noHBand="0" w:noVBand="1"/>
      </w:tblPr>
      <w:tblGrid>
        <w:gridCol w:w="1260"/>
        <w:gridCol w:w="1170"/>
        <w:gridCol w:w="1260"/>
        <w:gridCol w:w="2610"/>
        <w:gridCol w:w="2340"/>
        <w:gridCol w:w="3150"/>
      </w:tblGrid>
      <w:tr w:rsidR="0017569A" w:rsidRPr="002C4510" w14:paraId="61E2D1C5" w14:textId="77777777" w:rsidTr="00245068">
        <w:trPr>
          <w:trHeight w:val="931"/>
        </w:trPr>
        <w:tc>
          <w:tcPr>
            <w:tcW w:w="1260" w:type="dxa"/>
            <w:shd w:val="clear" w:color="auto" w:fill="D9D9D9" w:themeFill="background1" w:themeFillShade="D9"/>
          </w:tcPr>
          <w:p w14:paraId="7EE83382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  <w:b/>
                <w:bCs/>
              </w:rPr>
            </w:pPr>
            <w:r w:rsidRPr="002C4510">
              <w:rPr>
                <w:rFonts w:eastAsia="Calibri"/>
                <w:b/>
                <w:bCs/>
              </w:rPr>
              <w:t>Genes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D0CF7DE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  <w:b/>
                <w:bCs/>
              </w:rPr>
            </w:pPr>
            <w:r w:rsidRPr="002C4510">
              <w:rPr>
                <w:rFonts w:eastAsia="Calibri"/>
                <w:b/>
                <w:bCs/>
              </w:rPr>
              <w:t>Impact on Breast Cancer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658DBA04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  <w:b/>
                <w:bCs/>
              </w:rPr>
            </w:pPr>
            <w:r w:rsidRPr="002C4510">
              <w:rPr>
                <w:rFonts w:eastAsia="Calibri"/>
                <w:b/>
                <w:bCs/>
              </w:rPr>
              <w:t>Breast Cancer subtype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09261867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  <w:b/>
                <w:bCs/>
              </w:rPr>
            </w:pPr>
            <w:r w:rsidRPr="002C4510">
              <w:rPr>
                <w:rFonts w:eastAsia="Calibri"/>
                <w:b/>
                <w:bCs/>
              </w:rPr>
              <w:t>Abstract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1582DEF1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  <w:b/>
                <w:bCs/>
              </w:rPr>
            </w:pPr>
            <w:r w:rsidRPr="002C4510">
              <w:rPr>
                <w:rFonts w:eastAsia="Calibri"/>
                <w:b/>
                <w:bCs/>
              </w:rPr>
              <w:t>Mechanism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58AF8DE1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  <w:b/>
                <w:bCs/>
              </w:rPr>
            </w:pPr>
            <w:r w:rsidRPr="002C4510">
              <w:rPr>
                <w:rFonts w:eastAsia="Calibri"/>
                <w:b/>
                <w:bCs/>
              </w:rPr>
              <w:t>DOI</w:t>
            </w:r>
          </w:p>
        </w:tc>
      </w:tr>
      <w:tr w:rsidR="0017569A" w:rsidRPr="002C4510" w14:paraId="49676658" w14:textId="77777777" w:rsidTr="00245068">
        <w:trPr>
          <w:trHeight w:val="92"/>
        </w:trPr>
        <w:tc>
          <w:tcPr>
            <w:tcW w:w="1260" w:type="dxa"/>
          </w:tcPr>
          <w:p w14:paraId="55965505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NDST1</w:t>
            </w:r>
          </w:p>
        </w:tc>
        <w:tc>
          <w:tcPr>
            <w:tcW w:w="1170" w:type="dxa"/>
          </w:tcPr>
          <w:p w14:paraId="03489496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1278E3F6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TNBC,</w:t>
            </w:r>
          </w:p>
          <w:p w14:paraId="42CE00F4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HER2</w:t>
            </w:r>
          </w:p>
        </w:tc>
        <w:tc>
          <w:tcPr>
            <w:tcW w:w="2610" w:type="dxa"/>
          </w:tcPr>
          <w:p w14:paraId="74075E0A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 xml:space="preserve">NDST1 overexpression could be a marker in TNBC. Unfavorable predictor for relapse-free survival in HER2+ patients.  </w:t>
            </w:r>
          </w:p>
        </w:tc>
        <w:tc>
          <w:tcPr>
            <w:tcW w:w="2340" w:type="dxa"/>
          </w:tcPr>
          <w:p w14:paraId="59AF97D3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Heparan sulfate biosynthesis, Angiogenesis process</w:t>
            </w:r>
          </w:p>
        </w:tc>
        <w:tc>
          <w:tcPr>
            <w:tcW w:w="3150" w:type="dxa"/>
          </w:tcPr>
          <w:p w14:paraId="40604C99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-10.1111/febs.13012</w:t>
            </w:r>
          </w:p>
        </w:tc>
      </w:tr>
      <w:tr w:rsidR="0017569A" w:rsidRPr="002C4510" w14:paraId="1CECD75B" w14:textId="77777777" w:rsidTr="00245068">
        <w:trPr>
          <w:trHeight w:val="92"/>
        </w:trPr>
        <w:tc>
          <w:tcPr>
            <w:tcW w:w="1260" w:type="dxa"/>
          </w:tcPr>
          <w:p w14:paraId="1ECE12DD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ZNF292</w:t>
            </w:r>
          </w:p>
        </w:tc>
        <w:tc>
          <w:tcPr>
            <w:tcW w:w="1170" w:type="dxa"/>
          </w:tcPr>
          <w:p w14:paraId="62B67A68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0D82C49F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HER2</w:t>
            </w:r>
          </w:p>
        </w:tc>
        <w:tc>
          <w:tcPr>
            <w:tcW w:w="2610" w:type="dxa"/>
          </w:tcPr>
          <w:p w14:paraId="6CBDBD42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ZNF292 overexpress in tumor samples. ZNF292 mutation is seen in HER2+ BC</w:t>
            </w:r>
          </w:p>
        </w:tc>
        <w:tc>
          <w:tcPr>
            <w:tcW w:w="2340" w:type="dxa"/>
          </w:tcPr>
          <w:p w14:paraId="46128157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Inhibition of tumor suppressors</w:t>
            </w:r>
          </w:p>
        </w:tc>
        <w:tc>
          <w:tcPr>
            <w:tcW w:w="3150" w:type="dxa"/>
          </w:tcPr>
          <w:p w14:paraId="4EF8C3E4" w14:textId="77777777" w:rsidR="0017569A" w:rsidRPr="002C4510" w:rsidRDefault="0017569A" w:rsidP="005F6BB0">
            <w:pPr>
              <w:rPr>
                <w:rFonts w:eastAsia="Calibri"/>
              </w:rPr>
            </w:pPr>
            <w:r w:rsidRPr="002C4510">
              <w:rPr>
                <w:rFonts w:eastAsia="Calibri"/>
              </w:rPr>
              <w:t>-10.18632/aging.103806</w:t>
            </w:r>
          </w:p>
          <w:p w14:paraId="387FE123" w14:textId="77777777" w:rsidR="0017569A" w:rsidRPr="002C4510" w:rsidRDefault="0017569A" w:rsidP="005F6BB0">
            <w:pPr>
              <w:rPr>
                <w:rFonts w:eastAsia="Calibri"/>
              </w:rPr>
            </w:pPr>
          </w:p>
        </w:tc>
      </w:tr>
      <w:tr w:rsidR="0017569A" w:rsidRPr="002C4510" w14:paraId="08CD41A9" w14:textId="77777777" w:rsidTr="00245068">
        <w:trPr>
          <w:trHeight w:val="92"/>
        </w:trPr>
        <w:tc>
          <w:tcPr>
            <w:tcW w:w="1260" w:type="dxa"/>
          </w:tcPr>
          <w:p w14:paraId="450E7727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PGK1</w:t>
            </w:r>
          </w:p>
        </w:tc>
        <w:tc>
          <w:tcPr>
            <w:tcW w:w="1170" w:type="dxa"/>
          </w:tcPr>
          <w:p w14:paraId="56FDFCBE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68D5DC3D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HER2, TNBC</w:t>
            </w:r>
          </w:p>
        </w:tc>
        <w:tc>
          <w:tcPr>
            <w:tcW w:w="2610" w:type="dxa"/>
          </w:tcPr>
          <w:p w14:paraId="6F6EFA7B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PGK-1 overexpression is associated with poor prognosis</w:t>
            </w:r>
          </w:p>
        </w:tc>
        <w:tc>
          <w:tcPr>
            <w:tcW w:w="2340" w:type="dxa"/>
          </w:tcPr>
          <w:p w14:paraId="0F8C3739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Angiogenesis process</w:t>
            </w:r>
          </w:p>
        </w:tc>
        <w:tc>
          <w:tcPr>
            <w:tcW w:w="3150" w:type="dxa"/>
          </w:tcPr>
          <w:p w14:paraId="112F46F9" w14:textId="77777777" w:rsidR="0017569A" w:rsidRPr="002C4510" w:rsidRDefault="0017569A" w:rsidP="005F6BB0">
            <w:pPr>
              <w:rPr>
                <w:rFonts w:eastAsia="Calibri"/>
              </w:rPr>
            </w:pPr>
            <w:r w:rsidRPr="002C4510">
              <w:rPr>
                <w:rFonts w:eastAsia="Calibri"/>
              </w:rPr>
              <w:t>-10.1016/j.heliyon.2023.e13294</w:t>
            </w:r>
          </w:p>
          <w:p w14:paraId="5DC279F3" w14:textId="77777777" w:rsidR="0017569A" w:rsidRPr="002C4510" w:rsidRDefault="0017569A" w:rsidP="005F6BB0">
            <w:pPr>
              <w:rPr>
                <w:rFonts w:eastAsia="Calibri"/>
              </w:rPr>
            </w:pPr>
            <w:r w:rsidRPr="002C4510">
              <w:rPr>
                <w:rFonts w:eastAsia="Calibri"/>
              </w:rPr>
              <w:t>-10.3389/fmolb.2021.695420</w:t>
            </w:r>
          </w:p>
        </w:tc>
      </w:tr>
      <w:tr w:rsidR="0017569A" w:rsidRPr="002C4510" w14:paraId="7619553E" w14:textId="77777777" w:rsidTr="00245068">
        <w:trPr>
          <w:trHeight w:val="92"/>
        </w:trPr>
        <w:tc>
          <w:tcPr>
            <w:tcW w:w="1260" w:type="dxa"/>
          </w:tcPr>
          <w:p w14:paraId="455CB6D4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ATP7A</w:t>
            </w:r>
          </w:p>
        </w:tc>
        <w:tc>
          <w:tcPr>
            <w:tcW w:w="1170" w:type="dxa"/>
          </w:tcPr>
          <w:p w14:paraId="10DEB2F8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4A84804D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HER2, TNBC</w:t>
            </w:r>
          </w:p>
        </w:tc>
        <w:tc>
          <w:tcPr>
            <w:tcW w:w="2610" w:type="dxa"/>
          </w:tcPr>
          <w:p w14:paraId="583AEA41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ATP7A overexpression is associated with drug resistance and poorer prognosis in TNBC and HER2+</w:t>
            </w:r>
          </w:p>
        </w:tc>
        <w:tc>
          <w:tcPr>
            <w:tcW w:w="2340" w:type="dxa"/>
          </w:tcPr>
          <w:p w14:paraId="6739A91C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Angiogenesis process</w:t>
            </w:r>
          </w:p>
        </w:tc>
        <w:tc>
          <w:tcPr>
            <w:tcW w:w="3150" w:type="dxa"/>
          </w:tcPr>
          <w:p w14:paraId="2A198DC9" w14:textId="77777777" w:rsidR="0017569A" w:rsidRPr="002C4510" w:rsidRDefault="0017569A" w:rsidP="005F6BB0">
            <w:pPr>
              <w:rPr>
                <w:rFonts w:eastAsia="Calibri"/>
              </w:rPr>
            </w:pPr>
            <w:r w:rsidRPr="002C4510">
              <w:rPr>
                <w:rFonts w:eastAsia="Calibri"/>
              </w:rPr>
              <w:t>-10.1002/ctm2.19</w:t>
            </w:r>
          </w:p>
          <w:p w14:paraId="3161201A" w14:textId="77777777" w:rsidR="0017569A" w:rsidRPr="002C4510" w:rsidRDefault="0017569A" w:rsidP="005F6BB0">
            <w:pPr>
              <w:rPr>
                <w:rFonts w:eastAsia="Calibri"/>
              </w:rPr>
            </w:pPr>
            <w:r w:rsidRPr="002C4510">
              <w:rPr>
                <w:rFonts w:eastAsia="Calibri"/>
              </w:rPr>
              <w:t>-10.3389/fimmu.2023.1145080</w:t>
            </w:r>
          </w:p>
        </w:tc>
      </w:tr>
      <w:tr w:rsidR="0017569A" w:rsidRPr="002C4510" w14:paraId="1FF513F5" w14:textId="77777777" w:rsidTr="00245068">
        <w:trPr>
          <w:trHeight w:val="2939"/>
        </w:trPr>
        <w:tc>
          <w:tcPr>
            <w:tcW w:w="1260" w:type="dxa"/>
          </w:tcPr>
          <w:p w14:paraId="44E81685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MAP3K1</w:t>
            </w:r>
          </w:p>
        </w:tc>
        <w:tc>
          <w:tcPr>
            <w:tcW w:w="1170" w:type="dxa"/>
          </w:tcPr>
          <w:p w14:paraId="16B4D4D8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325624DB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TNBC, ER+, HER2+, Luminal A</w:t>
            </w:r>
          </w:p>
        </w:tc>
        <w:tc>
          <w:tcPr>
            <w:tcW w:w="2610" w:type="dxa"/>
          </w:tcPr>
          <w:p w14:paraId="2DD0BCDA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MAP3K1 overexpression is associated with poorer prognosis in TNBC and ER+ cases.</w:t>
            </w:r>
          </w:p>
        </w:tc>
        <w:tc>
          <w:tcPr>
            <w:tcW w:w="2340" w:type="dxa"/>
          </w:tcPr>
          <w:p w14:paraId="3BE9C220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Stimulation of cell proliferation and escape from apoptosis.</w:t>
            </w:r>
          </w:p>
        </w:tc>
        <w:tc>
          <w:tcPr>
            <w:tcW w:w="3150" w:type="dxa"/>
          </w:tcPr>
          <w:p w14:paraId="11C911AE" w14:textId="77777777" w:rsidR="0017569A" w:rsidRPr="002C4510" w:rsidRDefault="0017569A" w:rsidP="005F6BB0">
            <w:pPr>
              <w:rPr>
                <w:rFonts w:eastAsia="Calibri"/>
              </w:rPr>
            </w:pPr>
            <w:r w:rsidRPr="002C4510">
              <w:rPr>
                <w:rFonts w:eastAsia="Calibri"/>
              </w:rPr>
              <w:t>-10.1371/journal.pone.0238262</w:t>
            </w:r>
          </w:p>
          <w:p w14:paraId="69B801B2" w14:textId="77777777" w:rsidR="0017569A" w:rsidRPr="002C4510" w:rsidRDefault="0017569A" w:rsidP="005F6BB0">
            <w:pPr>
              <w:rPr>
                <w:rFonts w:eastAsia="Calibri"/>
              </w:rPr>
            </w:pPr>
            <w:r w:rsidRPr="002C4510">
              <w:rPr>
                <w:rFonts w:eastAsia="Calibri"/>
              </w:rPr>
              <w:t>-10.1093/</w:t>
            </w:r>
            <w:proofErr w:type="spellStart"/>
            <w:r w:rsidRPr="002C4510">
              <w:rPr>
                <w:rFonts w:eastAsia="Calibri"/>
              </w:rPr>
              <w:t>annonc</w:t>
            </w:r>
            <w:proofErr w:type="spellEnd"/>
            <w:r w:rsidRPr="002C4510">
              <w:rPr>
                <w:rFonts w:eastAsia="Calibri"/>
              </w:rPr>
              <w:t>/mdw363.57</w:t>
            </w:r>
          </w:p>
          <w:p w14:paraId="5326006D" w14:textId="77777777" w:rsidR="0017569A" w:rsidRPr="002C4510" w:rsidRDefault="0017569A" w:rsidP="005F6BB0">
            <w:pPr>
              <w:rPr>
                <w:rFonts w:eastAsia="Calibri"/>
              </w:rPr>
            </w:pPr>
            <w:r w:rsidRPr="002C4510">
              <w:rPr>
                <w:rFonts w:eastAsia="Calibri"/>
              </w:rPr>
              <w:t>-10.1007/s13402-023-00805-w</w:t>
            </w:r>
          </w:p>
          <w:p w14:paraId="73EB2B9D" w14:textId="77777777" w:rsidR="0017569A" w:rsidRPr="002C4510" w:rsidRDefault="0017569A" w:rsidP="005F6BB0">
            <w:pPr>
              <w:rPr>
                <w:rFonts w:eastAsia="Calibri"/>
              </w:rPr>
            </w:pPr>
            <w:r w:rsidRPr="002C4510">
              <w:rPr>
                <w:rFonts w:eastAsia="Calibri"/>
              </w:rPr>
              <w:t>-10.1093/</w:t>
            </w:r>
            <w:proofErr w:type="spellStart"/>
            <w:r w:rsidRPr="002C4510">
              <w:rPr>
                <w:rFonts w:eastAsia="Calibri"/>
              </w:rPr>
              <w:t>annonc</w:t>
            </w:r>
            <w:proofErr w:type="spellEnd"/>
            <w:r w:rsidRPr="002C4510">
              <w:rPr>
                <w:rFonts w:eastAsia="Calibri"/>
              </w:rPr>
              <w:t>/mdx424.049</w:t>
            </w:r>
          </w:p>
        </w:tc>
      </w:tr>
      <w:tr w:rsidR="0017569A" w:rsidRPr="002C4510" w14:paraId="2BDDE99E" w14:textId="77777777" w:rsidTr="00245068">
        <w:trPr>
          <w:trHeight w:val="1639"/>
        </w:trPr>
        <w:tc>
          <w:tcPr>
            <w:tcW w:w="1260" w:type="dxa"/>
          </w:tcPr>
          <w:p w14:paraId="0652EDFD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WSB1</w:t>
            </w:r>
          </w:p>
        </w:tc>
        <w:tc>
          <w:tcPr>
            <w:tcW w:w="1170" w:type="dxa"/>
          </w:tcPr>
          <w:p w14:paraId="3680C200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049F5198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TNBC</w:t>
            </w:r>
          </w:p>
        </w:tc>
        <w:tc>
          <w:tcPr>
            <w:tcW w:w="2610" w:type="dxa"/>
          </w:tcPr>
          <w:p w14:paraId="6F09F4A8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WSB1 is associated with development of distant metastasis in hormone negative breast cancers.</w:t>
            </w:r>
          </w:p>
        </w:tc>
        <w:tc>
          <w:tcPr>
            <w:tcW w:w="2340" w:type="dxa"/>
          </w:tcPr>
          <w:p w14:paraId="6BFBB2F6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Angiogenesis process.</w:t>
            </w:r>
          </w:p>
          <w:p w14:paraId="320D70CB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Resistance to apoptosis</w:t>
            </w:r>
          </w:p>
        </w:tc>
        <w:tc>
          <w:tcPr>
            <w:tcW w:w="3150" w:type="dxa"/>
          </w:tcPr>
          <w:p w14:paraId="48ACE51A" w14:textId="77777777" w:rsidR="0017569A" w:rsidRPr="002C4510" w:rsidRDefault="0017569A" w:rsidP="005F6BB0">
            <w:pPr>
              <w:rPr>
                <w:rFonts w:eastAsia="Calibri"/>
              </w:rPr>
            </w:pPr>
            <w:r w:rsidRPr="002C4510">
              <w:rPr>
                <w:rFonts w:eastAsia="Calibri"/>
              </w:rPr>
              <w:t>-10.1038/s41416-018-0056-3</w:t>
            </w:r>
          </w:p>
        </w:tc>
      </w:tr>
      <w:tr w:rsidR="00245068" w:rsidRPr="002C4510" w14:paraId="52F0F56C" w14:textId="77777777" w:rsidTr="00245068">
        <w:trPr>
          <w:trHeight w:val="1639"/>
        </w:trPr>
        <w:tc>
          <w:tcPr>
            <w:tcW w:w="1260" w:type="dxa"/>
          </w:tcPr>
          <w:p w14:paraId="37F5A143" w14:textId="133166D2" w:rsidR="00245068" w:rsidRPr="002C4510" w:rsidRDefault="00245068" w:rsidP="00245068">
            <w:pPr>
              <w:rPr>
                <w:rFonts w:eastAsia="Calibri"/>
              </w:rPr>
            </w:pPr>
            <w:r w:rsidRPr="00245068">
              <w:rPr>
                <w:rFonts w:eastAsia="Calibri"/>
              </w:rPr>
              <w:lastRenderedPageBreak/>
              <w:t>XPNPEP1</w:t>
            </w:r>
          </w:p>
        </w:tc>
        <w:tc>
          <w:tcPr>
            <w:tcW w:w="1170" w:type="dxa"/>
          </w:tcPr>
          <w:p w14:paraId="65384BBF" w14:textId="3F73EBD8" w:rsidR="00245068" w:rsidRPr="00ED7984" w:rsidRDefault="007E31FC" w:rsidP="005F6BB0">
            <w:pPr>
              <w:rPr>
                <w:rFonts w:eastAsia="Calibri"/>
              </w:rPr>
            </w:pPr>
            <w:r w:rsidRPr="00ED7984">
              <w:rPr>
                <w:rFonts w:eastAsia="Calibri"/>
              </w:rPr>
              <w:t>No</w:t>
            </w:r>
          </w:p>
        </w:tc>
        <w:tc>
          <w:tcPr>
            <w:tcW w:w="1260" w:type="dxa"/>
          </w:tcPr>
          <w:p w14:paraId="3BBED85F" w14:textId="4A8D16A8" w:rsidR="00245068" w:rsidRPr="002C4510" w:rsidRDefault="00E9680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610" w:type="dxa"/>
          </w:tcPr>
          <w:p w14:paraId="237F8343" w14:textId="21AB02B3" w:rsidR="00245068" w:rsidRPr="002C4510" w:rsidRDefault="00E9680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340" w:type="dxa"/>
          </w:tcPr>
          <w:p w14:paraId="6DDB7781" w14:textId="3893546F" w:rsidR="00245068" w:rsidRPr="002C4510" w:rsidRDefault="00E9680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3150" w:type="dxa"/>
          </w:tcPr>
          <w:p w14:paraId="17848BB9" w14:textId="071B0423" w:rsidR="00245068" w:rsidRPr="002C4510" w:rsidRDefault="00E9680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17569A" w:rsidRPr="002C4510" w14:paraId="129F41A2" w14:textId="77777777" w:rsidTr="00245068">
        <w:trPr>
          <w:trHeight w:val="1454"/>
        </w:trPr>
        <w:tc>
          <w:tcPr>
            <w:tcW w:w="1260" w:type="dxa"/>
          </w:tcPr>
          <w:p w14:paraId="7B581DB3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HK2</w:t>
            </w:r>
          </w:p>
        </w:tc>
        <w:tc>
          <w:tcPr>
            <w:tcW w:w="1170" w:type="dxa"/>
          </w:tcPr>
          <w:p w14:paraId="7E784AEB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67DF12FA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Luminal B, TNBC</w:t>
            </w:r>
          </w:p>
        </w:tc>
        <w:tc>
          <w:tcPr>
            <w:tcW w:w="2610" w:type="dxa"/>
          </w:tcPr>
          <w:p w14:paraId="73E7F987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HK2 has an important role in cell proliferation of tumor and distant metastasis</w:t>
            </w:r>
          </w:p>
        </w:tc>
        <w:tc>
          <w:tcPr>
            <w:tcW w:w="2340" w:type="dxa"/>
          </w:tcPr>
          <w:p w14:paraId="255CA1C9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Cell energy and glycolysis process. Cell proliferation process</w:t>
            </w:r>
          </w:p>
        </w:tc>
        <w:tc>
          <w:tcPr>
            <w:tcW w:w="3150" w:type="dxa"/>
          </w:tcPr>
          <w:p w14:paraId="6DB76BAA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-10.3390/genes13030549</w:t>
            </w:r>
          </w:p>
          <w:p w14:paraId="30AA5C2F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-10.1007/s11033-021-06414-w</w:t>
            </w:r>
          </w:p>
        </w:tc>
      </w:tr>
      <w:tr w:rsidR="0017569A" w:rsidRPr="002C4510" w14:paraId="10B73F1E" w14:textId="77777777" w:rsidTr="00245068">
        <w:trPr>
          <w:trHeight w:val="950"/>
        </w:trPr>
        <w:tc>
          <w:tcPr>
            <w:tcW w:w="1260" w:type="dxa"/>
          </w:tcPr>
          <w:p w14:paraId="02A58D11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GBE1</w:t>
            </w:r>
          </w:p>
        </w:tc>
        <w:tc>
          <w:tcPr>
            <w:tcW w:w="1170" w:type="dxa"/>
          </w:tcPr>
          <w:p w14:paraId="242174E8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328EB6CF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TNBC</w:t>
            </w:r>
          </w:p>
        </w:tc>
        <w:tc>
          <w:tcPr>
            <w:tcW w:w="2610" w:type="dxa"/>
          </w:tcPr>
          <w:p w14:paraId="2807FB77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GBE1 expression promotes tumor progression through metabolism reprogramming.</w:t>
            </w:r>
          </w:p>
        </w:tc>
        <w:tc>
          <w:tcPr>
            <w:tcW w:w="2340" w:type="dxa"/>
          </w:tcPr>
          <w:p w14:paraId="5546DD05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Cell proliferation process.</w:t>
            </w:r>
          </w:p>
          <w:p w14:paraId="1A99EC06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Inhibition of anti-tumor immunity.</w:t>
            </w:r>
          </w:p>
        </w:tc>
        <w:tc>
          <w:tcPr>
            <w:tcW w:w="3150" w:type="dxa"/>
          </w:tcPr>
          <w:p w14:paraId="1E00688A" w14:textId="77777777" w:rsidR="0017569A" w:rsidRPr="002878B4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878B4">
              <w:rPr>
                <w:rFonts w:eastAsia="Calibri"/>
              </w:rPr>
              <w:t>-10.1186/s13046-023-02715-z</w:t>
            </w:r>
          </w:p>
        </w:tc>
      </w:tr>
      <w:tr w:rsidR="0017569A" w:rsidRPr="002C4510" w14:paraId="27B92F83" w14:textId="77777777" w:rsidTr="00245068">
        <w:trPr>
          <w:trHeight w:val="92"/>
        </w:trPr>
        <w:tc>
          <w:tcPr>
            <w:tcW w:w="1260" w:type="dxa"/>
          </w:tcPr>
          <w:p w14:paraId="60FD123A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BNIP3L</w:t>
            </w:r>
          </w:p>
        </w:tc>
        <w:tc>
          <w:tcPr>
            <w:tcW w:w="1170" w:type="dxa"/>
          </w:tcPr>
          <w:p w14:paraId="67B11AFA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1064D5D8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TNBC</w:t>
            </w:r>
          </w:p>
        </w:tc>
        <w:tc>
          <w:tcPr>
            <w:tcW w:w="2610" w:type="dxa"/>
          </w:tcPr>
          <w:p w14:paraId="076C7DF6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The BNIP3L gene is integral to the progression of TNBC through its regulation of autophagy and its association with hypoxic conditions.</w:t>
            </w:r>
          </w:p>
        </w:tc>
        <w:tc>
          <w:tcPr>
            <w:tcW w:w="2340" w:type="dxa"/>
          </w:tcPr>
          <w:p w14:paraId="68290C93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Promoting autophagy and influencing tumor growth dynamics.</w:t>
            </w:r>
          </w:p>
          <w:p w14:paraId="09D444D0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</w:p>
        </w:tc>
        <w:tc>
          <w:tcPr>
            <w:tcW w:w="3150" w:type="dxa"/>
          </w:tcPr>
          <w:p w14:paraId="2F609822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- 10.1080/21655979.2022.2036399</w:t>
            </w:r>
          </w:p>
        </w:tc>
      </w:tr>
      <w:tr w:rsidR="0017569A" w:rsidRPr="002C4510" w14:paraId="00E460E4" w14:textId="77777777" w:rsidTr="00245068">
        <w:trPr>
          <w:trHeight w:val="92"/>
        </w:trPr>
        <w:tc>
          <w:tcPr>
            <w:tcW w:w="1260" w:type="dxa"/>
          </w:tcPr>
          <w:p w14:paraId="0660824B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KIF5</w:t>
            </w:r>
          </w:p>
        </w:tc>
        <w:tc>
          <w:tcPr>
            <w:tcW w:w="1170" w:type="dxa"/>
          </w:tcPr>
          <w:p w14:paraId="3F733895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424E94F4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Basal-like, TNBC</w:t>
            </w:r>
          </w:p>
        </w:tc>
        <w:tc>
          <w:tcPr>
            <w:tcW w:w="2610" w:type="dxa"/>
          </w:tcPr>
          <w:p w14:paraId="5BB532E6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 xml:space="preserve">KIFs may induce chemotherapy resistance in breast cancer  </w:t>
            </w:r>
          </w:p>
        </w:tc>
        <w:tc>
          <w:tcPr>
            <w:tcW w:w="2340" w:type="dxa"/>
          </w:tcPr>
          <w:p w14:paraId="516E8EB9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Abnormal mitotic behavior.</w:t>
            </w:r>
          </w:p>
        </w:tc>
        <w:tc>
          <w:tcPr>
            <w:tcW w:w="3150" w:type="dxa"/>
          </w:tcPr>
          <w:p w14:paraId="19664200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-10.1007/s10549-011-1500-8</w:t>
            </w:r>
          </w:p>
          <w:p w14:paraId="02FEB7F8" w14:textId="77777777" w:rsidR="0017569A" w:rsidRPr="002C4510" w:rsidRDefault="0017569A" w:rsidP="005F6BB0">
            <w:pPr>
              <w:spacing w:after="160" w:line="259" w:lineRule="auto"/>
              <w:rPr>
                <w:rFonts w:eastAsia="Calibri"/>
              </w:rPr>
            </w:pPr>
            <w:r w:rsidRPr="002C4510">
              <w:rPr>
                <w:rFonts w:eastAsia="Calibri"/>
              </w:rPr>
              <w:t>-10.3389/fonc.2021.746763</w:t>
            </w:r>
          </w:p>
        </w:tc>
      </w:tr>
      <w:tr w:rsidR="00E9680D" w:rsidRPr="002C4510" w14:paraId="028A0AC4" w14:textId="77777777" w:rsidTr="00E9680D">
        <w:trPr>
          <w:trHeight w:val="728"/>
        </w:trPr>
        <w:tc>
          <w:tcPr>
            <w:tcW w:w="1260" w:type="dxa"/>
          </w:tcPr>
          <w:p w14:paraId="7C552EC9" w14:textId="5B067E64" w:rsidR="00E9680D" w:rsidRPr="002C4510" w:rsidRDefault="00E9680D" w:rsidP="005F6BB0">
            <w:pPr>
              <w:rPr>
                <w:rFonts w:eastAsia="Calibri"/>
              </w:rPr>
            </w:pPr>
            <w:r w:rsidRPr="00E9680D">
              <w:rPr>
                <w:rFonts w:eastAsia="Calibri"/>
              </w:rPr>
              <w:t>BCAN</w:t>
            </w:r>
          </w:p>
        </w:tc>
        <w:tc>
          <w:tcPr>
            <w:tcW w:w="1170" w:type="dxa"/>
          </w:tcPr>
          <w:p w14:paraId="6AF0C1F7" w14:textId="32804686" w:rsidR="00E9680D" w:rsidRPr="002C4510" w:rsidRDefault="007E31FC" w:rsidP="005F6BB0">
            <w:pPr>
              <w:rPr>
                <w:rFonts w:eastAsia="Calibri"/>
              </w:rPr>
            </w:pPr>
            <w:r w:rsidRPr="00A533B0">
              <w:rPr>
                <w:rFonts w:eastAsia="Calibri"/>
              </w:rPr>
              <w:t>No</w:t>
            </w:r>
          </w:p>
        </w:tc>
        <w:tc>
          <w:tcPr>
            <w:tcW w:w="1260" w:type="dxa"/>
          </w:tcPr>
          <w:p w14:paraId="314DFEC4" w14:textId="0DB75B6B" w:rsidR="00E9680D" w:rsidRPr="002C4510" w:rsidRDefault="0010565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610" w:type="dxa"/>
          </w:tcPr>
          <w:p w14:paraId="18337D8C" w14:textId="4E3AC919" w:rsidR="00E9680D" w:rsidRPr="002C4510" w:rsidRDefault="0010565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340" w:type="dxa"/>
          </w:tcPr>
          <w:p w14:paraId="0A641D42" w14:textId="4041AAE2" w:rsidR="00E9680D" w:rsidRPr="002C4510" w:rsidRDefault="0010565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3150" w:type="dxa"/>
          </w:tcPr>
          <w:p w14:paraId="3DC325B3" w14:textId="32458209" w:rsidR="00E9680D" w:rsidRPr="002C4510" w:rsidRDefault="0010565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E9680D" w:rsidRPr="002C4510" w14:paraId="38380FB4" w14:textId="77777777" w:rsidTr="00E9680D">
        <w:trPr>
          <w:trHeight w:val="692"/>
        </w:trPr>
        <w:tc>
          <w:tcPr>
            <w:tcW w:w="1260" w:type="dxa"/>
          </w:tcPr>
          <w:p w14:paraId="5B97A7A2" w14:textId="23E9F9D2" w:rsidR="00E9680D" w:rsidRPr="002C4510" w:rsidRDefault="00E9680D" w:rsidP="005F6BB0">
            <w:pPr>
              <w:rPr>
                <w:rFonts w:eastAsia="Calibri"/>
              </w:rPr>
            </w:pPr>
            <w:r w:rsidRPr="00E9680D">
              <w:rPr>
                <w:rFonts w:eastAsia="Calibri"/>
              </w:rPr>
              <w:t>MT2A</w:t>
            </w:r>
          </w:p>
        </w:tc>
        <w:tc>
          <w:tcPr>
            <w:tcW w:w="1170" w:type="dxa"/>
          </w:tcPr>
          <w:p w14:paraId="6406E6F6" w14:textId="67FF279E" w:rsidR="00E9680D" w:rsidRPr="002C4510" w:rsidRDefault="0075055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Yes </w:t>
            </w:r>
          </w:p>
        </w:tc>
        <w:tc>
          <w:tcPr>
            <w:tcW w:w="1260" w:type="dxa"/>
          </w:tcPr>
          <w:p w14:paraId="77D767E5" w14:textId="58DF6C49" w:rsidR="00E9680D" w:rsidRPr="002C4510" w:rsidRDefault="00722D66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Metastatic BC</w:t>
            </w:r>
          </w:p>
        </w:tc>
        <w:tc>
          <w:tcPr>
            <w:tcW w:w="2610" w:type="dxa"/>
          </w:tcPr>
          <w:p w14:paraId="1DB9B80D" w14:textId="088CB22A" w:rsidR="00E9680D" w:rsidRPr="002C4510" w:rsidRDefault="00722D66" w:rsidP="005F6BB0">
            <w:pPr>
              <w:rPr>
                <w:rFonts w:eastAsia="Calibri"/>
              </w:rPr>
            </w:pPr>
            <w:r w:rsidRPr="00722D66">
              <w:rPr>
                <w:rFonts w:eastAsia="Calibri"/>
              </w:rPr>
              <w:t xml:space="preserve">SNP in MT2A is associated with </w:t>
            </w:r>
            <w:r>
              <w:rPr>
                <w:rFonts w:eastAsia="Calibri"/>
              </w:rPr>
              <w:t xml:space="preserve">the risk of breast cancer in the </w:t>
            </w:r>
            <w:r w:rsidRPr="00722D66">
              <w:rPr>
                <w:rFonts w:eastAsia="Calibri"/>
              </w:rPr>
              <w:t>Polish population.</w:t>
            </w:r>
          </w:p>
        </w:tc>
        <w:tc>
          <w:tcPr>
            <w:tcW w:w="2340" w:type="dxa"/>
          </w:tcPr>
          <w:p w14:paraId="78D687F0" w14:textId="04D70DE0" w:rsidR="00E9680D" w:rsidRPr="002C4510" w:rsidRDefault="00722D66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A</w:t>
            </w:r>
            <w:r w:rsidRPr="00722D66">
              <w:rPr>
                <w:rFonts w:eastAsia="Calibri"/>
              </w:rPr>
              <w:t>bsorb the heavy metals</w:t>
            </w:r>
          </w:p>
        </w:tc>
        <w:tc>
          <w:tcPr>
            <w:tcW w:w="3150" w:type="dxa"/>
          </w:tcPr>
          <w:p w14:paraId="5929EB63" w14:textId="214524D9" w:rsidR="00E9680D" w:rsidRPr="002C4510" w:rsidRDefault="00722D66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Pr="00722D66">
              <w:rPr>
                <w:rFonts w:eastAsia="Calibri"/>
              </w:rPr>
              <w:t>10.1007/s10238-012-0215-4</w:t>
            </w:r>
          </w:p>
        </w:tc>
      </w:tr>
      <w:tr w:rsidR="00E9680D" w:rsidRPr="002C4510" w14:paraId="2AE23EB7" w14:textId="77777777" w:rsidTr="00E9680D">
        <w:trPr>
          <w:trHeight w:val="998"/>
        </w:trPr>
        <w:tc>
          <w:tcPr>
            <w:tcW w:w="1260" w:type="dxa"/>
          </w:tcPr>
          <w:p w14:paraId="59ED7729" w14:textId="0D11F746" w:rsidR="00E9680D" w:rsidRPr="00E9680D" w:rsidRDefault="00E9680D" w:rsidP="005F6BB0">
            <w:pPr>
              <w:rPr>
                <w:rFonts w:eastAsia="Calibri"/>
              </w:rPr>
            </w:pPr>
            <w:r w:rsidRPr="00E9680D">
              <w:rPr>
                <w:rFonts w:eastAsia="Calibri"/>
              </w:rPr>
              <w:t>IGFBP3</w:t>
            </w:r>
          </w:p>
        </w:tc>
        <w:tc>
          <w:tcPr>
            <w:tcW w:w="1170" w:type="dxa"/>
          </w:tcPr>
          <w:p w14:paraId="060142BB" w14:textId="55C20903" w:rsidR="00E9680D" w:rsidRPr="002C4510" w:rsidRDefault="0075055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Yes</w:t>
            </w:r>
          </w:p>
        </w:tc>
        <w:tc>
          <w:tcPr>
            <w:tcW w:w="1260" w:type="dxa"/>
          </w:tcPr>
          <w:p w14:paraId="7969A372" w14:textId="52C63661" w:rsidR="00E9680D" w:rsidRPr="002C4510" w:rsidRDefault="0075055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TNBC</w:t>
            </w:r>
          </w:p>
        </w:tc>
        <w:tc>
          <w:tcPr>
            <w:tcW w:w="2610" w:type="dxa"/>
          </w:tcPr>
          <w:p w14:paraId="64B0505C" w14:textId="54227C2F" w:rsidR="0075055D" w:rsidRPr="002C4510" w:rsidRDefault="0075055D" w:rsidP="005F6BB0">
            <w:pPr>
              <w:rPr>
                <w:rFonts w:eastAsia="Calibri"/>
              </w:rPr>
            </w:pPr>
            <w:r w:rsidRPr="0075055D">
              <w:rPr>
                <w:rFonts w:eastAsia="Calibri"/>
              </w:rPr>
              <w:t>Nuclear IGFBP-3 appears to have potential as a prognostic marker in TNBC and could be evaluated for clinical utility</w:t>
            </w:r>
          </w:p>
        </w:tc>
        <w:tc>
          <w:tcPr>
            <w:tcW w:w="2340" w:type="dxa"/>
          </w:tcPr>
          <w:p w14:paraId="1BCF1D11" w14:textId="77777777" w:rsidR="00E9680D" w:rsidRDefault="0075055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P</w:t>
            </w:r>
            <w:r w:rsidRPr="0075055D">
              <w:rPr>
                <w:rFonts w:eastAsia="Calibri"/>
              </w:rPr>
              <w:t>aracrine effect on cell behavior</w:t>
            </w:r>
          </w:p>
          <w:p w14:paraId="152FF369" w14:textId="77777777" w:rsidR="0075055D" w:rsidRDefault="0075055D" w:rsidP="005F6BB0">
            <w:pPr>
              <w:rPr>
                <w:rFonts w:eastAsia="Calibri"/>
              </w:rPr>
            </w:pPr>
          </w:p>
          <w:p w14:paraId="706215D6" w14:textId="77777777" w:rsidR="0075055D" w:rsidRDefault="0075055D" w:rsidP="005F6BB0">
            <w:pPr>
              <w:rPr>
                <w:rFonts w:eastAsia="Calibri"/>
              </w:rPr>
            </w:pPr>
          </w:p>
          <w:p w14:paraId="7CCA9D62" w14:textId="77777777" w:rsidR="0075055D" w:rsidRDefault="0075055D" w:rsidP="005F6BB0">
            <w:pPr>
              <w:rPr>
                <w:rFonts w:eastAsia="Calibri"/>
              </w:rPr>
            </w:pPr>
          </w:p>
          <w:p w14:paraId="4523FDB8" w14:textId="77777777" w:rsidR="0075055D" w:rsidRDefault="0075055D" w:rsidP="005F6BB0">
            <w:pPr>
              <w:rPr>
                <w:rFonts w:eastAsia="Calibri"/>
              </w:rPr>
            </w:pPr>
          </w:p>
          <w:p w14:paraId="5B07D4AD" w14:textId="1D0DB452" w:rsidR="0075055D" w:rsidRPr="002C4510" w:rsidRDefault="0075055D" w:rsidP="005F6BB0">
            <w:pPr>
              <w:rPr>
                <w:rFonts w:eastAsia="Calibri"/>
              </w:rPr>
            </w:pPr>
          </w:p>
        </w:tc>
        <w:tc>
          <w:tcPr>
            <w:tcW w:w="3150" w:type="dxa"/>
          </w:tcPr>
          <w:p w14:paraId="5676E955" w14:textId="0E4A4859" w:rsidR="00E9680D" w:rsidRPr="002C4510" w:rsidRDefault="0075055D" w:rsidP="005F6BB0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Pr="0075055D">
              <w:rPr>
                <w:rFonts w:eastAsia="Calibri"/>
              </w:rPr>
              <w:t>10.3389/fendo.2018.00120</w:t>
            </w:r>
          </w:p>
        </w:tc>
      </w:tr>
    </w:tbl>
    <w:p w14:paraId="078EE655" w14:textId="77777777" w:rsidR="00C63380" w:rsidRDefault="00C63380"/>
    <w:p w14:paraId="10377EE5" w14:textId="77777777" w:rsidR="00245068" w:rsidRDefault="00245068"/>
    <w:p w14:paraId="55FC7935" w14:textId="40386B25" w:rsidR="00624318" w:rsidRPr="00A533B0" w:rsidRDefault="00A533B0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bdr w:val="none" w:sz="0" w:space="0" w:color="auto" w:frame="1"/>
          <w14:ligatures w14:val="none"/>
        </w:rPr>
      </w:pPr>
      <w:r w:rsidRPr="00A533B0">
        <w:rPr>
          <w:rFonts w:asciiTheme="majorBidi" w:eastAsia="Times New Roman" w:hAnsiTheme="majorBidi" w:cstheme="majorBidi"/>
          <w:b/>
          <w:bCs/>
          <w:color w:val="000000"/>
          <w:kern w:val="0"/>
          <w:sz w:val="24"/>
          <w:szCs w:val="24"/>
          <w:bdr w:val="none" w:sz="0" w:space="0" w:color="auto" w:frame="1"/>
          <w14:ligatures w14:val="none"/>
        </w:rPr>
        <w:lastRenderedPageBreak/>
        <w:t xml:space="preserve">Table 2. </w:t>
      </w:r>
      <w:r w:rsidR="00624318" w:rsidRPr="00A533B0">
        <w:rPr>
          <w:rFonts w:asciiTheme="majorBidi" w:eastAsia="Times New Roman" w:hAnsiTheme="majorBidi" w:cstheme="majorBidi"/>
          <w:color w:val="000000"/>
          <w:kern w:val="0"/>
          <w:sz w:val="24"/>
          <w:szCs w:val="24"/>
          <w:bdr w:val="none" w:sz="0" w:space="0" w:color="auto" w:frame="1"/>
          <w14:ligatures w14:val="none"/>
        </w:rPr>
        <w:t>Multivariate survival analysis</w:t>
      </w:r>
    </w:p>
    <w:p w14:paraId="79E0AFA8" w14:textId="77777777" w:rsidR="00624318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</w:p>
    <w:p w14:paraId="35D92EB0" w14:textId="68D5326D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n= 62, number of events= 11 </w:t>
      </w:r>
    </w:p>
    <w:p w14:paraId="67E0E2D0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</w:p>
    <w:p w14:paraId="396A2D57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         </w:t>
      </w:r>
      <w:proofErr w:type="spellStart"/>
      <w:proofErr w:type="gram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coef</w:t>
      </w:r>
      <w:proofErr w:type="spellEnd"/>
      <w:proofErr w:type="gram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 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exp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(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coef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) se(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coef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)      z 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Pr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(&gt;|z|)  </w:t>
      </w:r>
    </w:p>
    <w:p w14:paraId="395A2C09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KIF5A -1.1793    0.3075   0.7989 -1.476    0.140  </w:t>
      </w:r>
    </w:p>
    <w:p w14:paraId="53582F68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VHL   -1.8922    0.1507   0.9258 -2.044    0.041 *</w:t>
      </w:r>
    </w:p>
    <w:p w14:paraId="791F9653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proofErr w:type="gram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GBE1  -</w:t>
      </w:r>
      <w:proofErr w:type="gram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0.4807    0.6184   0.7397 -0.650    0.</w:t>
      </w:r>
      <w:r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0</w:t>
      </w: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51 *</w:t>
      </w:r>
    </w:p>
    <w:p w14:paraId="4BD6DD6C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---</w:t>
      </w:r>
    </w:p>
    <w:p w14:paraId="0CF94809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Signif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. </w:t>
      </w:r>
      <w:proofErr w:type="gram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codes</w:t>
      </w:r>
      <w:proofErr w:type="gram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:  0 ‘***’ 0.001 ‘**’ 0.01 ‘*’ 0.05 ‘.’ 0.1 </w:t>
      </w:r>
      <w:proofErr w:type="gram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‘ ’</w:t>
      </w:r>
      <w:proofErr w:type="gram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 1</w:t>
      </w:r>
    </w:p>
    <w:p w14:paraId="524D45E7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</w:p>
    <w:p w14:paraId="797F9771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      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exp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(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coef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) 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exp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(-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coef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) lower .95 upper .95</w:t>
      </w:r>
    </w:p>
    <w:p w14:paraId="2EE1B2CD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KIF5A    0.3075      3.252   0.06424    1.4719</w:t>
      </w:r>
    </w:p>
    <w:p w14:paraId="239539EB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VHL      0.1507      6.634   0.02456    0.9253</w:t>
      </w:r>
    </w:p>
    <w:p w14:paraId="2EDB9EE0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GBE1     0.6184      1.617   0.14508    2.6355</w:t>
      </w:r>
    </w:p>
    <w:p w14:paraId="3A6ABB30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</w:p>
    <w:p w14:paraId="2B9BE2AD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Concordance= </w:t>
      </w:r>
      <w:proofErr w:type="gram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0.718  (</w:t>
      </w:r>
      <w:proofErr w:type="gram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se = 0.078 )</w:t>
      </w:r>
    </w:p>
    <w:p w14:paraId="1653D035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Likelihood ratio test= </w:t>
      </w:r>
      <w:proofErr w:type="gram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8.03  on</w:t>
      </w:r>
      <w:proofErr w:type="gram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 3 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df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,   p=0.05</w:t>
      </w:r>
    </w:p>
    <w:p w14:paraId="28672E10" w14:textId="77777777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Wald test            = </w:t>
      </w:r>
      <w:proofErr w:type="gram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6.86  on</w:t>
      </w:r>
      <w:proofErr w:type="gram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 3 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df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,   p=0.08</w:t>
      </w:r>
    </w:p>
    <w:p w14:paraId="195EE71E" w14:textId="171BC361" w:rsidR="00624318" w:rsidRPr="00067C06" w:rsidRDefault="00624318" w:rsidP="00624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kern w:val="0"/>
          <w:sz w:val="20"/>
          <w:szCs w:val="20"/>
          <w14:ligatures w14:val="none"/>
        </w:rPr>
      </w:pPr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Score (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logrank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) test = </w:t>
      </w:r>
      <w:proofErr w:type="gram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5.63  on</w:t>
      </w:r>
      <w:proofErr w:type="gram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 xml:space="preserve"> 3 </w:t>
      </w:r>
      <w:proofErr w:type="spellStart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df</w:t>
      </w:r>
      <w:proofErr w:type="spellEnd"/>
      <w:r w:rsidRPr="00067C06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,   p=0.</w:t>
      </w:r>
      <w:r w:rsidR="00D93C2A">
        <w:rPr>
          <w:rFonts w:ascii="Lucida Console" w:eastAsia="Times New Roman" w:hAnsi="Lucida Console" w:cs="Courier New"/>
          <w:color w:val="000000"/>
          <w:kern w:val="0"/>
          <w:sz w:val="20"/>
          <w:szCs w:val="20"/>
          <w:bdr w:val="none" w:sz="0" w:space="0" w:color="auto" w:frame="1"/>
          <w14:ligatures w14:val="none"/>
        </w:rPr>
        <w:t>09</w:t>
      </w:r>
    </w:p>
    <w:p w14:paraId="79486876" w14:textId="77777777" w:rsidR="00624318" w:rsidRDefault="00624318">
      <w:bookmarkStart w:id="0" w:name="_GoBack"/>
      <w:bookmarkEnd w:id="0"/>
    </w:p>
    <w:sectPr w:rsidR="00624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MyNjMwtTS3NDE1NjFS0lEKTi0uzszPAykwrgUAiPYnHiwAAAA="/>
  </w:docVars>
  <w:rsids>
    <w:rsidRoot w:val="0026417F"/>
    <w:rsid w:val="00007E4A"/>
    <w:rsid w:val="00062DD8"/>
    <w:rsid w:val="0010565D"/>
    <w:rsid w:val="0017569A"/>
    <w:rsid w:val="001E3476"/>
    <w:rsid w:val="00236710"/>
    <w:rsid w:val="00245068"/>
    <w:rsid w:val="0026417F"/>
    <w:rsid w:val="002878B4"/>
    <w:rsid w:val="0031615D"/>
    <w:rsid w:val="003734AE"/>
    <w:rsid w:val="004C4E60"/>
    <w:rsid w:val="005403B5"/>
    <w:rsid w:val="00624318"/>
    <w:rsid w:val="006C68AB"/>
    <w:rsid w:val="00722D66"/>
    <w:rsid w:val="0075055D"/>
    <w:rsid w:val="007E31FC"/>
    <w:rsid w:val="0083011D"/>
    <w:rsid w:val="009960B0"/>
    <w:rsid w:val="00A533B0"/>
    <w:rsid w:val="00A86F0D"/>
    <w:rsid w:val="00B30DFC"/>
    <w:rsid w:val="00B841A4"/>
    <w:rsid w:val="00C05BD6"/>
    <w:rsid w:val="00C34210"/>
    <w:rsid w:val="00C63380"/>
    <w:rsid w:val="00D41D66"/>
    <w:rsid w:val="00D45704"/>
    <w:rsid w:val="00D917B7"/>
    <w:rsid w:val="00D93C2A"/>
    <w:rsid w:val="00E9680D"/>
    <w:rsid w:val="00ED7984"/>
    <w:rsid w:val="00FB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40BCA"/>
  <w15:chartTrackingRefBased/>
  <w15:docId w15:val="{BBE22B0B-CC46-4D00-BEF8-3B6FED92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56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39"/>
    <w:rsid w:val="0017569A"/>
    <w:pPr>
      <w:spacing w:after="0" w:line="240" w:lineRule="auto"/>
    </w:pPr>
    <w:rPr>
      <w:rFonts w:ascii="Times New Roman" w:hAnsi="Times New Roman" w:cs="B Nazani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75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45068"/>
    <w:pPr>
      <w:spacing w:after="0" w:line="240" w:lineRule="auto"/>
    </w:pPr>
    <w:rPr>
      <w:rFonts w:ascii="Times New Roman" w:hAnsi="Times New Roman" w:cs="B Nazanin"/>
      <w:color w:val="000000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427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Darzi</dc:creator>
  <cp:keywords/>
  <dc:description/>
  <cp:lastModifiedBy>Aswin Jawahar</cp:lastModifiedBy>
  <cp:revision>12</cp:revision>
  <dcterms:created xsi:type="dcterms:W3CDTF">2024-10-28T11:59:00Z</dcterms:created>
  <dcterms:modified xsi:type="dcterms:W3CDTF">2025-05-31T02:28:00Z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8f59e05374eb9c58a4691567d8dfaa8b9fb7b75ff76075a375c2556c9e552ee0</vt:lpwstr>
  </property>
</Properties>
</file>