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B6F32" w14:textId="25F2CB67" w:rsidR="00AD3692" w:rsidRPr="000B12B8" w:rsidRDefault="000B12B8" w:rsidP="00710C36">
      <w:pPr>
        <w:spacing w:before="120" w:after="240"/>
        <w:rPr>
          <w:rFonts w:ascii="Times New Roman" w:hAnsi="Times New Roman" w:cs="Times New Roman"/>
          <w:b/>
          <w:bCs/>
          <w:sz w:val="20"/>
          <w:szCs w:val="20"/>
        </w:rPr>
      </w:pPr>
      <w:r w:rsidRPr="000B12B8">
        <w:rPr>
          <w:rFonts w:ascii="Times New Roman" w:hAnsi="Times New Roman" w:cs="Times New Roman" w:hint="eastAsia"/>
          <w:b/>
          <w:bCs/>
          <w:sz w:val="20"/>
          <w:szCs w:val="20"/>
        </w:rPr>
        <w:t>Supplementary</w:t>
      </w:r>
      <w:r w:rsidR="00B605E7" w:rsidRPr="00B605E7">
        <w:rPr>
          <w:rFonts w:hint="eastAsia"/>
        </w:rPr>
        <w:t xml:space="preserve"> </w:t>
      </w:r>
      <w:r w:rsidR="00B605E7" w:rsidRPr="00B605E7">
        <w:rPr>
          <w:rFonts w:ascii="Times New Roman" w:hAnsi="Times New Roman" w:cs="Times New Roman" w:hint="eastAsia"/>
          <w:b/>
          <w:bCs/>
          <w:sz w:val="20"/>
          <w:szCs w:val="20"/>
        </w:rPr>
        <w:t>material</w:t>
      </w:r>
    </w:p>
    <w:p w14:paraId="335996D0" w14:textId="77777777" w:rsidR="000B12B8" w:rsidRPr="00BB08AE" w:rsidRDefault="000B12B8" w:rsidP="000B12B8">
      <w:pPr>
        <w:spacing w:before="120" w:after="240"/>
        <w:rPr>
          <w:rFonts w:ascii="Times New Roman" w:hAnsi="Times New Roman" w:cs="Times New Roman"/>
          <w:b/>
          <w:bCs/>
          <w:sz w:val="20"/>
          <w:szCs w:val="20"/>
        </w:rPr>
      </w:pPr>
      <w:r w:rsidRPr="00BB08AE">
        <w:rPr>
          <w:rFonts w:ascii="Times New Roman" w:hAnsi="Times New Roman" w:cs="Times New Roman"/>
          <w:b/>
          <w:bCs/>
          <w:sz w:val="20"/>
          <w:szCs w:val="20"/>
        </w:rPr>
        <w:t>Identification of Stemness Subtypes and Prognostic Modeling in Thyroid Cancer: The Critical Role of DPYSL3 in Tumor Progression and Immune Microenvironment</w:t>
      </w:r>
    </w:p>
    <w:p w14:paraId="0EFB7757" w14:textId="77777777" w:rsidR="000B12B8" w:rsidRPr="00BB08AE" w:rsidRDefault="000B12B8" w:rsidP="000B12B8">
      <w:pPr>
        <w:spacing w:before="120" w:after="240"/>
        <w:rPr>
          <w:rFonts w:ascii="Times New Roman" w:hAnsi="Times New Roman" w:cs="Times New Roman"/>
          <w:sz w:val="20"/>
          <w:szCs w:val="20"/>
        </w:rPr>
      </w:pPr>
      <w:r w:rsidRPr="00BB08AE">
        <w:rPr>
          <w:rFonts w:ascii="Times New Roman" w:hAnsi="Times New Roman" w:cs="Times New Roman"/>
          <w:sz w:val="20"/>
          <w:szCs w:val="20"/>
        </w:rPr>
        <w:t>Jialong Yu</w:t>
      </w:r>
      <w:r w:rsidRPr="00BB08AE">
        <w:rPr>
          <w:rFonts w:ascii="Times New Roman" w:hAnsi="Times New Roman" w:cs="Times New Roman"/>
          <w:sz w:val="20"/>
          <w:szCs w:val="20"/>
          <w:vertAlign w:val="superscript"/>
        </w:rPr>
        <w:t>1#</w:t>
      </w:r>
      <w:r w:rsidRPr="00BB08AE">
        <w:rPr>
          <w:rFonts w:ascii="Times New Roman" w:hAnsi="Times New Roman" w:cs="Times New Roman"/>
          <w:sz w:val="20"/>
          <w:szCs w:val="20"/>
        </w:rPr>
        <w:t>, Wei Luo</w:t>
      </w:r>
      <w:r w:rsidRPr="00BB08AE">
        <w:rPr>
          <w:rFonts w:ascii="Times New Roman" w:hAnsi="Times New Roman" w:cs="Times New Roman"/>
          <w:sz w:val="20"/>
          <w:szCs w:val="20"/>
          <w:vertAlign w:val="superscript"/>
        </w:rPr>
        <w:t>1#</w:t>
      </w:r>
      <w:r w:rsidRPr="00BB08AE">
        <w:rPr>
          <w:rFonts w:ascii="Times New Roman" w:hAnsi="Times New Roman" w:cs="Times New Roman"/>
          <w:sz w:val="20"/>
          <w:szCs w:val="20"/>
        </w:rPr>
        <w:t>, Guangwei Xu</w:t>
      </w:r>
      <w:r w:rsidRPr="00BB08AE">
        <w:rPr>
          <w:rFonts w:ascii="Times New Roman" w:hAnsi="Times New Roman" w:cs="Times New Roman"/>
          <w:sz w:val="20"/>
          <w:szCs w:val="20"/>
          <w:vertAlign w:val="superscript"/>
        </w:rPr>
        <w:t>1#</w:t>
      </w:r>
      <w:r w:rsidRPr="00BB08AE">
        <w:rPr>
          <w:rFonts w:ascii="Times New Roman" w:hAnsi="Times New Roman" w:cs="Times New Roman"/>
          <w:sz w:val="20"/>
          <w:szCs w:val="20"/>
        </w:rPr>
        <w:t>, Mei Tao</w:t>
      </w:r>
      <w:r w:rsidRPr="00BB08AE">
        <w:rPr>
          <w:rFonts w:ascii="Times New Roman" w:hAnsi="Times New Roman" w:cs="Times New Roman"/>
          <w:sz w:val="20"/>
          <w:szCs w:val="20"/>
          <w:vertAlign w:val="superscript"/>
        </w:rPr>
        <w:t>1</w:t>
      </w:r>
      <w:r w:rsidRPr="00BB08AE">
        <w:rPr>
          <w:rFonts w:ascii="Times New Roman" w:hAnsi="Times New Roman" w:cs="Times New Roman"/>
          <w:sz w:val="20"/>
          <w:szCs w:val="20"/>
        </w:rPr>
        <w:t>, Yuqi Wang</w:t>
      </w:r>
      <w:r w:rsidRPr="00BB08AE">
        <w:rPr>
          <w:rFonts w:ascii="Times New Roman" w:hAnsi="Times New Roman" w:cs="Times New Roman"/>
          <w:sz w:val="20"/>
          <w:szCs w:val="20"/>
          <w:vertAlign w:val="superscript"/>
        </w:rPr>
        <w:t>1</w:t>
      </w:r>
      <w:r w:rsidRPr="00BB08AE">
        <w:rPr>
          <w:rFonts w:ascii="Times New Roman" w:hAnsi="Times New Roman" w:cs="Times New Roman"/>
          <w:sz w:val="20"/>
          <w:szCs w:val="20"/>
        </w:rPr>
        <w:t>, Qiman Dong</w:t>
      </w:r>
      <w:r w:rsidRPr="00BB08AE">
        <w:rPr>
          <w:rFonts w:ascii="Times New Roman" w:hAnsi="Times New Roman" w:cs="Times New Roman"/>
          <w:sz w:val="20"/>
          <w:szCs w:val="20"/>
          <w:vertAlign w:val="superscript"/>
        </w:rPr>
        <w:t>1</w:t>
      </w:r>
      <w:r w:rsidRPr="00BB08AE">
        <w:rPr>
          <w:rFonts w:ascii="Times New Roman" w:hAnsi="Times New Roman" w:cs="Times New Roman"/>
          <w:sz w:val="20"/>
          <w:szCs w:val="20"/>
        </w:rPr>
        <w:t>, Linfei Hu</w:t>
      </w:r>
      <w:r w:rsidRPr="00BB08AE">
        <w:rPr>
          <w:rFonts w:ascii="Times New Roman" w:hAnsi="Times New Roman" w:cs="Times New Roman"/>
          <w:sz w:val="20"/>
          <w:szCs w:val="20"/>
          <w:vertAlign w:val="superscript"/>
        </w:rPr>
        <w:t>1</w:t>
      </w:r>
      <w:r w:rsidRPr="00BB08AE">
        <w:rPr>
          <w:rFonts w:ascii="Times New Roman" w:hAnsi="Times New Roman" w:cs="Times New Roman"/>
          <w:sz w:val="20"/>
          <w:szCs w:val="20"/>
        </w:rPr>
        <w:t>, Xiukun Hou</w:t>
      </w:r>
      <w:r w:rsidRPr="00BB08AE">
        <w:rPr>
          <w:rFonts w:ascii="Times New Roman" w:hAnsi="Times New Roman" w:cs="Times New Roman"/>
          <w:sz w:val="20"/>
          <w:szCs w:val="20"/>
          <w:vertAlign w:val="superscript"/>
        </w:rPr>
        <w:t>1</w:t>
      </w:r>
      <w:r w:rsidRPr="00BB08AE">
        <w:rPr>
          <w:rFonts w:ascii="Times New Roman" w:hAnsi="Times New Roman" w:cs="Times New Roman"/>
          <w:sz w:val="20"/>
          <w:szCs w:val="20"/>
        </w:rPr>
        <w:t>, Jingzhu Zhao</w:t>
      </w:r>
      <w:r w:rsidRPr="00BB08AE">
        <w:rPr>
          <w:rFonts w:ascii="Times New Roman" w:hAnsi="Times New Roman" w:cs="Times New Roman"/>
          <w:sz w:val="20"/>
          <w:szCs w:val="20"/>
          <w:vertAlign w:val="superscript"/>
        </w:rPr>
        <w:t>1</w:t>
      </w:r>
      <w:r w:rsidRPr="00BB08AE">
        <w:rPr>
          <w:rFonts w:ascii="Times New Roman" w:hAnsi="Times New Roman" w:cs="Times New Roman"/>
          <w:sz w:val="20"/>
          <w:szCs w:val="20"/>
        </w:rPr>
        <w:t>, Dapeng Li</w:t>
      </w:r>
      <w:r w:rsidRPr="00BB08AE">
        <w:rPr>
          <w:rFonts w:ascii="Times New Roman" w:hAnsi="Times New Roman" w:cs="Times New Roman"/>
          <w:sz w:val="20"/>
          <w:szCs w:val="20"/>
          <w:vertAlign w:val="superscript"/>
        </w:rPr>
        <w:t>1</w:t>
      </w:r>
      <w:r w:rsidRPr="00BB08AE">
        <w:rPr>
          <w:rFonts w:ascii="Times New Roman" w:hAnsi="Times New Roman" w:cs="Times New Roman"/>
          <w:sz w:val="20"/>
          <w:szCs w:val="20"/>
        </w:rPr>
        <w:t>, Songfeng Wei</w:t>
      </w:r>
      <w:r w:rsidRPr="00BB08AE">
        <w:rPr>
          <w:rFonts w:ascii="Times New Roman" w:hAnsi="Times New Roman" w:cs="Times New Roman"/>
          <w:sz w:val="20"/>
          <w:szCs w:val="20"/>
          <w:vertAlign w:val="superscript"/>
        </w:rPr>
        <w:t>1</w:t>
      </w:r>
      <w:r w:rsidRPr="00BB08AE">
        <w:rPr>
          <w:rFonts w:ascii="Times New Roman" w:hAnsi="Times New Roman" w:cs="Times New Roman"/>
          <w:sz w:val="20"/>
          <w:szCs w:val="20"/>
        </w:rPr>
        <w:t>*, Xianhui Ruan</w:t>
      </w:r>
      <w:r w:rsidRPr="00BB08AE">
        <w:rPr>
          <w:rFonts w:ascii="Times New Roman" w:hAnsi="Times New Roman" w:cs="Times New Roman"/>
          <w:sz w:val="20"/>
          <w:szCs w:val="20"/>
          <w:vertAlign w:val="superscript"/>
        </w:rPr>
        <w:t>1</w:t>
      </w:r>
      <w:r w:rsidRPr="00BB08AE">
        <w:rPr>
          <w:rFonts w:ascii="Times New Roman" w:hAnsi="Times New Roman" w:cs="Times New Roman"/>
          <w:sz w:val="20"/>
          <w:szCs w:val="20"/>
        </w:rPr>
        <w:t>* Xianqian Zheng</w:t>
      </w:r>
      <w:r w:rsidRPr="00BB08AE">
        <w:rPr>
          <w:rFonts w:ascii="Times New Roman" w:hAnsi="Times New Roman" w:cs="Times New Roman"/>
          <w:sz w:val="20"/>
          <w:szCs w:val="20"/>
          <w:vertAlign w:val="superscript"/>
        </w:rPr>
        <w:t>1</w:t>
      </w:r>
      <w:r w:rsidRPr="00BB08AE">
        <w:rPr>
          <w:rFonts w:ascii="Times New Roman" w:hAnsi="Times New Roman" w:cs="Times New Roman"/>
          <w:sz w:val="20"/>
          <w:szCs w:val="20"/>
        </w:rPr>
        <w:t>*</w:t>
      </w:r>
    </w:p>
    <w:p w14:paraId="601E0CE9" w14:textId="77777777" w:rsidR="000B12B8" w:rsidRPr="00BB08AE" w:rsidRDefault="000B12B8" w:rsidP="000B12B8">
      <w:pPr>
        <w:spacing w:before="120" w:after="240"/>
        <w:rPr>
          <w:rFonts w:ascii="Times New Roman" w:hAnsi="Times New Roman" w:cs="Times New Roman"/>
          <w:sz w:val="20"/>
          <w:szCs w:val="20"/>
        </w:rPr>
      </w:pPr>
      <w:r w:rsidRPr="00BB08AE">
        <w:rPr>
          <w:rFonts w:ascii="Times New Roman" w:hAnsi="Times New Roman" w:cs="Times New Roman"/>
          <w:sz w:val="20"/>
          <w:szCs w:val="20"/>
        </w:rPr>
        <w:t>1 Department of Thyroid and Neck Tumor, Tianjin Medical University Cancer Institute and Hospital, National Clinical Research Center for Cancer, Key Laboratory of Cancer Prevention and Therapy, Tianjin's Clinical Research Center for Cancer, Tianjin 300060, China.</w:t>
      </w:r>
    </w:p>
    <w:p w14:paraId="7BE22B58" w14:textId="77777777" w:rsidR="000B12B8" w:rsidRPr="00BB08AE" w:rsidRDefault="000B12B8" w:rsidP="000B12B8">
      <w:pPr>
        <w:spacing w:before="120" w:after="240"/>
        <w:rPr>
          <w:rFonts w:ascii="Times New Roman" w:hAnsi="Times New Roman" w:cs="Times New Roman"/>
          <w:sz w:val="20"/>
          <w:szCs w:val="20"/>
        </w:rPr>
      </w:pPr>
      <w:r w:rsidRPr="00BB08AE">
        <w:rPr>
          <w:rFonts w:ascii="Times New Roman" w:hAnsi="Times New Roman" w:cs="Times New Roman"/>
          <w:sz w:val="20"/>
          <w:szCs w:val="20"/>
        </w:rPr>
        <w:t>*Correspondences to:</w:t>
      </w:r>
    </w:p>
    <w:p w14:paraId="2EA5D3F8" w14:textId="77777777" w:rsidR="000B12B8" w:rsidRPr="00BB08AE" w:rsidRDefault="000B12B8" w:rsidP="000B12B8">
      <w:pPr>
        <w:spacing w:before="120" w:after="240"/>
        <w:rPr>
          <w:rFonts w:ascii="Times New Roman" w:hAnsi="Times New Roman" w:cs="Times New Roman"/>
          <w:sz w:val="20"/>
          <w:szCs w:val="20"/>
        </w:rPr>
      </w:pPr>
      <w:r w:rsidRPr="00BB08AE">
        <w:rPr>
          <w:rFonts w:ascii="Times New Roman" w:hAnsi="Times New Roman" w:cs="Times New Roman"/>
          <w:sz w:val="20"/>
          <w:szCs w:val="20"/>
        </w:rPr>
        <w:t>Dr. Xiangqian Zheng, Tianjin Medical University Cancer Institute &amp; Hospital, No. 1, Huanhu West Road, Tianjin, 300060, China, (</w:t>
      </w:r>
      <w:hyperlink r:id="rId7" w:history="1">
        <w:r w:rsidRPr="00BB08AE">
          <w:rPr>
            <w:rStyle w:val="a9"/>
            <w:rFonts w:ascii="Times New Roman" w:hAnsi="Times New Roman" w:cs="Times New Roman"/>
            <w:sz w:val="20"/>
            <w:szCs w:val="20"/>
          </w:rPr>
          <w:t>xzheng05@tmu.edu.cn</w:t>
        </w:r>
      </w:hyperlink>
      <w:r w:rsidRPr="00BB08AE">
        <w:rPr>
          <w:rFonts w:ascii="Times New Roman" w:hAnsi="Times New Roman" w:cs="Times New Roman"/>
          <w:sz w:val="20"/>
          <w:szCs w:val="20"/>
        </w:rPr>
        <w:t>).</w:t>
      </w:r>
    </w:p>
    <w:p w14:paraId="2AC19475" w14:textId="77777777" w:rsidR="000B12B8" w:rsidRPr="00BB08AE" w:rsidRDefault="000B12B8" w:rsidP="000B12B8">
      <w:pPr>
        <w:spacing w:before="120" w:after="240"/>
        <w:rPr>
          <w:rFonts w:ascii="Times New Roman" w:hAnsi="Times New Roman" w:cs="Times New Roman"/>
          <w:sz w:val="20"/>
          <w:szCs w:val="20"/>
        </w:rPr>
      </w:pPr>
      <w:r w:rsidRPr="00BB08AE">
        <w:rPr>
          <w:rFonts w:ascii="Times New Roman" w:hAnsi="Times New Roman" w:cs="Times New Roman"/>
          <w:sz w:val="20"/>
          <w:szCs w:val="20"/>
        </w:rPr>
        <w:t>Dr. Xianhui Ruan, Tianjin Medical University Cancer Institute &amp; Hospital, No. 1, Huanhu West Road, Tianjin, 300060, China, (</w:t>
      </w:r>
      <w:hyperlink r:id="rId8" w:history="1">
        <w:r w:rsidRPr="00BB08AE">
          <w:rPr>
            <w:rStyle w:val="a9"/>
            <w:rFonts w:ascii="Times New Roman" w:hAnsi="Times New Roman" w:cs="Times New Roman"/>
            <w:sz w:val="20"/>
            <w:szCs w:val="20"/>
          </w:rPr>
          <w:t>tjruanxianhui@163.com</w:t>
        </w:r>
      </w:hyperlink>
      <w:r w:rsidRPr="00BB08AE">
        <w:rPr>
          <w:rFonts w:ascii="Times New Roman" w:hAnsi="Times New Roman" w:cs="Times New Roman"/>
          <w:sz w:val="20"/>
          <w:szCs w:val="20"/>
        </w:rPr>
        <w:t>).</w:t>
      </w:r>
    </w:p>
    <w:p w14:paraId="4A218E63" w14:textId="5F690B4B" w:rsidR="000B12B8" w:rsidRPr="000B12B8" w:rsidRDefault="000B12B8" w:rsidP="000B12B8">
      <w:pPr>
        <w:spacing w:before="120" w:after="240"/>
        <w:rPr>
          <w:rFonts w:ascii="Times New Roman" w:hAnsi="Times New Roman" w:cs="Times New Roman"/>
          <w:sz w:val="20"/>
          <w:szCs w:val="20"/>
        </w:rPr>
      </w:pPr>
      <w:r w:rsidRPr="00BB08AE">
        <w:rPr>
          <w:rFonts w:ascii="Times New Roman" w:hAnsi="Times New Roman" w:cs="Times New Roman"/>
          <w:sz w:val="20"/>
          <w:szCs w:val="20"/>
        </w:rPr>
        <w:t>Dr. Songfeng Wei, Tianjin Medical University Cancer Institute &amp; Hospital, No. 1, Huanhu West Road, Tianjin, 300060, China, (</w:t>
      </w:r>
      <w:hyperlink r:id="rId9" w:history="1">
        <w:r w:rsidRPr="00BB08AE">
          <w:rPr>
            <w:rStyle w:val="a9"/>
            <w:rFonts w:ascii="Times New Roman" w:hAnsi="Times New Roman" w:cs="Times New Roman"/>
            <w:sz w:val="20"/>
            <w:szCs w:val="20"/>
          </w:rPr>
          <w:t>successor317@aliyun.com</w:t>
        </w:r>
      </w:hyperlink>
      <w:r w:rsidRPr="00BB08AE">
        <w:rPr>
          <w:rFonts w:ascii="Times New Roman" w:hAnsi="Times New Roman" w:cs="Times New Roman"/>
          <w:sz w:val="20"/>
          <w:szCs w:val="20"/>
        </w:rPr>
        <w:t>)</w:t>
      </w:r>
    </w:p>
    <w:p w14:paraId="26D197BB" w14:textId="13F01D70" w:rsidR="00D26656" w:rsidRPr="000B12B8" w:rsidRDefault="001B3CB0" w:rsidP="00710C36">
      <w:pPr>
        <w:pStyle w:val="a3"/>
        <w:numPr>
          <w:ilvl w:val="0"/>
          <w:numId w:val="1"/>
        </w:numPr>
        <w:spacing w:before="120" w:after="240"/>
        <w:ind w:firstLineChars="0"/>
        <w:rPr>
          <w:rFonts w:ascii="Times New Roman" w:hAnsi="Times New Roman" w:cs="Times New Roman"/>
          <w:sz w:val="20"/>
          <w:szCs w:val="20"/>
        </w:rPr>
      </w:pPr>
      <w:r w:rsidRPr="000B12B8">
        <w:rPr>
          <w:rFonts w:ascii="Times New Roman" w:hAnsi="Times New Roman" w:cs="Times New Roman" w:hint="eastAsia"/>
          <w:sz w:val="20"/>
          <w:szCs w:val="20"/>
        </w:rPr>
        <w:t xml:space="preserve">Table 1. </w:t>
      </w:r>
      <w:r w:rsidR="00D26656" w:rsidRPr="000B12B8">
        <w:rPr>
          <w:rFonts w:ascii="Times New Roman" w:hAnsi="Times New Roman" w:cs="Times New Roman"/>
          <w:sz w:val="20"/>
          <w:szCs w:val="20"/>
        </w:rPr>
        <w:t>Primers for RT-qPCR</w:t>
      </w:r>
    </w:p>
    <w:tbl>
      <w:tblPr>
        <w:tblStyle w:val="a4"/>
        <w:tblW w:w="0" w:type="auto"/>
        <w:tblLook w:val="04A0" w:firstRow="1" w:lastRow="0" w:firstColumn="1" w:lastColumn="0" w:noHBand="0" w:noVBand="1"/>
      </w:tblPr>
      <w:tblGrid>
        <w:gridCol w:w="2307"/>
        <w:gridCol w:w="2961"/>
        <w:gridCol w:w="3028"/>
      </w:tblGrid>
      <w:tr w:rsidR="00D26656" w:rsidRPr="000B12B8" w14:paraId="7B65A8EF" w14:textId="77777777" w:rsidTr="00D26656">
        <w:tc>
          <w:tcPr>
            <w:tcW w:w="2765" w:type="dxa"/>
          </w:tcPr>
          <w:p w14:paraId="75FA616A" w14:textId="313422A5" w:rsidR="00D26656" w:rsidRPr="000B12B8" w:rsidRDefault="00D26656"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Name</w:t>
            </w:r>
          </w:p>
        </w:tc>
        <w:tc>
          <w:tcPr>
            <w:tcW w:w="2765" w:type="dxa"/>
          </w:tcPr>
          <w:p w14:paraId="21782389" w14:textId="1673ADF9" w:rsidR="00D26656" w:rsidRPr="000B12B8" w:rsidRDefault="00D26656"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Forward Primer (5'-3')</w:t>
            </w:r>
          </w:p>
        </w:tc>
        <w:tc>
          <w:tcPr>
            <w:tcW w:w="2766" w:type="dxa"/>
          </w:tcPr>
          <w:p w14:paraId="18F7F459" w14:textId="366F9355" w:rsidR="00D26656" w:rsidRPr="000B12B8" w:rsidRDefault="00D26656"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Reverse Primer (5'-3')</w:t>
            </w:r>
          </w:p>
        </w:tc>
      </w:tr>
      <w:tr w:rsidR="00D26656" w:rsidRPr="000B12B8" w14:paraId="1015389B" w14:textId="77777777" w:rsidTr="00D26656">
        <w:tc>
          <w:tcPr>
            <w:tcW w:w="2765" w:type="dxa"/>
          </w:tcPr>
          <w:p w14:paraId="060ED848" w14:textId="48E3AECB" w:rsidR="00D26656" w:rsidRPr="000B12B8" w:rsidRDefault="00D26656"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β-actin</w:t>
            </w:r>
          </w:p>
        </w:tc>
        <w:tc>
          <w:tcPr>
            <w:tcW w:w="2765" w:type="dxa"/>
          </w:tcPr>
          <w:p w14:paraId="028BF496" w14:textId="7364DB25" w:rsidR="00D26656" w:rsidRPr="000B12B8" w:rsidRDefault="00D26656"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TGACGTGGACATCCGCAAAG</w:t>
            </w:r>
          </w:p>
        </w:tc>
        <w:tc>
          <w:tcPr>
            <w:tcW w:w="2766" w:type="dxa"/>
          </w:tcPr>
          <w:p w14:paraId="4E32DB55" w14:textId="2D4EEA95" w:rsidR="00D26656" w:rsidRPr="000B12B8" w:rsidRDefault="00D26656"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CTGGAAGGTGGACAGCGAGG</w:t>
            </w:r>
          </w:p>
        </w:tc>
      </w:tr>
      <w:tr w:rsidR="00D26656" w:rsidRPr="000B12B8" w14:paraId="119D5128" w14:textId="77777777" w:rsidTr="00D26656">
        <w:tc>
          <w:tcPr>
            <w:tcW w:w="2765" w:type="dxa"/>
          </w:tcPr>
          <w:p w14:paraId="19294BEE" w14:textId="5CBB0CEB" w:rsidR="00D26656" w:rsidRPr="000B12B8" w:rsidRDefault="00D26656"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DPYSL3</w:t>
            </w:r>
          </w:p>
        </w:tc>
        <w:tc>
          <w:tcPr>
            <w:tcW w:w="2765" w:type="dxa"/>
          </w:tcPr>
          <w:p w14:paraId="6052B716" w14:textId="05723F7C" w:rsidR="00D26656" w:rsidRPr="000B12B8" w:rsidRDefault="00D26656"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GACAACTTCACAGCCATTC</w:t>
            </w:r>
          </w:p>
        </w:tc>
        <w:tc>
          <w:tcPr>
            <w:tcW w:w="2766" w:type="dxa"/>
          </w:tcPr>
          <w:p w14:paraId="6046A7B9" w14:textId="54EA067E" w:rsidR="00D26656" w:rsidRPr="000B12B8" w:rsidRDefault="00D26656"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CAGATGACAACCAGAGGAG</w:t>
            </w:r>
          </w:p>
        </w:tc>
      </w:tr>
    </w:tbl>
    <w:p w14:paraId="201B26B4" w14:textId="444C61C6" w:rsidR="00D26656" w:rsidRPr="000B12B8" w:rsidRDefault="001B3CB0" w:rsidP="00710C36">
      <w:pPr>
        <w:pStyle w:val="a3"/>
        <w:numPr>
          <w:ilvl w:val="0"/>
          <w:numId w:val="1"/>
        </w:numPr>
        <w:spacing w:before="120" w:after="240"/>
        <w:ind w:firstLineChars="0"/>
        <w:rPr>
          <w:rFonts w:ascii="Times New Roman" w:hAnsi="Times New Roman" w:cs="Times New Roman"/>
          <w:sz w:val="20"/>
          <w:szCs w:val="20"/>
        </w:rPr>
      </w:pPr>
      <w:r w:rsidRPr="000B12B8">
        <w:rPr>
          <w:rFonts w:ascii="Times New Roman" w:hAnsi="Times New Roman" w:cs="Times New Roman" w:hint="eastAsia"/>
          <w:sz w:val="20"/>
          <w:szCs w:val="20"/>
        </w:rPr>
        <w:t xml:space="preserve">Table 2. </w:t>
      </w:r>
      <w:r w:rsidR="00D26656" w:rsidRPr="000B12B8">
        <w:rPr>
          <w:rFonts w:ascii="Times New Roman" w:hAnsi="Times New Roman" w:cs="Times New Roman"/>
          <w:sz w:val="20"/>
          <w:szCs w:val="20"/>
        </w:rPr>
        <w:t>Sequences of siRNA</w:t>
      </w:r>
    </w:p>
    <w:tbl>
      <w:tblPr>
        <w:tblStyle w:val="a4"/>
        <w:tblW w:w="0" w:type="auto"/>
        <w:tblLook w:val="04A0" w:firstRow="1" w:lastRow="0" w:firstColumn="1" w:lastColumn="0" w:noHBand="0" w:noVBand="1"/>
      </w:tblPr>
      <w:tblGrid>
        <w:gridCol w:w="2547"/>
        <w:gridCol w:w="1134"/>
        <w:gridCol w:w="4615"/>
      </w:tblGrid>
      <w:tr w:rsidR="00D26656" w:rsidRPr="000B12B8" w14:paraId="284A319A" w14:textId="77777777" w:rsidTr="00D26656">
        <w:tc>
          <w:tcPr>
            <w:tcW w:w="2547" w:type="dxa"/>
          </w:tcPr>
          <w:p w14:paraId="512F74C8" w14:textId="6F7F9510" w:rsidR="00D26656" w:rsidRPr="000B12B8" w:rsidRDefault="00D26656"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Name</w:t>
            </w:r>
          </w:p>
        </w:tc>
        <w:tc>
          <w:tcPr>
            <w:tcW w:w="5749" w:type="dxa"/>
            <w:gridSpan w:val="2"/>
          </w:tcPr>
          <w:p w14:paraId="249FFA18" w14:textId="0CC6A285" w:rsidR="00D26656" w:rsidRPr="000B12B8" w:rsidRDefault="00D26656"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Sequence (5'-3')</w:t>
            </w:r>
          </w:p>
        </w:tc>
      </w:tr>
      <w:tr w:rsidR="00D26656" w:rsidRPr="000B12B8" w14:paraId="18A20719" w14:textId="77777777" w:rsidTr="00D26656">
        <w:trPr>
          <w:trHeight w:val="158"/>
        </w:trPr>
        <w:tc>
          <w:tcPr>
            <w:tcW w:w="2547" w:type="dxa"/>
            <w:vMerge w:val="restart"/>
          </w:tcPr>
          <w:p w14:paraId="415DB457" w14:textId="3624762C" w:rsidR="00D26656" w:rsidRPr="000B12B8" w:rsidRDefault="00D26656"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siDPYSL3-1</w:t>
            </w:r>
          </w:p>
        </w:tc>
        <w:tc>
          <w:tcPr>
            <w:tcW w:w="1134" w:type="dxa"/>
          </w:tcPr>
          <w:p w14:paraId="7B4BDBDE" w14:textId="16C12FCB" w:rsidR="00D26656" w:rsidRPr="000B12B8" w:rsidRDefault="00D26656"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sense</w:t>
            </w:r>
          </w:p>
        </w:tc>
        <w:tc>
          <w:tcPr>
            <w:tcW w:w="4615" w:type="dxa"/>
          </w:tcPr>
          <w:p w14:paraId="42DC4DD0" w14:textId="045B4167" w:rsidR="00D26656" w:rsidRPr="000B12B8" w:rsidRDefault="00D26656"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CCGACUAUGUCUACAAGCG</w:t>
            </w:r>
          </w:p>
        </w:tc>
      </w:tr>
      <w:tr w:rsidR="00D26656" w:rsidRPr="000B12B8" w14:paraId="1E3D8CA3" w14:textId="77777777" w:rsidTr="00D26656">
        <w:trPr>
          <w:trHeight w:val="157"/>
        </w:trPr>
        <w:tc>
          <w:tcPr>
            <w:tcW w:w="2547" w:type="dxa"/>
            <w:vMerge/>
          </w:tcPr>
          <w:p w14:paraId="32A87152" w14:textId="77777777" w:rsidR="00D26656" w:rsidRPr="000B12B8" w:rsidRDefault="00D26656" w:rsidP="00710C36">
            <w:pPr>
              <w:spacing w:before="120" w:after="240"/>
              <w:rPr>
                <w:rFonts w:ascii="Times New Roman" w:hAnsi="Times New Roman" w:cs="Times New Roman"/>
                <w:sz w:val="20"/>
                <w:szCs w:val="20"/>
              </w:rPr>
            </w:pPr>
          </w:p>
        </w:tc>
        <w:tc>
          <w:tcPr>
            <w:tcW w:w="1134" w:type="dxa"/>
          </w:tcPr>
          <w:p w14:paraId="3C1AB614" w14:textId="55136CE0" w:rsidR="00D26656" w:rsidRPr="000B12B8" w:rsidRDefault="00D26656"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antisense</w:t>
            </w:r>
          </w:p>
        </w:tc>
        <w:tc>
          <w:tcPr>
            <w:tcW w:w="4615" w:type="dxa"/>
          </w:tcPr>
          <w:p w14:paraId="03102A90" w14:textId="41A23822" w:rsidR="00D26656" w:rsidRPr="000B12B8" w:rsidRDefault="00D26656"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CGCUUGUAGACAUAGUCGG</w:t>
            </w:r>
          </w:p>
        </w:tc>
      </w:tr>
      <w:tr w:rsidR="00D26656" w:rsidRPr="000B12B8" w14:paraId="61910322" w14:textId="77777777" w:rsidTr="00D26656">
        <w:trPr>
          <w:trHeight w:val="158"/>
        </w:trPr>
        <w:tc>
          <w:tcPr>
            <w:tcW w:w="2547" w:type="dxa"/>
            <w:vMerge w:val="restart"/>
          </w:tcPr>
          <w:p w14:paraId="1AF6F817" w14:textId="7821B7AC" w:rsidR="00D26656" w:rsidRPr="000B12B8" w:rsidRDefault="00D26656"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siDPYSL3-2</w:t>
            </w:r>
          </w:p>
        </w:tc>
        <w:tc>
          <w:tcPr>
            <w:tcW w:w="1134" w:type="dxa"/>
          </w:tcPr>
          <w:p w14:paraId="575E2C25" w14:textId="6E86C8B4" w:rsidR="00D26656" w:rsidRPr="000B12B8" w:rsidRDefault="00D26656"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sense</w:t>
            </w:r>
          </w:p>
        </w:tc>
        <w:tc>
          <w:tcPr>
            <w:tcW w:w="4615" w:type="dxa"/>
          </w:tcPr>
          <w:p w14:paraId="0F985211" w14:textId="17041D8F" w:rsidR="00D26656" w:rsidRPr="000B12B8" w:rsidRDefault="00D26656"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CCGUAAUAGGUCAUCUCAG</w:t>
            </w:r>
          </w:p>
        </w:tc>
      </w:tr>
      <w:tr w:rsidR="00D26656" w:rsidRPr="000B12B8" w14:paraId="3D5B5CC9" w14:textId="77777777" w:rsidTr="00D26656">
        <w:trPr>
          <w:trHeight w:val="157"/>
        </w:trPr>
        <w:tc>
          <w:tcPr>
            <w:tcW w:w="2547" w:type="dxa"/>
            <w:vMerge/>
          </w:tcPr>
          <w:p w14:paraId="7637CCBA" w14:textId="77777777" w:rsidR="00D26656" w:rsidRPr="000B12B8" w:rsidRDefault="00D26656" w:rsidP="00710C36">
            <w:pPr>
              <w:spacing w:before="120" w:after="240"/>
              <w:rPr>
                <w:rFonts w:ascii="Times New Roman" w:hAnsi="Times New Roman" w:cs="Times New Roman"/>
                <w:sz w:val="20"/>
                <w:szCs w:val="20"/>
              </w:rPr>
            </w:pPr>
          </w:p>
        </w:tc>
        <w:tc>
          <w:tcPr>
            <w:tcW w:w="1134" w:type="dxa"/>
          </w:tcPr>
          <w:p w14:paraId="2DFD8FB3" w14:textId="2028F163" w:rsidR="00D26656" w:rsidRPr="000B12B8" w:rsidRDefault="00D26656"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antisense</w:t>
            </w:r>
          </w:p>
        </w:tc>
        <w:tc>
          <w:tcPr>
            <w:tcW w:w="4615" w:type="dxa"/>
          </w:tcPr>
          <w:p w14:paraId="55B5DFE6" w14:textId="0973CE66" w:rsidR="00D26656" w:rsidRPr="000B12B8" w:rsidRDefault="00D26656"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CUGAGAUGACCUAUUACGG</w:t>
            </w:r>
          </w:p>
        </w:tc>
      </w:tr>
    </w:tbl>
    <w:p w14:paraId="0EC7F4B0" w14:textId="04248C63" w:rsidR="00D26656" w:rsidRPr="000B12B8" w:rsidRDefault="001B3CB0" w:rsidP="00710C36">
      <w:pPr>
        <w:pStyle w:val="a3"/>
        <w:numPr>
          <w:ilvl w:val="0"/>
          <w:numId w:val="1"/>
        </w:numPr>
        <w:spacing w:before="120" w:after="240"/>
        <w:ind w:firstLineChars="0"/>
        <w:rPr>
          <w:rFonts w:ascii="Times New Roman" w:hAnsi="Times New Roman" w:cs="Times New Roman"/>
          <w:sz w:val="20"/>
          <w:szCs w:val="20"/>
        </w:rPr>
      </w:pPr>
      <w:r w:rsidRPr="000B12B8">
        <w:rPr>
          <w:rFonts w:ascii="Times New Roman" w:hAnsi="Times New Roman" w:cs="Times New Roman" w:hint="eastAsia"/>
          <w:sz w:val="20"/>
          <w:szCs w:val="20"/>
        </w:rPr>
        <w:t xml:space="preserve">Table 3. </w:t>
      </w:r>
      <w:r w:rsidR="00D26656" w:rsidRPr="000B12B8">
        <w:rPr>
          <w:rFonts w:ascii="Times New Roman" w:hAnsi="Times New Roman" w:cs="Times New Roman"/>
          <w:sz w:val="20"/>
          <w:szCs w:val="20"/>
        </w:rPr>
        <w:t>Antibodies used in this study</w:t>
      </w:r>
    </w:p>
    <w:tbl>
      <w:tblPr>
        <w:tblStyle w:val="a4"/>
        <w:tblW w:w="0" w:type="auto"/>
        <w:tblLook w:val="04A0" w:firstRow="1" w:lastRow="0" w:firstColumn="1" w:lastColumn="0" w:noHBand="0" w:noVBand="1"/>
      </w:tblPr>
      <w:tblGrid>
        <w:gridCol w:w="3397"/>
        <w:gridCol w:w="2694"/>
        <w:gridCol w:w="2205"/>
      </w:tblGrid>
      <w:tr w:rsidR="00D26656" w:rsidRPr="000B12B8" w14:paraId="1EA6D020" w14:textId="77777777" w:rsidTr="00595352">
        <w:tc>
          <w:tcPr>
            <w:tcW w:w="3397" w:type="dxa"/>
          </w:tcPr>
          <w:p w14:paraId="79EFDBE8" w14:textId="549F1BD4" w:rsidR="00D26656" w:rsidRPr="000B12B8" w:rsidRDefault="00D26656"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lastRenderedPageBreak/>
              <w:t>Name</w:t>
            </w:r>
          </w:p>
        </w:tc>
        <w:tc>
          <w:tcPr>
            <w:tcW w:w="2694" w:type="dxa"/>
          </w:tcPr>
          <w:p w14:paraId="01D45DE7" w14:textId="1BB6DCB0" w:rsidR="00D26656" w:rsidRPr="000B12B8" w:rsidRDefault="00D26656"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Supplier</w:t>
            </w:r>
          </w:p>
        </w:tc>
        <w:tc>
          <w:tcPr>
            <w:tcW w:w="2205" w:type="dxa"/>
          </w:tcPr>
          <w:p w14:paraId="4B232748" w14:textId="13EF930E" w:rsidR="00D26656" w:rsidRPr="000B12B8" w:rsidRDefault="00D26656"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Cat#</w:t>
            </w:r>
          </w:p>
        </w:tc>
      </w:tr>
      <w:tr w:rsidR="00D26656" w:rsidRPr="000B12B8" w14:paraId="631CBE34" w14:textId="77777777" w:rsidTr="00595352">
        <w:tc>
          <w:tcPr>
            <w:tcW w:w="3397" w:type="dxa"/>
          </w:tcPr>
          <w:p w14:paraId="008B1360" w14:textId="260553A7" w:rsidR="00D26656" w:rsidRPr="000B12B8" w:rsidRDefault="00D26656"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Anti-human GAPDH antibody</w:t>
            </w:r>
          </w:p>
        </w:tc>
        <w:tc>
          <w:tcPr>
            <w:tcW w:w="2694" w:type="dxa"/>
          </w:tcPr>
          <w:p w14:paraId="727302BE" w14:textId="2A4BEDC8" w:rsidR="00D26656" w:rsidRPr="000B12B8" w:rsidRDefault="00595352"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Santa Cruz Biotechnology</w:t>
            </w:r>
          </w:p>
        </w:tc>
        <w:tc>
          <w:tcPr>
            <w:tcW w:w="2205" w:type="dxa"/>
          </w:tcPr>
          <w:p w14:paraId="413D2E0F" w14:textId="3A3CAE7E" w:rsidR="00D26656" w:rsidRPr="000B12B8" w:rsidRDefault="00595352"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sc-47724</w:t>
            </w:r>
          </w:p>
        </w:tc>
      </w:tr>
      <w:tr w:rsidR="00D26656" w:rsidRPr="000B12B8" w14:paraId="39407FFB" w14:textId="77777777" w:rsidTr="00595352">
        <w:tc>
          <w:tcPr>
            <w:tcW w:w="3397" w:type="dxa"/>
          </w:tcPr>
          <w:p w14:paraId="60B9B90A" w14:textId="3C58928B" w:rsidR="00D26656" w:rsidRPr="000B12B8" w:rsidRDefault="00595352"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Anti-human DPYSL3 antibody</w:t>
            </w:r>
          </w:p>
        </w:tc>
        <w:tc>
          <w:tcPr>
            <w:tcW w:w="2694" w:type="dxa"/>
          </w:tcPr>
          <w:p w14:paraId="4FFCA0E7" w14:textId="4A2C861B" w:rsidR="00D26656" w:rsidRPr="000B12B8" w:rsidRDefault="00595352"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UpingBio Technology</w:t>
            </w:r>
          </w:p>
        </w:tc>
        <w:tc>
          <w:tcPr>
            <w:tcW w:w="2205" w:type="dxa"/>
          </w:tcPr>
          <w:p w14:paraId="29B5A9D1" w14:textId="22EF3295" w:rsidR="00D26656" w:rsidRPr="000B12B8" w:rsidRDefault="00595352"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YP-Ab-08064</w:t>
            </w:r>
          </w:p>
        </w:tc>
      </w:tr>
      <w:tr w:rsidR="00D26656" w:rsidRPr="000B12B8" w14:paraId="660FC7ED" w14:textId="77777777" w:rsidTr="00595352">
        <w:tc>
          <w:tcPr>
            <w:tcW w:w="3397" w:type="dxa"/>
          </w:tcPr>
          <w:p w14:paraId="7A7A9DD7" w14:textId="2E921E92" w:rsidR="00D26656" w:rsidRPr="000B12B8" w:rsidRDefault="00595352"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Anti-human E-Cadherin antibody</w:t>
            </w:r>
          </w:p>
        </w:tc>
        <w:tc>
          <w:tcPr>
            <w:tcW w:w="2694" w:type="dxa"/>
          </w:tcPr>
          <w:p w14:paraId="4D064341" w14:textId="60280F4A" w:rsidR="00D26656" w:rsidRPr="000B12B8" w:rsidRDefault="00595352"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Cell Signaling Technology</w:t>
            </w:r>
          </w:p>
        </w:tc>
        <w:tc>
          <w:tcPr>
            <w:tcW w:w="2205" w:type="dxa"/>
          </w:tcPr>
          <w:p w14:paraId="044F0216" w14:textId="45465344" w:rsidR="00D26656" w:rsidRPr="000B12B8" w:rsidRDefault="00595352"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3195</w:t>
            </w:r>
          </w:p>
        </w:tc>
      </w:tr>
      <w:tr w:rsidR="00595352" w:rsidRPr="000B12B8" w14:paraId="2013C315" w14:textId="77777777" w:rsidTr="00595352">
        <w:tc>
          <w:tcPr>
            <w:tcW w:w="3397" w:type="dxa"/>
          </w:tcPr>
          <w:p w14:paraId="5194FBE7" w14:textId="3E82F794" w:rsidR="00595352" w:rsidRPr="000B12B8" w:rsidRDefault="00595352"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Anti-human N-Cadherin antibody</w:t>
            </w:r>
          </w:p>
        </w:tc>
        <w:tc>
          <w:tcPr>
            <w:tcW w:w="2694" w:type="dxa"/>
          </w:tcPr>
          <w:p w14:paraId="5B90BE22" w14:textId="2FEA9F2F" w:rsidR="00595352" w:rsidRPr="000B12B8" w:rsidRDefault="00595352"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Cell Signaling Technology</w:t>
            </w:r>
          </w:p>
        </w:tc>
        <w:tc>
          <w:tcPr>
            <w:tcW w:w="2205" w:type="dxa"/>
          </w:tcPr>
          <w:p w14:paraId="5ADB09CC" w14:textId="175C5556" w:rsidR="00595352" w:rsidRPr="000B12B8" w:rsidRDefault="00595352"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13116</w:t>
            </w:r>
          </w:p>
        </w:tc>
      </w:tr>
      <w:tr w:rsidR="00595352" w:rsidRPr="000B12B8" w14:paraId="687A25CE" w14:textId="77777777" w:rsidTr="00595352">
        <w:tc>
          <w:tcPr>
            <w:tcW w:w="3397" w:type="dxa"/>
          </w:tcPr>
          <w:p w14:paraId="60852161" w14:textId="4A7AFDF7" w:rsidR="00595352" w:rsidRPr="000B12B8" w:rsidRDefault="00595352"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Anti-human Snail antibody</w:t>
            </w:r>
          </w:p>
        </w:tc>
        <w:tc>
          <w:tcPr>
            <w:tcW w:w="2694" w:type="dxa"/>
          </w:tcPr>
          <w:p w14:paraId="6E5E7953" w14:textId="7AB8EAA7" w:rsidR="00595352" w:rsidRPr="000B12B8" w:rsidRDefault="00595352"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Cell Signaling Technology</w:t>
            </w:r>
          </w:p>
        </w:tc>
        <w:tc>
          <w:tcPr>
            <w:tcW w:w="2205" w:type="dxa"/>
          </w:tcPr>
          <w:p w14:paraId="3961655B" w14:textId="7179EAE5" w:rsidR="00595352" w:rsidRPr="000B12B8" w:rsidRDefault="00595352"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3879</w:t>
            </w:r>
          </w:p>
        </w:tc>
      </w:tr>
      <w:tr w:rsidR="00595352" w:rsidRPr="000B12B8" w14:paraId="5BDBD2E6" w14:textId="77777777" w:rsidTr="00595352">
        <w:tc>
          <w:tcPr>
            <w:tcW w:w="3397" w:type="dxa"/>
          </w:tcPr>
          <w:p w14:paraId="24F5A841" w14:textId="0278BA28" w:rsidR="00595352" w:rsidRPr="000B12B8" w:rsidRDefault="00595352"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Anti-human Slug antibody</w:t>
            </w:r>
          </w:p>
        </w:tc>
        <w:tc>
          <w:tcPr>
            <w:tcW w:w="2694" w:type="dxa"/>
          </w:tcPr>
          <w:p w14:paraId="7F44842D" w14:textId="1F060B90" w:rsidR="00595352" w:rsidRPr="000B12B8" w:rsidRDefault="00595352"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Cell Signaling Technology</w:t>
            </w:r>
          </w:p>
        </w:tc>
        <w:tc>
          <w:tcPr>
            <w:tcW w:w="2205" w:type="dxa"/>
          </w:tcPr>
          <w:p w14:paraId="028FA5E4" w14:textId="7DE9C238" w:rsidR="00595352" w:rsidRPr="000B12B8" w:rsidRDefault="00595352"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9585</w:t>
            </w:r>
          </w:p>
        </w:tc>
      </w:tr>
      <w:tr w:rsidR="00595352" w:rsidRPr="000B12B8" w14:paraId="2D7D40C8" w14:textId="77777777" w:rsidTr="00595352">
        <w:tc>
          <w:tcPr>
            <w:tcW w:w="3397" w:type="dxa"/>
          </w:tcPr>
          <w:p w14:paraId="61B5F350" w14:textId="0990A597" w:rsidR="00595352" w:rsidRPr="000B12B8" w:rsidRDefault="00595352"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Anti-human CD133 antibody</w:t>
            </w:r>
          </w:p>
        </w:tc>
        <w:tc>
          <w:tcPr>
            <w:tcW w:w="2694" w:type="dxa"/>
          </w:tcPr>
          <w:p w14:paraId="1C4421A7" w14:textId="700EEFA1" w:rsidR="00595352" w:rsidRPr="000B12B8" w:rsidRDefault="00595352"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ABclonal Technology</w:t>
            </w:r>
          </w:p>
        </w:tc>
        <w:tc>
          <w:tcPr>
            <w:tcW w:w="2205" w:type="dxa"/>
          </w:tcPr>
          <w:p w14:paraId="7CCBB21F" w14:textId="6F00EB04" w:rsidR="00595352" w:rsidRPr="000B12B8" w:rsidRDefault="00595352"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A0219</w:t>
            </w:r>
          </w:p>
        </w:tc>
      </w:tr>
      <w:tr w:rsidR="00595352" w:rsidRPr="000B12B8" w14:paraId="0E54A645" w14:textId="77777777" w:rsidTr="00595352">
        <w:tc>
          <w:tcPr>
            <w:tcW w:w="3397" w:type="dxa"/>
          </w:tcPr>
          <w:p w14:paraId="71227BBA" w14:textId="157E04BC" w:rsidR="00595352" w:rsidRPr="000B12B8" w:rsidRDefault="00595352"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Anti-human OCT4 antibody</w:t>
            </w:r>
          </w:p>
        </w:tc>
        <w:tc>
          <w:tcPr>
            <w:tcW w:w="2694" w:type="dxa"/>
          </w:tcPr>
          <w:p w14:paraId="52F187E1" w14:textId="4B97B6DD" w:rsidR="00595352" w:rsidRPr="000B12B8" w:rsidRDefault="00595352"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ABclonal Technology</w:t>
            </w:r>
          </w:p>
        </w:tc>
        <w:tc>
          <w:tcPr>
            <w:tcW w:w="2205" w:type="dxa"/>
          </w:tcPr>
          <w:p w14:paraId="16F69F94" w14:textId="49E88482" w:rsidR="00595352" w:rsidRPr="000B12B8" w:rsidRDefault="00595352" w:rsidP="00710C36">
            <w:pPr>
              <w:spacing w:before="120" w:after="240"/>
              <w:rPr>
                <w:rFonts w:ascii="Times New Roman" w:hAnsi="Times New Roman" w:cs="Times New Roman"/>
                <w:sz w:val="20"/>
                <w:szCs w:val="20"/>
              </w:rPr>
            </w:pPr>
            <w:r w:rsidRPr="000B12B8">
              <w:rPr>
                <w:rFonts w:ascii="Times New Roman" w:hAnsi="Times New Roman" w:cs="Times New Roman"/>
                <w:sz w:val="20"/>
                <w:szCs w:val="20"/>
              </w:rPr>
              <w:t>A7920</w:t>
            </w:r>
          </w:p>
        </w:tc>
      </w:tr>
    </w:tbl>
    <w:p w14:paraId="2F7B0476" w14:textId="77777777" w:rsidR="00BF44C5" w:rsidRPr="000B12B8" w:rsidRDefault="00BF44C5" w:rsidP="00710C36">
      <w:pPr>
        <w:rPr>
          <w:rFonts w:ascii="Times New Roman" w:hAnsi="Times New Roman" w:cs="Times New Roman"/>
          <w:sz w:val="20"/>
          <w:szCs w:val="20"/>
        </w:rPr>
      </w:pPr>
    </w:p>
    <w:p w14:paraId="0F9B243A" w14:textId="0D719AC5" w:rsidR="00BF44C5" w:rsidRPr="000B12B8" w:rsidRDefault="00BF44C5" w:rsidP="00710C36">
      <w:pPr>
        <w:rPr>
          <w:rFonts w:ascii="Times New Roman" w:hAnsi="Times New Roman" w:cs="Times New Roman"/>
          <w:sz w:val="20"/>
          <w:szCs w:val="20"/>
        </w:rPr>
      </w:pPr>
      <w:r w:rsidRPr="000B12B8">
        <w:rPr>
          <w:rFonts w:ascii="Times New Roman" w:hAnsi="Times New Roman" w:cs="Times New Roman"/>
          <w:noProof/>
          <w:sz w:val="20"/>
          <w:szCs w:val="20"/>
        </w:rPr>
        <w:lastRenderedPageBreak/>
        <w:drawing>
          <wp:inline distT="0" distB="0" distL="0" distR="0" wp14:anchorId="01EC9797" wp14:editId="45FC2D41">
            <wp:extent cx="5267325" cy="6207836"/>
            <wp:effectExtent l="0" t="0" r="0" b="2540"/>
            <wp:docPr id="66887408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874085" name="图片 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267325" cy="6207836"/>
                    </a:xfrm>
                    <a:prstGeom prst="rect">
                      <a:avLst/>
                    </a:prstGeom>
                    <a:noFill/>
                    <a:ln>
                      <a:noFill/>
                    </a:ln>
                  </pic:spPr>
                </pic:pic>
              </a:graphicData>
            </a:graphic>
          </wp:inline>
        </w:drawing>
      </w:r>
    </w:p>
    <w:p w14:paraId="47B4658A" w14:textId="1D66E63B" w:rsidR="00710C36" w:rsidRPr="000B12B8" w:rsidRDefault="00710C36" w:rsidP="00710C36">
      <w:pPr>
        <w:rPr>
          <w:rFonts w:ascii="Times New Roman" w:hAnsi="Times New Roman" w:cs="Times New Roman"/>
          <w:sz w:val="20"/>
          <w:szCs w:val="20"/>
        </w:rPr>
      </w:pPr>
      <w:r w:rsidRPr="000B12B8">
        <w:rPr>
          <w:rFonts w:ascii="Times New Roman" w:hAnsi="Times New Roman" w:cs="Times New Roman"/>
          <w:b/>
          <w:bCs/>
          <w:sz w:val="20"/>
          <w:szCs w:val="20"/>
        </w:rPr>
        <w:t>Fig. S1. Relationship between stemness and clinical characteristics in thyroid cancer.</w:t>
      </w:r>
      <w:r w:rsidRPr="000B12B8">
        <w:rPr>
          <w:rFonts w:ascii="Times New Roman" w:hAnsi="Times New Roman" w:cs="Times New Roman"/>
          <w:sz w:val="20"/>
          <w:szCs w:val="20"/>
        </w:rPr>
        <w:t xml:space="preserve"> A. Relationship between and Stage. B. Kaplan–Meier curves for overall survival of thyroid cancer patients in the high and low groups of mRNAsi. C. Volcanic map of genes associated with differential stemness between high and low mRNAsi groups.</w:t>
      </w:r>
    </w:p>
    <w:p w14:paraId="260C78CA" w14:textId="21E20BDC" w:rsidR="00710C36" w:rsidRPr="000B12B8" w:rsidRDefault="00710C36" w:rsidP="00710C36">
      <w:pPr>
        <w:spacing w:before="120" w:after="240"/>
        <w:rPr>
          <w:rFonts w:ascii="Times New Roman" w:hAnsi="Times New Roman" w:cs="Times New Roman"/>
          <w:sz w:val="20"/>
          <w:szCs w:val="20"/>
        </w:rPr>
      </w:pPr>
      <w:r w:rsidRPr="000B12B8">
        <w:rPr>
          <w:rFonts w:ascii="Times New Roman" w:hAnsi="Times New Roman" w:cs="Times New Roman"/>
          <w:noProof/>
          <w:sz w:val="20"/>
          <w:szCs w:val="20"/>
        </w:rPr>
        <w:lastRenderedPageBreak/>
        <w:drawing>
          <wp:inline distT="0" distB="0" distL="0" distR="0" wp14:anchorId="1A0DEEE7" wp14:editId="5360DC9C">
            <wp:extent cx="5272405" cy="8505471"/>
            <wp:effectExtent l="0" t="0" r="4445" b="0"/>
            <wp:docPr id="162268838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688389" name="图片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272405" cy="8505471"/>
                    </a:xfrm>
                    <a:prstGeom prst="rect">
                      <a:avLst/>
                    </a:prstGeom>
                    <a:noFill/>
                    <a:ln>
                      <a:noFill/>
                    </a:ln>
                  </pic:spPr>
                </pic:pic>
              </a:graphicData>
            </a:graphic>
          </wp:inline>
        </w:drawing>
      </w:r>
    </w:p>
    <w:p w14:paraId="29450000" w14:textId="59233BEF" w:rsidR="00710C36" w:rsidRPr="000B12B8" w:rsidRDefault="00710C36" w:rsidP="00710C36">
      <w:pPr>
        <w:rPr>
          <w:rFonts w:ascii="Times New Roman" w:hAnsi="Times New Roman" w:cs="Times New Roman"/>
          <w:sz w:val="20"/>
          <w:szCs w:val="20"/>
        </w:rPr>
      </w:pPr>
      <w:r w:rsidRPr="000B12B8">
        <w:rPr>
          <w:rFonts w:ascii="Times New Roman" w:hAnsi="Times New Roman" w:cs="Times New Roman"/>
          <w:b/>
          <w:bCs/>
          <w:sz w:val="20"/>
          <w:szCs w:val="20"/>
        </w:rPr>
        <w:t xml:space="preserve">Fig. S2. Functional enrichment analyses of stemness-related differentially expressed genes (DEGs) </w:t>
      </w:r>
      <w:r w:rsidRPr="000B12B8">
        <w:rPr>
          <w:rFonts w:ascii="Times New Roman" w:hAnsi="Times New Roman" w:cs="Times New Roman"/>
          <w:b/>
          <w:bCs/>
          <w:sz w:val="20"/>
          <w:szCs w:val="20"/>
        </w:rPr>
        <w:lastRenderedPageBreak/>
        <w:t>and immune cell infiltration.</w:t>
      </w:r>
      <w:r w:rsidRPr="000B12B8">
        <w:rPr>
          <w:rFonts w:ascii="Times New Roman" w:hAnsi="Times New Roman" w:cs="Times New Roman"/>
          <w:sz w:val="20"/>
          <w:szCs w:val="20"/>
        </w:rPr>
        <w:t xml:space="preserve"> A-C. Gene Ontology (GO) enrichment analyses of stemness-related DEGs. These panels show the results of conducting GO enrichment on the genes that were found to be differentially expressed between the high and low stemness groups in thyroid cancer. GO is a comprehensive classification system that organizes genes into three main categories: biological processes (A), cellular components (B), and molecular functions (C). For each GO category, the plots display the top enriched terms, which represent biological themes or pathways that are significantly associated with the stemness-related DEGs. The x-axis indicates the gene ratio (proportion of DEGs involved in a GO term), and the y-axis lists enriched GO terms. The size of the circles corresponds to the number of genes in the pathway, and the color represents the statistical significance (-log10 p-value). D. Proportions of immune cell infiltration in different immune groups.</w:t>
      </w:r>
    </w:p>
    <w:p w14:paraId="765DDDD1" w14:textId="7BECEBAB" w:rsidR="00710C36" w:rsidRPr="000B12B8" w:rsidRDefault="00710C36" w:rsidP="00710C36">
      <w:pPr>
        <w:spacing w:before="120" w:after="240"/>
        <w:rPr>
          <w:rFonts w:ascii="Times New Roman" w:hAnsi="Times New Roman" w:cs="Times New Roman"/>
          <w:sz w:val="20"/>
          <w:szCs w:val="20"/>
        </w:rPr>
      </w:pPr>
      <w:r w:rsidRPr="000B12B8">
        <w:rPr>
          <w:rFonts w:ascii="Times New Roman" w:hAnsi="Times New Roman" w:cs="Times New Roman"/>
          <w:noProof/>
          <w:sz w:val="20"/>
          <w:szCs w:val="20"/>
        </w:rPr>
        <w:lastRenderedPageBreak/>
        <w:drawing>
          <wp:inline distT="0" distB="0" distL="0" distR="0" wp14:anchorId="14F2239E" wp14:editId="6F60105E">
            <wp:extent cx="5272405" cy="7540038"/>
            <wp:effectExtent l="0" t="0" r="4445" b="3810"/>
            <wp:docPr id="57669946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699460" name="图片 3"/>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272405" cy="7540038"/>
                    </a:xfrm>
                    <a:prstGeom prst="rect">
                      <a:avLst/>
                    </a:prstGeom>
                    <a:noFill/>
                    <a:ln>
                      <a:noFill/>
                    </a:ln>
                  </pic:spPr>
                </pic:pic>
              </a:graphicData>
            </a:graphic>
          </wp:inline>
        </w:drawing>
      </w:r>
    </w:p>
    <w:p w14:paraId="04DA7F7C" w14:textId="2F09C109" w:rsidR="00710C36" w:rsidRPr="000B12B8" w:rsidRDefault="00710C36" w:rsidP="00710C36">
      <w:pPr>
        <w:rPr>
          <w:rFonts w:ascii="Times New Roman" w:hAnsi="Times New Roman" w:cs="Times New Roman"/>
          <w:sz w:val="20"/>
          <w:szCs w:val="20"/>
        </w:rPr>
      </w:pPr>
      <w:r w:rsidRPr="000B12B8">
        <w:rPr>
          <w:rFonts w:ascii="Times New Roman" w:hAnsi="Times New Roman" w:cs="Times New Roman"/>
          <w:b/>
          <w:bCs/>
          <w:sz w:val="20"/>
          <w:szCs w:val="20"/>
        </w:rPr>
        <w:t>Fig. S3. Correlation analysis of stemness-related genes and comparisons of immune-related metrics between high and low stemness groups.</w:t>
      </w:r>
      <w:r w:rsidRPr="000B12B8">
        <w:rPr>
          <w:rFonts w:ascii="Times New Roman" w:hAnsi="Times New Roman" w:cs="Times New Roman"/>
          <w:sz w:val="20"/>
          <w:szCs w:val="20"/>
        </w:rPr>
        <w:t xml:space="preserve"> A. Radar plot of correlation analysis for stemness-related genes. This radar chart visualizes the pairwise correlation coefficients between a set of genes that are associated with stemness in thyroid cancer. Each spoke of the radar plot represents a different gene, and the distance from the center indicates the strength of the correlation between that gene and the others. B. TIDE (Tumor </w:t>
      </w:r>
      <w:r w:rsidRPr="000B12B8">
        <w:rPr>
          <w:rFonts w:ascii="Times New Roman" w:hAnsi="Times New Roman" w:cs="Times New Roman"/>
          <w:sz w:val="20"/>
          <w:szCs w:val="20"/>
        </w:rPr>
        <w:lastRenderedPageBreak/>
        <w:t xml:space="preserve">Immune Dysfunction and Exclusion) score difference. TIDE is a computational approach that estimates the likelihood of a patient responding to immune checkpoint blockade therapy. The box plots show that the </w:t>
      </w:r>
      <w:proofErr w:type="gramStart"/>
      <w:r w:rsidRPr="000B12B8">
        <w:rPr>
          <w:rFonts w:ascii="Times New Roman" w:hAnsi="Times New Roman" w:cs="Times New Roman"/>
          <w:sz w:val="20"/>
          <w:szCs w:val="20"/>
        </w:rPr>
        <w:t>high risk</w:t>
      </w:r>
      <w:proofErr w:type="gramEnd"/>
      <w:r w:rsidRPr="000B12B8">
        <w:rPr>
          <w:rFonts w:ascii="Times New Roman" w:hAnsi="Times New Roman" w:cs="Times New Roman"/>
          <w:sz w:val="20"/>
          <w:szCs w:val="20"/>
        </w:rPr>
        <w:t xml:space="preserve"> group has a significantly higher TIDE score compared to the low risk group, suggesting these patients may be less responsive to immunotherapies. C-E. Differences in immune cell abundances: The box plots illustrate the relative proportions of cancer-associated fibroblasts (CAFs, C), M2-polarized tumor-associated macrophages (TAM M2, D), and myeloid-derived suppressor cells (MDSCs, E) between the high and low risk groups. These cell types are known to have immunosuppressive functions and contribute to an unfavorable tumor microenvironment.</w:t>
      </w:r>
    </w:p>
    <w:p w14:paraId="3CB8C3AE" w14:textId="1A3B9EFA" w:rsidR="00710C36" w:rsidRPr="000B12B8" w:rsidRDefault="00710C36" w:rsidP="00710C36">
      <w:pPr>
        <w:spacing w:before="120" w:after="240"/>
        <w:rPr>
          <w:rFonts w:ascii="Times New Roman" w:hAnsi="Times New Roman" w:cs="Times New Roman"/>
          <w:sz w:val="20"/>
          <w:szCs w:val="20"/>
        </w:rPr>
      </w:pPr>
      <w:r w:rsidRPr="000B12B8">
        <w:rPr>
          <w:rFonts w:ascii="Times New Roman" w:hAnsi="Times New Roman" w:cs="Times New Roman"/>
          <w:noProof/>
          <w:sz w:val="20"/>
          <w:szCs w:val="20"/>
        </w:rPr>
        <w:lastRenderedPageBreak/>
        <w:drawing>
          <wp:inline distT="0" distB="0" distL="0" distR="0" wp14:anchorId="4DD7E7A0" wp14:editId="2CCDD48E">
            <wp:extent cx="4425786" cy="8863330"/>
            <wp:effectExtent l="0" t="0" r="0" b="0"/>
            <wp:docPr id="4267768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77687" name="图片 4"/>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4425786" cy="8863330"/>
                    </a:xfrm>
                    <a:prstGeom prst="rect">
                      <a:avLst/>
                    </a:prstGeom>
                    <a:noFill/>
                    <a:ln>
                      <a:noFill/>
                    </a:ln>
                  </pic:spPr>
                </pic:pic>
              </a:graphicData>
            </a:graphic>
          </wp:inline>
        </w:drawing>
      </w:r>
    </w:p>
    <w:p w14:paraId="4070AD87" w14:textId="6711F8DD" w:rsidR="00710C36" w:rsidRPr="000B12B8" w:rsidRDefault="00710C36" w:rsidP="00710C36">
      <w:pPr>
        <w:rPr>
          <w:rFonts w:ascii="Times New Roman" w:hAnsi="Times New Roman" w:cs="Times New Roman"/>
          <w:b/>
          <w:bCs/>
          <w:sz w:val="20"/>
          <w:szCs w:val="20"/>
        </w:rPr>
      </w:pPr>
      <w:r w:rsidRPr="000B12B8">
        <w:rPr>
          <w:rFonts w:ascii="Times New Roman" w:hAnsi="Times New Roman" w:cs="Times New Roman"/>
          <w:b/>
          <w:bCs/>
          <w:sz w:val="20"/>
          <w:szCs w:val="20"/>
        </w:rPr>
        <w:lastRenderedPageBreak/>
        <w:t>Fig. S4. Correlation analysis between the expression of five signature genes and immune scores.</w:t>
      </w:r>
    </w:p>
    <w:p w14:paraId="7177B1F0" w14:textId="402FDBB0" w:rsidR="00710C36" w:rsidRPr="000B12B8" w:rsidRDefault="00710C36" w:rsidP="00710C36">
      <w:pPr>
        <w:spacing w:before="120" w:after="240"/>
        <w:rPr>
          <w:rFonts w:ascii="Times New Roman" w:hAnsi="Times New Roman" w:cs="Times New Roman"/>
          <w:sz w:val="20"/>
          <w:szCs w:val="20"/>
        </w:rPr>
      </w:pPr>
      <w:r w:rsidRPr="000B12B8">
        <w:rPr>
          <w:rFonts w:ascii="Times New Roman" w:hAnsi="Times New Roman" w:cs="Times New Roman"/>
          <w:noProof/>
          <w:sz w:val="20"/>
          <w:szCs w:val="20"/>
        </w:rPr>
        <w:drawing>
          <wp:inline distT="0" distB="0" distL="0" distR="0" wp14:anchorId="02459B1F" wp14:editId="25C90B93">
            <wp:extent cx="5272405" cy="8053110"/>
            <wp:effectExtent l="0" t="0" r="4445" b="5080"/>
            <wp:docPr id="20403434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343423" name="图片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272405" cy="8053110"/>
                    </a:xfrm>
                    <a:prstGeom prst="rect">
                      <a:avLst/>
                    </a:prstGeom>
                    <a:noFill/>
                    <a:ln>
                      <a:noFill/>
                    </a:ln>
                  </pic:spPr>
                </pic:pic>
              </a:graphicData>
            </a:graphic>
          </wp:inline>
        </w:drawing>
      </w:r>
    </w:p>
    <w:p w14:paraId="69283737" w14:textId="740ED9F8" w:rsidR="00710C36" w:rsidRPr="000B12B8" w:rsidRDefault="00710C36" w:rsidP="00710C36">
      <w:pPr>
        <w:spacing w:before="120" w:after="240"/>
        <w:rPr>
          <w:rFonts w:ascii="Times New Roman" w:hAnsi="Times New Roman" w:cs="Times New Roman"/>
          <w:b/>
          <w:bCs/>
          <w:sz w:val="20"/>
          <w:szCs w:val="20"/>
        </w:rPr>
      </w:pPr>
      <w:r w:rsidRPr="000B12B8">
        <w:rPr>
          <w:rFonts w:ascii="Times New Roman" w:hAnsi="Times New Roman" w:cs="Times New Roman"/>
          <w:b/>
          <w:bCs/>
          <w:sz w:val="20"/>
          <w:szCs w:val="20"/>
        </w:rPr>
        <w:t xml:space="preserve">Fig. S5. Correlation of different immune cell infiltration algorithms analyzed with the expression </w:t>
      </w:r>
      <w:r w:rsidRPr="000B12B8">
        <w:rPr>
          <w:rFonts w:ascii="Times New Roman" w:hAnsi="Times New Roman" w:cs="Times New Roman"/>
          <w:b/>
          <w:bCs/>
          <w:sz w:val="20"/>
          <w:szCs w:val="20"/>
        </w:rPr>
        <w:lastRenderedPageBreak/>
        <w:t>of five signature genes.</w:t>
      </w:r>
    </w:p>
    <w:sectPr w:rsidR="00710C36" w:rsidRPr="000B12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E3A94" w14:textId="77777777" w:rsidR="005945F6" w:rsidRDefault="005945F6" w:rsidP="00250491">
      <w:pPr>
        <w:rPr>
          <w:rFonts w:hint="eastAsia"/>
        </w:rPr>
      </w:pPr>
      <w:r>
        <w:separator/>
      </w:r>
    </w:p>
  </w:endnote>
  <w:endnote w:type="continuationSeparator" w:id="0">
    <w:p w14:paraId="2B2D54C5" w14:textId="77777777" w:rsidR="005945F6" w:rsidRDefault="005945F6" w:rsidP="0025049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F4A5F" w14:textId="77777777" w:rsidR="005945F6" w:rsidRDefault="005945F6" w:rsidP="00250491">
      <w:pPr>
        <w:rPr>
          <w:rFonts w:hint="eastAsia"/>
        </w:rPr>
      </w:pPr>
      <w:r>
        <w:separator/>
      </w:r>
    </w:p>
  </w:footnote>
  <w:footnote w:type="continuationSeparator" w:id="0">
    <w:p w14:paraId="7D204321" w14:textId="77777777" w:rsidR="005945F6" w:rsidRDefault="005945F6" w:rsidP="0025049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720D7"/>
    <w:multiLevelType w:val="hybridMultilevel"/>
    <w:tmpl w:val="8EB64A1C"/>
    <w:lvl w:ilvl="0" w:tplc="62083D0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27882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E6F"/>
    <w:rsid w:val="000B12B8"/>
    <w:rsid w:val="000B407E"/>
    <w:rsid w:val="001B3CB0"/>
    <w:rsid w:val="00250491"/>
    <w:rsid w:val="00394452"/>
    <w:rsid w:val="003B1CF1"/>
    <w:rsid w:val="004162D4"/>
    <w:rsid w:val="00426AAD"/>
    <w:rsid w:val="00554AF0"/>
    <w:rsid w:val="005945F6"/>
    <w:rsid w:val="00595352"/>
    <w:rsid w:val="00710C36"/>
    <w:rsid w:val="009476A3"/>
    <w:rsid w:val="00A041B0"/>
    <w:rsid w:val="00A22A21"/>
    <w:rsid w:val="00AD3692"/>
    <w:rsid w:val="00B605E7"/>
    <w:rsid w:val="00BA0FDB"/>
    <w:rsid w:val="00BF44C5"/>
    <w:rsid w:val="00C42E6F"/>
    <w:rsid w:val="00D05029"/>
    <w:rsid w:val="00D26656"/>
    <w:rsid w:val="00E73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A30CD8"/>
  <w15:chartTrackingRefBased/>
  <w15:docId w15:val="{467C7402-AC36-4293-ACDE-C386B361D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6656"/>
    <w:pPr>
      <w:ind w:firstLineChars="200" w:firstLine="420"/>
    </w:pPr>
  </w:style>
  <w:style w:type="table" w:styleId="a4">
    <w:name w:val="Table Grid"/>
    <w:basedOn w:val="a1"/>
    <w:uiPriority w:val="39"/>
    <w:rsid w:val="00D266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50491"/>
    <w:pPr>
      <w:tabs>
        <w:tab w:val="center" w:pos="4153"/>
        <w:tab w:val="right" w:pos="8306"/>
      </w:tabs>
      <w:snapToGrid w:val="0"/>
      <w:jc w:val="center"/>
    </w:pPr>
    <w:rPr>
      <w:sz w:val="18"/>
      <w:szCs w:val="18"/>
    </w:rPr>
  </w:style>
  <w:style w:type="character" w:customStyle="1" w:styleId="a6">
    <w:name w:val="页眉 字符"/>
    <w:basedOn w:val="a0"/>
    <w:link w:val="a5"/>
    <w:uiPriority w:val="99"/>
    <w:rsid w:val="00250491"/>
    <w:rPr>
      <w:sz w:val="18"/>
      <w:szCs w:val="18"/>
    </w:rPr>
  </w:style>
  <w:style w:type="paragraph" w:styleId="a7">
    <w:name w:val="footer"/>
    <w:basedOn w:val="a"/>
    <w:link w:val="a8"/>
    <w:uiPriority w:val="99"/>
    <w:unhideWhenUsed/>
    <w:rsid w:val="00250491"/>
    <w:pPr>
      <w:tabs>
        <w:tab w:val="center" w:pos="4153"/>
        <w:tab w:val="right" w:pos="8306"/>
      </w:tabs>
      <w:snapToGrid w:val="0"/>
      <w:jc w:val="left"/>
    </w:pPr>
    <w:rPr>
      <w:sz w:val="18"/>
      <w:szCs w:val="18"/>
    </w:rPr>
  </w:style>
  <w:style w:type="character" w:customStyle="1" w:styleId="a8">
    <w:name w:val="页脚 字符"/>
    <w:basedOn w:val="a0"/>
    <w:link w:val="a7"/>
    <w:uiPriority w:val="99"/>
    <w:rsid w:val="00250491"/>
    <w:rPr>
      <w:sz w:val="18"/>
      <w:szCs w:val="18"/>
    </w:rPr>
  </w:style>
  <w:style w:type="character" w:styleId="a9">
    <w:name w:val="Hyperlink"/>
    <w:basedOn w:val="a0"/>
    <w:uiPriority w:val="99"/>
    <w:unhideWhenUsed/>
    <w:rsid w:val="000B12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691886">
      <w:bodyDiv w:val="1"/>
      <w:marLeft w:val="0"/>
      <w:marRight w:val="0"/>
      <w:marTop w:val="0"/>
      <w:marBottom w:val="0"/>
      <w:divBdr>
        <w:top w:val="none" w:sz="0" w:space="0" w:color="auto"/>
        <w:left w:val="none" w:sz="0" w:space="0" w:color="auto"/>
        <w:bottom w:val="none" w:sz="0" w:space="0" w:color="auto"/>
        <w:right w:val="none" w:sz="0" w:space="0" w:color="auto"/>
      </w:divBdr>
    </w:div>
    <w:div w:id="61023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jruanxianhui@163.com" TargetMode="External"/><Relationship Id="rId13" Type="http://schemas.openxmlformats.org/officeDocument/2006/relationships/image" Target="media/image4.tiff"/><Relationship Id="rId3" Type="http://schemas.openxmlformats.org/officeDocument/2006/relationships/settings" Target="settings.xml"/><Relationship Id="rId7" Type="http://schemas.openxmlformats.org/officeDocument/2006/relationships/hyperlink" Target="mailto:xzheng05@tmu.edu.cn" TargetMode="External"/><Relationship Id="rId12" Type="http://schemas.openxmlformats.org/officeDocument/2006/relationships/image" Target="media/image3.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tif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hyperlink" Target="mailto:successor317@aliyun.com" TargetMode="External"/><Relationship Id="rId14" Type="http://schemas.openxmlformats.org/officeDocument/2006/relationships/image" Target="media/image5.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10</Pages>
  <Words>749</Words>
  <Characters>4275</Characters>
  <Application>Microsoft Office Word</Application>
  <DocSecurity>0</DocSecurity>
  <Lines>35</Lines>
  <Paragraphs>10</Paragraphs>
  <ScaleCrop>false</ScaleCrop>
  <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Jialong Yu</dc:creator>
  <cp:keywords/>
  <dc:description/>
  <cp:lastModifiedBy>Jialong Yu</cp:lastModifiedBy>
  <cp:revision>7</cp:revision>
  <dcterms:created xsi:type="dcterms:W3CDTF">2024-11-07T01:13:00Z</dcterms:created>
  <dcterms:modified xsi:type="dcterms:W3CDTF">2025-02-07T02:20:00Z</dcterms:modified>
</cp:coreProperties>
</file>