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71E3B" w14:textId="77777777" w:rsidR="00187517" w:rsidRPr="00877D4F" w:rsidRDefault="00187517" w:rsidP="00187517">
      <w:pPr>
        <w:topLinePunct/>
        <w:autoSpaceDE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kern w:val="0"/>
          <w:sz w:val="24"/>
        </w:rPr>
      </w:pPr>
      <w:bookmarkStart w:id="0" w:name="_GoBack"/>
      <w:bookmarkEnd w:id="0"/>
      <w:r w:rsidRPr="00877D4F">
        <w:rPr>
          <w:rFonts w:ascii="Times New Roman" w:eastAsia="SimSun" w:hAnsi="Times New Roman" w:cs="Times New Roman" w:hint="eastAsia"/>
          <w:b/>
          <w:bCs/>
          <w:kern w:val="0"/>
          <w:sz w:val="24"/>
        </w:rPr>
        <w:t xml:space="preserve">Table S1. </w:t>
      </w:r>
      <w:r w:rsidRPr="00877D4F">
        <w:rPr>
          <w:rFonts w:ascii="Times New Roman" w:eastAsia="SimSun" w:hAnsi="Times New Roman" w:cs="Times New Roman"/>
          <w:b/>
          <w:bCs/>
          <w:kern w:val="0"/>
          <w:sz w:val="24"/>
        </w:rPr>
        <w:t>statistical information</w:t>
      </w:r>
      <w:r w:rsidRPr="00877D4F">
        <w:rPr>
          <w:rFonts w:ascii="Times New Roman" w:eastAsia="SimSun" w:hAnsi="Times New Roman" w:cs="Times New Roman" w:hint="eastAsia"/>
          <w:b/>
          <w:bCs/>
          <w:kern w:val="0"/>
          <w:sz w:val="24"/>
        </w:rPr>
        <w:t xml:space="preserve"> of 115 </w:t>
      </w:r>
      <w:r w:rsidRPr="00877D4F">
        <w:rPr>
          <w:rFonts w:ascii="Times New Roman" w:eastAsia="SimSun" w:hAnsi="Times New Roman" w:cs="Times New Roman"/>
          <w:b/>
          <w:bCs/>
          <w:kern w:val="0"/>
          <w:sz w:val="24"/>
        </w:rPr>
        <w:t>ovaries</w:t>
      </w:r>
      <w:r w:rsidRPr="00877D4F">
        <w:rPr>
          <w:rFonts w:ascii="Times New Roman" w:eastAsia="SimSun" w:hAnsi="Times New Roman" w:cs="Times New Roman" w:hint="eastAsia"/>
          <w:b/>
          <w:bCs/>
          <w:kern w:val="0"/>
          <w:sz w:val="24"/>
        </w:rPr>
        <w:t xml:space="preserve"> patient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5912"/>
      </w:tblGrid>
      <w:tr w:rsidR="00187517" w:rsidRPr="00877D4F" w14:paraId="7F5523D9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CAF770E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Characteristic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127721B7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N (%) or Mean ± SD (Range)</w:t>
            </w:r>
          </w:p>
        </w:tc>
      </w:tr>
      <w:tr w:rsidR="00187517" w:rsidRPr="00877D4F" w14:paraId="5AD7C6C8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004D28C8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Age (years)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B223854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59 ± 12.5 (32–89)</w:t>
            </w:r>
          </w:p>
        </w:tc>
      </w:tr>
      <w:tr w:rsidR="00187517" w:rsidRPr="00877D4F" w14:paraId="07791421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2F1CDD6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Surgical status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17242CA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87517" w:rsidRPr="00877D4F" w14:paraId="2CF4F3ED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B05FA2C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Initial diagnosis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F5B4F10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77 (66.96%)</w:t>
            </w:r>
          </w:p>
        </w:tc>
      </w:tr>
      <w:tr w:rsidR="00187517" w:rsidRPr="00877D4F" w14:paraId="203EC450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C3EA024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Surgical treatment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19926524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38 (33.04%)</w:t>
            </w:r>
          </w:p>
        </w:tc>
      </w:tr>
      <w:tr w:rsidR="00187517" w:rsidRPr="00877D4F" w14:paraId="660A2D2E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2FDE750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Sample type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019FAF06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87517" w:rsidRPr="00877D4F" w14:paraId="0E895884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F7419CD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Ascitic fluid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140E957B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104 (90.43%)</w:t>
            </w:r>
          </w:p>
        </w:tc>
      </w:tr>
      <w:tr w:rsidR="00187517" w:rsidRPr="00877D4F" w14:paraId="4E13DD30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61588B5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Pleural effusion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432A6FE8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11 (9.57%)</w:t>
            </w:r>
          </w:p>
        </w:tc>
      </w:tr>
      <w:tr w:rsidR="00187517" w:rsidRPr="00877D4F" w14:paraId="3432D359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6B196655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Cytological findings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4877BA4C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87517" w:rsidRPr="00877D4F" w14:paraId="18866B65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CE2B9BA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Routine Cytology positive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40FBD77B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83 (72.17%)</w:t>
            </w:r>
          </w:p>
        </w:tc>
      </w:tr>
      <w:tr w:rsidR="00187517" w:rsidRPr="00877D4F" w14:paraId="784CC2A8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77D2AFC5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Liquid-Based Cytology positive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68AE0D9A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62 (66.96%)</w:t>
            </w:r>
          </w:p>
        </w:tc>
      </w:tr>
      <w:tr w:rsidR="00187517" w:rsidRPr="00877D4F" w14:paraId="408ED0B2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33D48E95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Menopausal status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7C6EC52A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87517" w:rsidRPr="00877D4F" w14:paraId="49355DDA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1E920FE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Premenopausal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7A3926E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46 (40.00%)</w:t>
            </w:r>
          </w:p>
        </w:tc>
      </w:tr>
      <w:tr w:rsidR="00187517" w:rsidRPr="00877D4F" w14:paraId="33471D55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F5E5082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Postmenopausal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00435CAE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69 (60.00%)</w:t>
            </w:r>
          </w:p>
        </w:tc>
      </w:tr>
      <w:tr w:rsidR="00187517" w:rsidRPr="00877D4F" w14:paraId="536D566B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A3D2078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Primary vs. recurrent cancer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613749C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87517" w:rsidRPr="00877D4F" w14:paraId="0EED9643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499273B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Primary cancer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282CC8A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82 (71.30%)</w:t>
            </w:r>
          </w:p>
        </w:tc>
      </w:tr>
      <w:tr w:rsidR="00187517" w:rsidRPr="00877D4F" w14:paraId="3F99A25C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BAA50CC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Recurrent cancer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5FEA6E62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33 (28.70%)</w:t>
            </w:r>
          </w:p>
        </w:tc>
      </w:tr>
      <w:tr w:rsidR="00187517" w:rsidRPr="00877D4F" w14:paraId="56C9FF4C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03F66776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b/>
                <w:bCs/>
                <w:sz w:val="24"/>
              </w:rPr>
              <w:t>Serum biomarker levels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1EEBCAA6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87517" w:rsidRPr="00877D4F" w14:paraId="66D71241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E53DAE8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CA125 (U/mL), Mean ± SD (Range)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1201B706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718.1 ± 286.5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 xml:space="preserve"> (8.8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>–1000.0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87517" w:rsidRPr="00877D4F" w14:paraId="5D71DC64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63E446D7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CA153 (U/mL), Mean ± SD (Range)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477E9047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41.4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 xml:space="preserve"> ± 103.2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 xml:space="preserve"> (3.7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>–800.0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877D4F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87517" w:rsidRPr="00877D4F" w14:paraId="6DBE3BE6" w14:textId="77777777" w:rsidTr="001A5A9A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7420D80B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/>
                <w:sz w:val="24"/>
              </w:rPr>
              <w:t>Sample Collection &amp; Processing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B0D1788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 w:hint="eastAsia"/>
                <w:sz w:val="24"/>
              </w:rPr>
              <w:t>Serum CA125 and CA153 levels were measured</w:t>
            </w:r>
          </w:p>
          <w:p w14:paraId="304C87DC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 w:hint="eastAsia"/>
                <w:sz w:val="24"/>
              </w:rPr>
              <w:t>using chemiluminescence immunoassay, with</w:t>
            </w:r>
          </w:p>
          <w:p w14:paraId="0304D965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 w:hint="eastAsia"/>
                <w:sz w:val="24"/>
              </w:rPr>
              <w:t>positivity thresholds set at &gt;35 U/mL for CA125</w:t>
            </w:r>
          </w:p>
          <w:p w14:paraId="6C149C54" w14:textId="77777777" w:rsidR="00187517" w:rsidRPr="00877D4F" w:rsidRDefault="00187517" w:rsidP="001A5A9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77D4F">
              <w:rPr>
                <w:rFonts w:ascii="Times New Roman" w:hAnsi="Times New Roman" w:cs="Times New Roman" w:hint="eastAsia"/>
                <w:sz w:val="24"/>
              </w:rPr>
              <w:t xml:space="preserve">and &gt;25 U/mL for CA153. Cytological evaluation of serous effusions was performed using routine and liquid-based cytology. Cytological positivity was defined as the presence of malignant cells, regardless of whether they appeared singly or in clusters. For morphological analysis, 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lastRenderedPageBreak/>
              <w:t xml:space="preserve">clusters of 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>≥</w:t>
            </w:r>
            <w:r w:rsidRPr="00877D4F">
              <w:rPr>
                <w:rFonts w:ascii="Times New Roman" w:hAnsi="Times New Roman" w:cs="Times New Roman" w:hint="eastAsia"/>
                <w:sz w:val="24"/>
              </w:rPr>
              <w:t xml:space="preserve"> 3 malignant cells were also recorded.</w:t>
            </w:r>
          </w:p>
        </w:tc>
      </w:tr>
    </w:tbl>
    <w:p w14:paraId="360CE15D" w14:textId="77777777" w:rsidR="00187517" w:rsidRPr="00877D4F" w:rsidRDefault="00187517" w:rsidP="00187517"/>
    <w:p w14:paraId="62E36598" w14:textId="77777777" w:rsidR="00342F57" w:rsidRDefault="00342F57">
      <w:pPr>
        <w:topLinePunct/>
        <w:autoSpaceDE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</w:rPr>
      </w:pPr>
    </w:p>
    <w:p w14:paraId="6B0840A2" w14:textId="77777777" w:rsidR="00342F57" w:rsidRDefault="00385FA6">
      <w:pPr>
        <w:spacing w:line="360" w:lineRule="auto"/>
        <w:rPr>
          <w:rFonts w:ascii="Times New Roman" w:eastAsia="KaiTi" w:hAnsi="Times New Roman" w:cs="Times New Roman"/>
          <w:b/>
          <w:color w:val="000000"/>
          <w:kern w:val="0"/>
          <w:sz w:val="24"/>
        </w:rPr>
      </w:pPr>
      <w:r>
        <w:rPr>
          <w:rFonts w:ascii="Times New Roman" w:eastAsia="KaiTi" w:hAnsi="Times New Roman" w:cs="Times New Roman"/>
          <w:b/>
          <w:color w:val="000000"/>
          <w:kern w:val="0"/>
          <w:sz w:val="24"/>
        </w:rPr>
        <w:t xml:space="preserve">Table </w:t>
      </w:r>
      <w:r>
        <w:rPr>
          <w:rFonts w:ascii="Times New Roman" w:eastAsia="KaiTi" w:hAnsi="Times New Roman" w:cs="Times New Roman" w:hint="eastAsia"/>
          <w:b/>
          <w:color w:val="000000"/>
          <w:kern w:val="0"/>
          <w:sz w:val="24"/>
        </w:rPr>
        <w:t>S</w:t>
      </w:r>
      <w:r>
        <w:rPr>
          <w:rFonts w:ascii="Times New Roman" w:eastAsia="KaiTi" w:hAnsi="Times New Roman" w:cs="Times New Roman"/>
          <w:b/>
          <w:color w:val="000000"/>
          <w:kern w:val="0"/>
          <w:sz w:val="24"/>
        </w:rPr>
        <w:t>2</w:t>
      </w:r>
      <w:r>
        <w:rPr>
          <w:rFonts w:ascii="Times New Roman" w:eastAsia="KaiTi" w:hAnsi="Times New Roman" w:cs="Times New Roman" w:hint="eastAsia"/>
          <w:b/>
          <w:color w:val="000000"/>
          <w:kern w:val="0"/>
          <w:sz w:val="24"/>
        </w:rPr>
        <w:t xml:space="preserve">. </w:t>
      </w:r>
      <w:r>
        <w:rPr>
          <w:rFonts w:ascii="Times New Roman" w:eastAsia="KaiTi" w:hAnsi="Times New Roman" w:cs="Times New Roman"/>
          <w:b/>
          <w:color w:val="000000"/>
          <w:kern w:val="0"/>
          <w:sz w:val="24"/>
        </w:rPr>
        <w:t>Positive rates of serum CA125, CA153, and their combined detection</w:t>
      </w:r>
      <w:r>
        <w:rPr>
          <w:rFonts w:ascii="Times New Roman" w:eastAsia="KaiTi" w:hAnsi="Times New Roman" w:cs="Times New Roman" w:hint="eastAsia"/>
          <w:b/>
          <w:color w:val="000000"/>
          <w:kern w:val="0"/>
          <w:sz w:val="24"/>
        </w:rPr>
        <w:t>.</w:t>
      </w:r>
    </w:p>
    <w:tbl>
      <w:tblPr>
        <w:tblW w:w="960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2"/>
        <w:gridCol w:w="2025"/>
        <w:gridCol w:w="1875"/>
        <w:gridCol w:w="2694"/>
      </w:tblGrid>
      <w:tr w:rsidR="00342F57" w14:paraId="6B0840A7" w14:textId="77777777" w:rsidTr="00385FA6">
        <w:trPr>
          <w:trHeight w:val="537"/>
        </w:trPr>
        <w:tc>
          <w:tcPr>
            <w:tcW w:w="301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B0840A3" w14:textId="77777777" w:rsidR="00342F57" w:rsidRDefault="00385FA6">
            <w:pPr>
              <w:spacing w:line="360" w:lineRule="auto"/>
              <w:jc w:val="center"/>
              <w:rPr>
                <w:rFonts w:ascii="Times New Roman" w:eastAsia="KaiT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b/>
                <w:color w:val="000000"/>
                <w:sz w:val="24"/>
              </w:rPr>
              <w:t>Group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B0840A4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b/>
                <w:color w:val="000000"/>
                <w:kern w:val="0"/>
                <w:sz w:val="24"/>
              </w:rPr>
              <w:t>Serum CA125</w:t>
            </w:r>
          </w:p>
        </w:tc>
        <w:tc>
          <w:tcPr>
            <w:tcW w:w="1875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B0840A5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b/>
                <w:color w:val="000000"/>
                <w:kern w:val="0"/>
                <w:sz w:val="24"/>
              </w:rPr>
              <w:t>Serum CA153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B0840A6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b/>
                <w:color w:val="000000"/>
                <w:kern w:val="0"/>
                <w:sz w:val="24"/>
              </w:rPr>
              <w:t>Serum CA125 combined with CA153</w:t>
            </w:r>
          </w:p>
        </w:tc>
      </w:tr>
      <w:tr w:rsidR="00342F57" w14:paraId="6B0840AC" w14:textId="77777777" w:rsidTr="00385FA6">
        <w:trPr>
          <w:trHeight w:val="416"/>
        </w:trPr>
        <w:tc>
          <w:tcPr>
            <w:tcW w:w="3012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6B0840A8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Positive cases (n)</w:t>
            </w:r>
          </w:p>
        </w:tc>
        <w:tc>
          <w:tcPr>
            <w:tcW w:w="2025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6B0840A9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101</w:t>
            </w:r>
          </w:p>
        </w:tc>
        <w:tc>
          <w:tcPr>
            <w:tcW w:w="1875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6B0840AA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694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6B0840AB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104</w:t>
            </w:r>
          </w:p>
        </w:tc>
      </w:tr>
      <w:tr w:rsidR="00342F57" w14:paraId="6B0840B1" w14:textId="77777777" w:rsidTr="00385FA6">
        <w:trPr>
          <w:trHeight w:val="416"/>
        </w:trPr>
        <w:tc>
          <w:tcPr>
            <w:tcW w:w="3012" w:type="dxa"/>
            <w:tcBorders>
              <w:top w:val="nil"/>
              <w:tl2br w:val="nil"/>
              <w:tr2bl w:val="nil"/>
            </w:tcBorders>
            <w:noWrap/>
            <w:vAlign w:val="center"/>
          </w:tcPr>
          <w:p w14:paraId="6B0840AD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Total cases (n)</w:t>
            </w:r>
          </w:p>
        </w:tc>
        <w:tc>
          <w:tcPr>
            <w:tcW w:w="2025" w:type="dxa"/>
            <w:tcBorders>
              <w:top w:val="nil"/>
              <w:tl2br w:val="nil"/>
              <w:tr2bl w:val="nil"/>
            </w:tcBorders>
            <w:noWrap/>
            <w:vAlign w:val="center"/>
          </w:tcPr>
          <w:p w14:paraId="6B0840AE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108</w:t>
            </w:r>
          </w:p>
        </w:tc>
        <w:tc>
          <w:tcPr>
            <w:tcW w:w="1875" w:type="dxa"/>
            <w:tcBorders>
              <w:top w:val="nil"/>
              <w:tl2br w:val="nil"/>
              <w:tr2bl w:val="nil"/>
            </w:tcBorders>
            <w:noWrap/>
            <w:vAlign w:val="center"/>
          </w:tcPr>
          <w:p w14:paraId="6B0840AF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101</w:t>
            </w:r>
          </w:p>
        </w:tc>
        <w:tc>
          <w:tcPr>
            <w:tcW w:w="2694" w:type="dxa"/>
            <w:tcBorders>
              <w:top w:val="nil"/>
              <w:tl2br w:val="nil"/>
              <w:tr2bl w:val="nil"/>
            </w:tcBorders>
            <w:noWrap/>
            <w:vAlign w:val="center"/>
          </w:tcPr>
          <w:p w14:paraId="6B0840B0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108</w:t>
            </w:r>
          </w:p>
        </w:tc>
      </w:tr>
      <w:tr w:rsidR="00342F57" w14:paraId="6B0840B6" w14:textId="77777777" w:rsidTr="00385FA6">
        <w:trPr>
          <w:trHeight w:val="447"/>
        </w:trPr>
        <w:tc>
          <w:tcPr>
            <w:tcW w:w="3012" w:type="dxa"/>
            <w:tcBorders>
              <w:tl2br w:val="nil"/>
              <w:tr2bl w:val="nil"/>
            </w:tcBorders>
            <w:noWrap/>
            <w:vAlign w:val="center"/>
          </w:tcPr>
          <w:p w14:paraId="6B0840B2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Positive rate (%)</w:t>
            </w: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6B0840B3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93.51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noWrap/>
            <w:vAlign w:val="center"/>
          </w:tcPr>
          <w:p w14:paraId="6B0840B4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64.35</w:t>
            </w:r>
          </w:p>
        </w:tc>
        <w:tc>
          <w:tcPr>
            <w:tcW w:w="2694" w:type="dxa"/>
            <w:tcBorders>
              <w:tl2br w:val="nil"/>
              <w:tr2bl w:val="nil"/>
            </w:tcBorders>
            <w:noWrap/>
            <w:vAlign w:val="center"/>
          </w:tcPr>
          <w:p w14:paraId="6B0840B5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96.30</w:t>
            </w:r>
          </w:p>
        </w:tc>
      </w:tr>
      <w:tr w:rsidR="00342F57" w14:paraId="305061AF" w14:textId="77777777" w:rsidTr="00385FA6">
        <w:trPr>
          <w:trHeight w:val="447"/>
        </w:trPr>
        <w:tc>
          <w:tcPr>
            <w:tcW w:w="3012" w:type="dxa"/>
            <w:tcBorders>
              <w:tl2br w:val="nil"/>
              <w:tr2bl w:val="nil"/>
            </w:tcBorders>
            <w:noWrap/>
            <w:vAlign w:val="center"/>
          </w:tcPr>
          <w:p w14:paraId="221EF26E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 w:rsidRPr="00385FA6"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P-value (vs. CA125 alone)</w:t>
            </w: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4268F0C9" w14:textId="77777777" w:rsidR="00342F57" w:rsidRDefault="00342F5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noWrap/>
            <w:vAlign w:val="center"/>
          </w:tcPr>
          <w:p w14:paraId="7ECE2DA8" w14:textId="77777777" w:rsidR="00342F57" w:rsidRDefault="00342F5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94" w:type="dxa"/>
            <w:tcBorders>
              <w:tl2br w:val="nil"/>
              <w:tr2bl w:val="nil"/>
            </w:tcBorders>
            <w:noWrap/>
            <w:vAlign w:val="center"/>
          </w:tcPr>
          <w:p w14:paraId="241DEF39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 w:rsidRPr="00385FA6"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P &lt; 0.05</w:t>
            </w:r>
          </w:p>
        </w:tc>
      </w:tr>
      <w:tr w:rsidR="00342F57" w14:paraId="54E7FBC5" w14:textId="77777777" w:rsidTr="00385FA6">
        <w:trPr>
          <w:trHeight w:val="447"/>
        </w:trPr>
        <w:tc>
          <w:tcPr>
            <w:tcW w:w="3012" w:type="dxa"/>
            <w:tcBorders>
              <w:tl2br w:val="nil"/>
              <w:tr2bl w:val="nil"/>
            </w:tcBorders>
            <w:noWrap/>
            <w:vAlign w:val="center"/>
          </w:tcPr>
          <w:p w14:paraId="43E01456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 w:rsidRPr="00385FA6"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P-value (vs. CA153 alone)</w:t>
            </w: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03B69072" w14:textId="77777777" w:rsidR="00342F57" w:rsidRDefault="00342F5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noWrap/>
            <w:vAlign w:val="center"/>
          </w:tcPr>
          <w:p w14:paraId="2B8DCDB7" w14:textId="77777777" w:rsidR="00342F57" w:rsidRDefault="00342F5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94" w:type="dxa"/>
            <w:tcBorders>
              <w:tl2br w:val="nil"/>
              <w:tr2bl w:val="nil"/>
            </w:tcBorders>
            <w:noWrap/>
            <w:vAlign w:val="center"/>
          </w:tcPr>
          <w:p w14:paraId="423656D4" w14:textId="77777777" w:rsidR="00342F57" w:rsidRDefault="00385FA6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</w:pPr>
            <w:r w:rsidRPr="00385FA6">
              <w:rPr>
                <w:rFonts w:ascii="Times New Roman" w:eastAsia="KaiTi" w:hAnsi="Times New Roman" w:cs="Times New Roman"/>
                <w:color w:val="000000"/>
                <w:kern w:val="0"/>
                <w:sz w:val="24"/>
              </w:rPr>
              <w:t>P &lt; 0.01</w:t>
            </w:r>
          </w:p>
        </w:tc>
      </w:tr>
    </w:tbl>
    <w:p w14:paraId="6B0840B7" w14:textId="77777777" w:rsidR="00342F57" w:rsidRDefault="00385FA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sz w:val="24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</w:rPr>
        <w:br w:type="page"/>
      </w:r>
    </w:p>
    <w:p w14:paraId="6B0840B8" w14:textId="77777777" w:rsidR="00342F57" w:rsidRDefault="00385FA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sz w:val="24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sz w:val="24"/>
        </w:rPr>
        <w:lastRenderedPageBreak/>
        <w:t>Table S3. Contingency table for McNemar's test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342F57" w14:paraId="6B0840BC" w14:textId="77777777">
        <w:tc>
          <w:tcPr>
            <w:tcW w:w="16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0840B9" w14:textId="77777777" w:rsidR="00342F57" w:rsidRDefault="00342F57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0840BA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sz w:val="24"/>
              </w:rPr>
              <w:t xml:space="preserve"> Combined Positive</w:t>
            </w:r>
          </w:p>
        </w:tc>
        <w:tc>
          <w:tcPr>
            <w:tcW w:w="166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0840BB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sz w:val="24"/>
              </w:rPr>
              <w:t>Combined Negative</w:t>
            </w:r>
          </w:p>
        </w:tc>
      </w:tr>
      <w:tr w:rsidR="00342F57" w14:paraId="6B0840C0" w14:textId="77777777">
        <w:tc>
          <w:tcPr>
            <w:tcW w:w="166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0840BD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CA125 Positive</w:t>
            </w:r>
          </w:p>
        </w:tc>
        <w:tc>
          <w:tcPr>
            <w:tcW w:w="166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0840BE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166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0840BF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0</w:t>
            </w:r>
          </w:p>
        </w:tc>
      </w:tr>
      <w:tr w:rsidR="00342F57" w14:paraId="6B0840C4" w14:textId="77777777">
        <w:tc>
          <w:tcPr>
            <w:tcW w:w="166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0840C1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CA125 Negative 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0840C2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0840C3" w14:textId="77777777" w:rsidR="00342F57" w:rsidRDefault="00385FA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4</w:t>
            </w:r>
          </w:p>
        </w:tc>
      </w:tr>
    </w:tbl>
    <w:p w14:paraId="6B0840C5" w14:textId="77777777" w:rsidR="00342F57" w:rsidRDefault="00342F57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sz w:val="24"/>
        </w:rPr>
      </w:pPr>
    </w:p>
    <w:sectPr w:rsidR="00342F5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bordersDoNotSurroundHeader/>
  <w:bordersDoNotSurroundFooter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4NTliMTNjOWEyMzE2MDExOGRmZjJkZGUwNzcwZTYifQ=="/>
  </w:docVars>
  <w:rsids>
    <w:rsidRoot w:val="00AF0E57"/>
    <w:rsid w:val="00117240"/>
    <w:rsid w:val="001266B1"/>
    <w:rsid w:val="001765C5"/>
    <w:rsid w:val="00187517"/>
    <w:rsid w:val="001C3D92"/>
    <w:rsid w:val="002C067A"/>
    <w:rsid w:val="00334998"/>
    <w:rsid w:val="00342F57"/>
    <w:rsid w:val="00343F38"/>
    <w:rsid w:val="00367ACE"/>
    <w:rsid w:val="00371B82"/>
    <w:rsid w:val="00385FA6"/>
    <w:rsid w:val="003D029F"/>
    <w:rsid w:val="0041781E"/>
    <w:rsid w:val="004265A8"/>
    <w:rsid w:val="00447572"/>
    <w:rsid w:val="004B2426"/>
    <w:rsid w:val="004C080C"/>
    <w:rsid w:val="00586A12"/>
    <w:rsid w:val="005E0788"/>
    <w:rsid w:val="00634BF8"/>
    <w:rsid w:val="00643235"/>
    <w:rsid w:val="00713584"/>
    <w:rsid w:val="007300F6"/>
    <w:rsid w:val="00765F43"/>
    <w:rsid w:val="007A2383"/>
    <w:rsid w:val="007A3A8D"/>
    <w:rsid w:val="007D4F26"/>
    <w:rsid w:val="008A6F63"/>
    <w:rsid w:val="008F6AD8"/>
    <w:rsid w:val="00932DBE"/>
    <w:rsid w:val="009347B9"/>
    <w:rsid w:val="009B6348"/>
    <w:rsid w:val="00A3455E"/>
    <w:rsid w:val="00A44256"/>
    <w:rsid w:val="00AA0F0C"/>
    <w:rsid w:val="00AD321D"/>
    <w:rsid w:val="00AF0E57"/>
    <w:rsid w:val="00B00265"/>
    <w:rsid w:val="00CF5BB5"/>
    <w:rsid w:val="00D16D18"/>
    <w:rsid w:val="00D73D1D"/>
    <w:rsid w:val="00DC5FF9"/>
    <w:rsid w:val="00E8599F"/>
    <w:rsid w:val="00EE2468"/>
    <w:rsid w:val="00F53AE3"/>
    <w:rsid w:val="00F7332A"/>
    <w:rsid w:val="00FE1961"/>
    <w:rsid w:val="0E615E9A"/>
    <w:rsid w:val="4A6368E6"/>
    <w:rsid w:val="5AC93EE4"/>
    <w:rsid w:val="71030F01"/>
    <w:rsid w:val="7420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18006D-136A-4F6E-8983-E872C39F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2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Theme="minorHAnsi" w:eastAsiaTheme="minorEastAsia" w:hAnsiTheme="minorHAnsi" w:cstheme="minorBidi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Theme="minorHAnsi" w:eastAsiaTheme="minorEastAsia" w:hAnsiTheme="minorHAnsi" w:cstheme="minorBidi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03252-D964-453C-BB15-0794F2205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Aanstoot</dc:creator>
  <cp:keywords/>
  <dc:description/>
  <cp:lastModifiedBy>Rathika R Rajaraman</cp:lastModifiedBy>
  <cp:revision>2</cp:revision>
  <dcterms:created xsi:type="dcterms:W3CDTF">2026-01-29T04:59:00Z</dcterms:created>
  <dcterms:modified xsi:type="dcterms:W3CDTF">2026-01-29T04:59:00Z</dcterms:modified>
  <cp:category/>
  <dc:identifier/>
  <cp:contentStatus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08A6CCFEDB074501BC902CAC9C217621_12</vt:lpwstr>
  </property>
  <property fmtid="{D5CDD505-2E9C-101B-9397-08002B2CF9AE}" pid="4" name="KSOTemplateDocerSaveRecord">
    <vt:lpwstr>eyJoZGlkIjoiZjhjZDk3MGIzMDc0ZTNmMmNmNjU0MDViODI4YmNiNjEiLCJ1c2VySWQiOiI0NTA5MTEzNjAifQ==</vt:lpwstr>
  </property>
</Properties>
</file>