
<file path=[Content_Types].xml><?xml version="1.0" encoding="utf-8"?>
<Types xmlns="http://schemas.openxmlformats.org/package/2006/content-types">
  <Default Extension="wmf" ContentType="image/x-wmf"/>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5775EE">
      <w:pPr>
        <w:rPr>
          <w:rFonts w:hint="eastAsia"/>
        </w:rPr>
      </w:pPr>
      <w:r>
        <w:rPr>
          <w:rFonts w:hint="eastAsia"/>
        </w:rPr>
        <w:drawing>
          <wp:inline distT="0" distB="0" distL="0" distR="0">
            <wp:extent cx="5274310" cy="7064375"/>
            <wp:effectExtent l="0" t="0" r="2540" b="3175"/>
            <wp:docPr id="1886540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54095" name="图片 1"/>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274310" cy="7064375"/>
                    </a:xfrm>
                    <a:prstGeom prst="rect">
                      <a:avLst/>
                    </a:prstGeom>
                  </pic:spPr>
                </pic:pic>
              </a:graphicData>
            </a:graphic>
          </wp:inline>
        </w:drawing>
      </w:r>
    </w:p>
    <w:p w14:paraId="7FF4861E">
      <w:pPr>
        <w:rPr>
          <w:rFonts w:hint="default" w:ascii="Arial" w:hAnsi="Arial" w:cs="Arial"/>
          <w:sz w:val="20"/>
          <w:szCs w:val="20"/>
        </w:rPr>
      </w:pPr>
      <w:r>
        <w:rPr>
          <w:rFonts w:hint="default" w:ascii="Arial" w:hAnsi="Arial" w:eastAsia="等线" w:cs="Arial"/>
          <w:b/>
          <w:bCs/>
          <w:sz w:val="20"/>
          <w:szCs w:val="20"/>
        </w:rPr>
        <w:t xml:space="preserve">Supplementary </w:t>
      </w:r>
      <w:r>
        <w:rPr>
          <w:rFonts w:hint="default" w:ascii="Arial" w:hAnsi="Arial" w:cs="Arial"/>
          <w:b/>
          <w:bCs/>
          <w:sz w:val="20"/>
          <w:szCs w:val="20"/>
        </w:rPr>
        <w:t>Fig</w:t>
      </w:r>
      <w:r>
        <w:rPr>
          <w:rFonts w:hint="default" w:ascii="Arial" w:hAnsi="Arial" w:eastAsia="等线" w:cs="Arial"/>
          <w:b/>
          <w:bCs/>
          <w:sz w:val="20"/>
          <w:szCs w:val="20"/>
        </w:rPr>
        <w:t>.</w:t>
      </w:r>
      <w:r>
        <w:rPr>
          <w:rFonts w:hint="default" w:ascii="Arial" w:hAnsi="Arial" w:cs="Arial"/>
          <w:b/>
          <w:bCs/>
          <w:sz w:val="20"/>
          <w:szCs w:val="20"/>
        </w:rPr>
        <w:t xml:space="preserve"> 1</w:t>
      </w:r>
      <w:r>
        <w:rPr>
          <w:rFonts w:hint="default" w:ascii="Arial" w:hAnsi="Arial" w:eastAsia="等线" w:cs="Arial"/>
          <w:sz w:val="20"/>
          <w:szCs w:val="20"/>
        </w:rPr>
        <w:t xml:space="preserve"> </w:t>
      </w:r>
      <w:r>
        <w:rPr>
          <w:rFonts w:hint="default" w:ascii="Arial" w:hAnsi="Arial" w:cs="Arial"/>
          <w:sz w:val="20"/>
          <w:szCs w:val="20"/>
        </w:rPr>
        <w:t>Single-cell pre-processing</w:t>
      </w:r>
    </w:p>
    <w:p w14:paraId="1015B07B">
      <w:pPr>
        <w:rPr>
          <w:rFonts w:hint="default" w:ascii="Arial" w:hAnsi="Arial" w:eastAsia="Times New Roman" w:cs="Arial"/>
          <w:sz w:val="20"/>
          <w:szCs w:val="20"/>
        </w:rPr>
      </w:pPr>
      <w:r>
        <w:rPr>
          <w:rFonts w:hint="default" w:ascii="Arial" w:hAnsi="Arial" w:cs="Arial"/>
          <w:sz w:val="20"/>
          <w:szCs w:val="20"/>
        </w:rPr>
        <w:t>(A)Quality control of single-cell data demonstrates the number of cells, the number of genes, and the depth of sequencing for each sample.</w:t>
      </w:r>
    </w:p>
    <w:p w14:paraId="2B202784">
      <w:pPr>
        <w:rPr>
          <w:rFonts w:hint="default" w:ascii="Arial" w:hAnsi="Arial" w:eastAsia="等线" w:cs="Arial"/>
          <w:sz w:val="20"/>
          <w:szCs w:val="20"/>
        </w:rPr>
      </w:pPr>
      <w:r>
        <w:rPr>
          <w:rFonts w:hint="default" w:ascii="Arial" w:hAnsi="Arial" w:cs="Arial"/>
          <w:sz w:val="20"/>
          <w:szCs w:val="20"/>
        </w:rPr>
        <w:t>(B)The graph on the left illustrates the correlation between the depth of cell sequencing and mitochondrial content, while the graph on the right depicts the association between sequencing depth and the number of genes, with both graphs indicating a positive proportionality.</w:t>
      </w:r>
    </w:p>
    <w:p w14:paraId="0B98BBB6">
      <w:pPr>
        <w:rPr>
          <w:rFonts w:hint="default" w:ascii="Arial" w:hAnsi="Arial" w:eastAsia="等线" w:cs="Arial"/>
          <w:sz w:val="20"/>
          <w:szCs w:val="20"/>
        </w:rPr>
      </w:pPr>
      <w:r>
        <w:rPr>
          <w:rFonts w:hint="default" w:ascii="Arial" w:hAnsi="Arial" w:eastAsia="等线" w:cs="Arial"/>
          <w:sz w:val="20"/>
          <w:szCs w:val="20"/>
        </w:rPr>
        <w:t>(C)We identified genes that differed significantly from cell to cell and produced a plot of the characteristic variance distribution.</w:t>
      </w:r>
    </w:p>
    <w:p w14:paraId="7D65F6E7">
      <w:pPr>
        <w:rPr>
          <w:rFonts w:hint="default" w:ascii="Arial" w:hAnsi="Arial" w:eastAsia="等线" w:cs="Arial"/>
          <w:sz w:val="20"/>
          <w:szCs w:val="20"/>
        </w:rPr>
      </w:pPr>
      <w:r>
        <w:rPr>
          <w:rFonts w:hint="default" w:ascii="Arial" w:hAnsi="Arial" w:eastAsia="等线" w:cs="Arial"/>
          <w:sz w:val="20"/>
          <w:szCs w:val="20"/>
        </w:rPr>
        <w:t>(D) The plot illustrates each principal component's (PC) variance rankings.</w:t>
      </w:r>
    </w:p>
    <w:p w14:paraId="4BBDE830">
      <w:pPr>
        <w:rPr>
          <w:rFonts w:hint="default" w:ascii="Arial" w:hAnsi="Arial" w:eastAsia="Times New Roman" w:cs="Arial"/>
          <w:sz w:val="20"/>
          <w:szCs w:val="20"/>
        </w:rPr>
      </w:pPr>
      <w:r>
        <w:rPr>
          <w:rFonts w:hint="default" w:ascii="Arial" w:hAnsi="Arial" w:eastAsia="等线" w:cs="Arial"/>
          <w:sz w:val="20"/>
          <w:szCs w:val="20"/>
        </w:rPr>
        <w:t>(E-F) The presentation of PCA illustrates the arrangement of PCs, with individual data points represented by dots corresponding to cells, and the color coding indicates the different samples.</w:t>
      </w:r>
    </w:p>
    <w:p w14:paraId="288F884F">
      <w:pPr>
        <w:rPr>
          <w:rFonts w:hint="eastAsia"/>
        </w:rPr>
      </w:pPr>
    </w:p>
    <w:p w14:paraId="321C3D2B">
      <w:pPr>
        <w:rPr>
          <w:rFonts w:hint="eastAsia"/>
        </w:rPr>
      </w:pPr>
    </w:p>
    <w:p w14:paraId="026C250F">
      <w:pPr>
        <w:rPr>
          <w:rFonts w:hint="eastAsia"/>
        </w:rPr>
      </w:pPr>
    </w:p>
    <w:p w14:paraId="032B7F79">
      <w:pPr>
        <w:rPr>
          <w:rFonts w:hint="eastAsia"/>
        </w:rPr>
      </w:pPr>
      <w:r>
        <w:rPr>
          <w:rFonts w:hint="eastAsia"/>
        </w:rPr>
        <w:drawing>
          <wp:inline distT="0" distB="0" distL="0" distR="0">
            <wp:extent cx="5274310" cy="5540375"/>
            <wp:effectExtent l="0" t="0" r="2540" b="3175"/>
            <wp:docPr id="195004857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048578" name="图片 2"/>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5274310" cy="5540375"/>
                    </a:xfrm>
                    <a:prstGeom prst="rect">
                      <a:avLst/>
                    </a:prstGeom>
                  </pic:spPr>
                </pic:pic>
              </a:graphicData>
            </a:graphic>
          </wp:inline>
        </w:drawing>
      </w:r>
    </w:p>
    <w:p w14:paraId="160CF14A">
      <w:pPr>
        <w:rPr>
          <w:rFonts w:hint="default" w:ascii="Arial" w:hAnsi="Arial" w:eastAsia="等线" w:cs="Arial"/>
          <w:sz w:val="20"/>
          <w:szCs w:val="20"/>
        </w:rPr>
      </w:pPr>
      <w:r>
        <w:rPr>
          <w:rFonts w:hint="default" w:ascii="Arial" w:hAnsi="Arial" w:eastAsia="等线" w:cs="Arial"/>
          <w:b/>
          <w:bCs/>
          <w:sz w:val="20"/>
          <w:szCs w:val="20"/>
        </w:rPr>
        <w:t xml:space="preserve">Supplementary </w:t>
      </w:r>
      <w:r>
        <w:rPr>
          <w:rFonts w:hint="default" w:ascii="Arial" w:hAnsi="Arial" w:cs="Arial"/>
          <w:b/>
          <w:bCs/>
          <w:sz w:val="20"/>
          <w:szCs w:val="20"/>
        </w:rPr>
        <w:t>Fig</w:t>
      </w:r>
      <w:r>
        <w:rPr>
          <w:rFonts w:hint="default" w:ascii="Arial" w:hAnsi="Arial" w:eastAsia="等线" w:cs="Arial"/>
          <w:b/>
          <w:bCs/>
          <w:sz w:val="20"/>
          <w:szCs w:val="20"/>
        </w:rPr>
        <w:t>.</w:t>
      </w:r>
      <w:r>
        <w:rPr>
          <w:rFonts w:hint="default" w:ascii="Arial" w:hAnsi="Arial" w:cs="Arial"/>
          <w:b/>
          <w:bCs/>
          <w:sz w:val="20"/>
          <w:szCs w:val="20"/>
        </w:rPr>
        <w:t xml:space="preserve"> </w:t>
      </w:r>
      <w:r>
        <w:rPr>
          <w:rFonts w:hint="default" w:ascii="Arial" w:hAnsi="Arial" w:eastAsia="等线" w:cs="Arial"/>
          <w:b/>
          <w:bCs/>
          <w:sz w:val="20"/>
          <w:szCs w:val="20"/>
        </w:rPr>
        <w:t>2</w:t>
      </w:r>
      <w:r>
        <w:rPr>
          <w:rFonts w:hint="default" w:ascii="Arial" w:hAnsi="Arial" w:cs="Arial"/>
          <w:b/>
          <w:bCs/>
          <w:sz w:val="20"/>
          <w:szCs w:val="20"/>
        </w:rPr>
        <w:t xml:space="preserve"> </w:t>
      </w:r>
      <w:r>
        <w:rPr>
          <w:rFonts w:hint="default" w:ascii="Arial" w:hAnsi="Arial" w:eastAsia="等线" w:cs="Arial"/>
          <w:sz w:val="20"/>
          <w:szCs w:val="20"/>
        </w:rPr>
        <w:t>Leave-out test</w:t>
      </w:r>
    </w:p>
    <w:p w14:paraId="09915A96">
      <w:pPr>
        <w:rPr>
          <w:rFonts w:hint="default" w:ascii="Arial" w:hAnsi="Arial" w:eastAsia="等线" w:cs="Arial"/>
          <w:sz w:val="20"/>
          <w:szCs w:val="20"/>
        </w:rPr>
      </w:pPr>
      <w:r>
        <w:rPr>
          <w:rFonts w:hint="default" w:ascii="Arial" w:hAnsi="Arial" w:eastAsia="等线" w:cs="Arial"/>
          <w:sz w:val="20"/>
          <w:szCs w:val="20"/>
        </w:rPr>
        <w:t>(A-H) The x-axis denotes the effect size of each SNP on the outcome, scaled per unit change in exposure.</w:t>
      </w:r>
      <w:r>
        <w:rPr>
          <w:rFonts w:hint="eastAsia" w:ascii="Arial" w:hAnsi="Arial" w:eastAsia="等线" w:cs="Arial"/>
          <w:sz w:val="20"/>
          <w:szCs w:val="20"/>
          <w:lang w:val="en-US" w:eastAsia="zh-CN"/>
        </w:rPr>
        <w:t xml:space="preserve"> </w:t>
      </w:r>
      <w:r>
        <w:rPr>
          <w:rFonts w:hint="default" w:ascii="Arial" w:hAnsi="Arial" w:eastAsia="等线" w:cs="Arial"/>
          <w:sz w:val="20"/>
          <w:szCs w:val="20"/>
        </w:rPr>
        <w:t>Red horizontal bars below each panel summarize the overall MR estimate, derived using inverse variance weighted (IVW) or related methods. Narrower CIs suggest higher precision of SNP effect, while overlapping or wide intervals indicate heterogeneity or weaker instruments.</w:t>
      </w:r>
      <w:r>
        <w:rPr>
          <w:rFonts w:hint="eastAsia" w:ascii="Arial" w:hAnsi="Arial" w:eastAsia="等线" w:cs="Arial"/>
          <w:sz w:val="20"/>
          <w:szCs w:val="20"/>
          <w:lang w:val="en-US" w:eastAsia="zh-CN"/>
        </w:rPr>
        <w:t xml:space="preserve"> </w:t>
      </w:r>
      <w:r>
        <w:rPr>
          <w:rFonts w:hint="default" w:ascii="Arial" w:hAnsi="Arial" w:eastAsia="等线" w:cs="Arial"/>
          <w:sz w:val="20"/>
          <w:szCs w:val="20"/>
        </w:rPr>
        <w:t>These plots support the robustness of the causal inference by displaying consistency among SNP instruments, with several panels (</w:t>
      </w:r>
      <w:r>
        <w:rPr>
          <w:rFonts w:hint="default" w:ascii="Arial" w:hAnsi="Arial" w:eastAsia="等线" w:cs="Arial"/>
          <w:i/>
          <w:iCs/>
          <w:sz w:val="20"/>
          <w:szCs w:val="20"/>
        </w:rPr>
        <w:t>e.g</w:t>
      </w:r>
      <w:r>
        <w:rPr>
          <w:rFonts w:hint="default" w:ascii="Arial" w:hAnsi="Arial" w:eastAsia="等线" w:cs="Arial"/>
          <w:sz w:val="20"/>
          <w:szCs w:val="20"/>
        </w:rPr>
        <w:t>., A, E, G) indicating multiple SNPs with effect estimates in the same direction.</w:t>
      </w:r>
    </w:p>
    <w:p w14:paraId="26B6EF6A">
      <w:pPr>
        <w:rPr>
          <w:rFonts w:hint="eastAsia"/>
        </w:rPr>
      </w:pPr>
    </w:p>
    <w:p w14:paraId="25E8D969">
      <w:pPr>
        <w:rPr>
          <w:rFonts w:hint="eastAsia"/>
        </w:rPr>
      </w:pPr>
    </w:p>
    <w:p w14:paraId="40A6D1AD">
      <w:pPr>
        <w:rPr>
          <w:rFonts w:hint="eastAsia"/>
        </w:rPr>
      </w:pPr>
    </w:p>
    <w:p w14:paraId="114D569E">
      <w:pPr>
        <w:rPr>
          <w:rFonts w:hint="eastAsia"/>
        </w:rPr>
      </w:pPr>
    </w:p>
    <w:p w14:paraId="35578EFF">
      <w:pPr>
        <w:rPr>
          <w:rFonts w:hint="eastAsia"/>
        </w:rPr>
      </w:pPr>
    </w:p>
    <w:p w14:paraId="0838ECA7">
      <w:pPr>
        <w:rPr>
          <w:rFonts w:hint="eastAsia"/>
        </w:rPr>
      </w:pPr>
      <w:r>
        <w:rPr>
          <w:rFonts w:hint="eastAsia"/>
        </w:rPr>
        <w:drawing>
          <wp:inline distT="0" distB="0" distL="0" distR="0">
            <wp:extent cx="5274310" cy="7527925"/>
            <wp:effectExtent l="0" t="0" r="2540" b="0"/>
            <wp:docPr id="92596018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960188" name="图片 3"/>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274310" cy="7527925"/>
                    </a:xfrm>
                    <a:prstGeom prst="rect">
                      <a:avLst/>
                    </a:prstGeom>
                  </pic:spPr>
                </pic:pic>
              </a:graphicData>
            </a:graphic>
          </wp:inline>
        </w:drawing>
      </w:r>
    </w:p>
    <w:p w14:paraId="2C60CE6E">
      <w:pPr>
        <w:rPr>
          <w:rFonts w:hint="default" w:ascii="Arial" w:hAnsi="Arial" w:eastAsia="等线" w:cs="Arial"/>
          <w:sz w:val="20"/>
          <w:szCs w:val="20"/>
        </w:rPr>
      </w:pPr>
      <w:r>
        <w:rPr>
          <w:rFonts w:hint="default" w:ascii="Arial" w:hAnsi="Arial" w:eastAsia="等线" w:cs="Arial"/>
          <w:b/>
          <w:bCs/>
          <w:sz w:val="20"/>
          <w:szCs w:val="20"/>
        </w:rPr>
        <w:t xml:space="preserve">Supplementary </w:t>
      </w:r>
      <w:r>
        <w:rPr>
          <w:rFonts w:hint="default" w:ascii="Arial" w:hAnsi="Arial" w:cs="Arial"/>
          <w:b/>
          <w:bCs/>
          <w:sz w:val="20"/>
          <w:szCs w:val="20"/>
        </w:rPr>
        <w:t>Fig</w:t>
      </w:r>
      <w:r>
        <w:rPr>
          <w:rFonts w:hint="default" w:ascii="Arial" w:hAnsi="Arial" w:eastAsia="等线" w:cs="Arial"/>
          <w:b/>
          <w:bCs/>
          <w:sz w:val="20"/>
          <w:szCs w:val="20"/>
        </w:rPr>
        <w:t>.</w:t>
      </w:r>
      <w:r>
        <w:rPr>
          <w:rFonts w:hint="default" w:ascii="Arial" w:hAnsi="Arial" w:cs="Arial"/>
          <w:b/>
          <w:bCs/>
          <w:sz w:val="20"/>
          <w:szCs w:val="20"/>
        </w:rPr>
        <w:t xml:space="preserve"> </w:t>
      </w:r>
      <w:r>
        <w:rPr>
          <w:rFonts w:hint="default" w:ascii="Arial" w:hAnsi="Arial" w:eastAsia="等线" w:cs="Arial"/>
          <w:b/>
          <w:bCs/>
          <w:sz w:val="20"/>
          <w:szCs w:val="20"/>
        </w:rPr>
        <w:t>3</w:t>
      </w:r>
      <w:r>
        <w:rPr>
          <w:rFonts w:hint="default" w:ascii="Arial" w:hAnsi="Arial" w:eastAsia="等线" w:cs="Arial"/>
          <w:sz w:val="20"/>
          <w:szCs w:val="20"/>
        </w:rPr>
        <w:t xml:space="preserve"> Colocalization analysis with inverse MR</w:t>
      </w:r>
    </w:p>
    <w:p w14:paraId="18DC0AD6">
      <w:pPr>
        <w:rPr>
          <w:rFonts w:hint="default" w:ascii="Arial" w:hAnsi="Arial" w:eastAsia="等线" w:cs="Arial"/>
          <w:sz w:val="20"/>
          <w:szCs w:val="20"/>
        </w:rPr>
      </w:pPr>
      <w:r>
        <w:rPr>
          <w:rFonts w:hint="default" w:ascii="Arial" w:hAnsi="Arial" w:eastAsia="等线" w:cs="Arial"/>
          <w:sz w:val="20"/>
          <w:szCs w:val="20"/>
        </w:rPr>
        <w:t xml:space="preserve">(A-B) Associations between SNPs in key genes and bowel cancer: each point indicates a statistically significant association between the SNP and bowel cancer. </w:t>
      </w:r>
    </w:p>
    <w:p w14:paraId="3829B9C1">
      <w:pPr>
        <w:rPr>
          <w:rFonts w:hint="default" w:ascii="Arial" w:hAnsi="Arial" w:eastAsia="等线" w:cs="Arial"/>
          <w:sz w:val="20"/>
          <w:szCs w:val="20"/>
        </w:rPr>
      </w:pPr>
      <w:r>
        <w:rPr>
          <w:rFonts w:hint="default" w:ascii="Arial" w:hAnsi="Arial" w:eastAsia="等线" w:cs="Arial"/>
          <w:sz w:val="20"/>
          <w:szCs w:val="20"/>
        </w:rPr>
        <w:t>(C) Reverse Mendelian randomization analysis was used to determine risk relationships for key gene causality.</w:t>
      </w:r>
    </w:p>
    <w:p w14:paraId="217BA841">
      <w:pPr>
        <w:rPr>
          <w:rFonts w:hint="eastAsia"/>
        </w:rPr>
      </w:pPr>
    </w:p>
    <w:p w14:paraId="1DED39B9">
      <w:pPr>
        <w:rPr>
          <w:rFonts w:hint="eastAsia"/>
        </w:rPr>
      </w:pPr>
      <w:r>
        <w:rPr>
          <w:rFonts w:hint="eastAsia"/>
        </w:rPr>
        <w:drawing>
          <wp:inline distT="0" distB="0" distL="0" distR="0">
            <wp:extent cx="5274310" cy="7618730"/>
            <wp:effectExtent l="0" t="0" r="2540" b="1270"/>
            <wp:docPr id="6313468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346821" name="图片 4"/>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274310" cy="7618730"/>
                    </a:xfrm>
                    <a:prstGeom prst="rect">
                      <a:avLst/>
                    </a:prstGeom>
                  </pic:spPr>
                </pic:pic>
              </a:graphicData>
            </a:graphic>
          </wp:inline>
        </w:drawing>
      </w:r>
    </w:p>
    <w:p w14:paraId="4E10DD70">
      <w:pPr>
        <w:rPr>
          <w:rFonts w:hint="default" w:ascii="Arial" w:hAnsi="Arial" w:eastAsia="等线" w:cs="Arial"/>
          <w:sz w:val="20"/>
          <w:szCs w:val="20"/>
        </w:rPr>
      </w:pPr>
      <w:r>
        <w:rPr>
          <w:rFonts w:hint="default" w:ascii="Arial" w:hAnsi="Arial" w:eastAsia="等线" w:cs="Arial"/>
          <w:b/>
          <w:bCs/>
          <w:sz w:val="20"/>
          <w:szCs w:val="20"/>
        </w:rPr>
        <w:t xml:space="preserve">Supplementary </w:t>
      </w:r>
      <w:r>
        <w:rPr>
          <w:rFonts w:hint="default" w:ascii="Arial" w:hAnsi="Arial" w:cs="Arial"/>
          <w:b/>
          <w:bCs/>
          <w:sz w:val="20"/>
          <w:szCs w:val="20"/>
        </w:rPr>
        <w:t>Fig</w:t>
      </w:r>
      <w:r>
        <w:rPr>
          <w:rFonts w:hint="default" w:ascii="Arial" w:hAnsi="Arial" w:eastAsia="等线" w:cs="Arial"/>
          <w:b/>
          <w:bCs/>
          <w:sz w:val="20"/>
          <w:szCs w:val="20"/>
        </w:rPr>
        <w:t>.</w:t>
      </w:r>
      <w:r>
        <w:rPr>
          <w:rFonts w:hint="default" w:ascii="Arial" w:hAnsi="Arial" w:cs="Arial"/>
          <w:b/>
          <w:bCs/>
          <w:sz w:val="20"/>
          <w:szCs w:val="20"/>
        </w:rPr>
        <w:t xml:space="preserve"> </w:t>
      </w:r>
      <w:r>
        <w:rPr>
          <w:rFonts w:hint="default" w:ascii="Arial" w:hAnsi="Arial" w:eastAsia="等线" w:cs="Arial"/>
          <w:b/>
          <w:bCs/>
          <w:sz w:val="20"/>
          <w:szCs w:val="20"/>
        </w:rPr>
        <w:t>4</w:t>
      </w:r>
      <w:r>
        <w:rPr>
          <w:rFonts w:hint="default" w:ascii="Arial" w:hAnsi="Arial" w:eastAsia="等线" w:cs="Arial"/>
          <w:sz w:val="20"/>
          <w:szCs w:val="20"/>
        </w:rPr>
        <w:t xml:space="preserve"> Correlation of key genes with immune factors</w:t>
      </w:r>
    </w:p>
    <w:p w14:paraId="222843AC">
      <w:pPr>
        <w:rPr>
          <w:rFonts w:hint="default" w:ascii="Arial" w:hAnsi="Arial" w:eastAsia="等线" w:cs="Arial"/>
          <w:sz w:val="20"/>
          <w:szCs w:val="20"/>
        </w:rPr>
      </w:pPr>
      <w:r>
        <w:rPr>
          <w:rFonts w:hint="default" w:ascii="Arial" w:hAnsi="Arial" w:eastAsia="等线" w:cs="Arial"/>
          <w:sz w:val="20"/>
          <w:szCs w:val="20"/>
        </w:rPr>
        <w:t>(A) Chemokines: Includes CXCL and CCL family members involved in immune cell recruitment. Both genes show potential roles in shaping immune cell trafficking.</w:t>
      </w:r>
    </w:p>
    <w:p w14:paraId="2E0AB7E2">
      <w:pPr>
        <w:rPr>
          <w:rFonts w:hint="default" w:ascii="Arial" w:hAnsi="Arial" w:eastAsia="等线" w:cs="Arial"/>
          <w:sz w:val="20"/>
          <w:szCs w:val="20"/>
        </w:rPr>
      </w:pPr>
      <w:r>
        <w:rPr>
          <w:rFonts w:hint="default" w:ascii="Arial" w:hAnsi="Arial" w:eastAsia="等线" w:cs="Arial"/>
          <w:sz w:val="20"/>
          <w:szCs w:val="20"/>
        </w:rPr>
        <w:t>(B) Chemokine receptors: Correlations with receptors reveal possible downstream signaling effects mediated by the key genes.</w:t>
      </w:r>
    </w:p>
    <w:p w14:paraId="28B7771D">
      <w:pPr>
        <w:rPr>
          <w:rFonts w:hint="default" w:ascii="Arial" w:hAnsi="Arial" w:eastAsia="等线" w:cs="Arial"/>
          <w:sz w:val="20"/>
          <w:szCs w:val="20"/>
        </w:rPr>
      </w:pPr>
      <w:r>
        <w:rPr>
          <w:rFonts w:hint="default" w:ascii="Arial" w:hAnsi="Arial" w:eastAsia="等线" w:cs="Arial"/>
          <w:sz w:val="20"/>
          <w:szCs w:val="20"/>
        </w:rPr>
        <w:t>(C) Major histocompatibility complex (MHC) molecules: Strong associations are observed between the key genes and HLA-related genes, indicating involvement in antigen presentation and immune surveillance.</w:t>
      </w:r>
    </w:p>
    <w:p w14:paraId="3375AE2F">
      <w:pPr>
        <w:rPr>
          <w:rFonts w:hint="default" w:ascii="Arial" w:hAnsi="Arial" w:eastAsia="等线" w:cs="Arial"/>
          <w:sz w:val="20"/>
          <w:szCs w:val="20"/>
        </w:rPr>
      </w:pPr>
      <w:r>
        <w:rPr>
          <w:rFonts w:hint="default" w:ascii="Arial" w:hAnsi="Arial" w:eastAsia="等线" w:cs="Arial"/>
          <w:sz w:val="20"/>
          <w:szCs w:val="20"/>
        </w:rPr>
        <w:t>(D)</w:t>
      </w:r>
      <w:r>
        <w:rPr>
          <w:rFonts w:hint="eastAsia" w:ascii="Arial" w:hAnsi="Arial" w:eastAsia="等线" w:cs="Arial"/>
          <w:sz w:val="20"/>
          <w:szCs w:val="20"/>
          <w:lang w:val="en-US" w:eastAsia="zh-CN"/>
        </w:rPr>
        <w:t xml:space="preserve"> </w:t>
      </w:r>
      <w:r>
        <w:rPr>
          <w:rFonts w:hint="default" w:ascii="Arial" w:hAnsi="Arial" w:eastAsia="等线" w:cs="Arial"/>
          <w:sz w:val="20"/>
          <w:szCs w:val="20"/>
        </w:rPr>
        <w:t>Immunoinhibitory molecules: FTH1 and PRDX1 suggest they may influence immunosuppressive pathways within the disease microenvironment.</w:t>
      </w:r>
    </w:p>
    <w:p w14:paraId="4E8BE6D5">
      <w:pPr>
        <w:rPr>
          <w:rFonts w:hint="eastAsia"/>
        </w:rPr>
      </w:pPr>
      <w:r>
        <w:rPr>
          <w:rFonts w:hint="default" w:ascii="Arial" w:hAnsi="Arial" w:eastAsia="等线" w:cs="Arial"/>
          <w:sz w:val="20"/>
          <w:szCs w:val="20"/>
        </w:rPr>
        <w:t>(E)</w:t>
      </w:r>
      <w:r>
        <w:rPr>
          <w:rFonts w:hint="eastAsia" w:ascii="Arial" w:hAnsi="Arial" w:eastAsia="等线" w:cs="Arial"/>
          <w:sz w:val="20"/>
          <w:szCs w:val="20"/>
          <w:lang w:val="en-US" w:eastAsia="zh-CN"/>
        </w:rPr>
        <w:t xml:space="preserve"> </w:t>
      </w:r>
      <w:r>
        <w:rPr>
          <w:rFonts w:hint="default" w:ascii="Arial" w:hAnsi="Arial" w:eastAsia="等线" w:cs="Arial"/>
          <w:sz w:val="20"/>
          <w:szCs w:val="20"/>
        </w:rPr>
        <w:t>Immunostimulatory molecules: Both genes are linked to TNFRSF family members, indicating potential pro-inflammatory or immune-activating roles.</w:t>
      </w:r>
    </w:p>
    <w:p w14:paraId="7A098334">
      <w:pPr>
        <w:rPr>
          <w:rFonts w:hint="eastAsia"/>
        </w:rPr>
      </w:pPr>
    </w:p>
    <w:p w14:paraId="1976A0EB">
      <w:pPr>
        <w:rPr>
          <w:rFonts w:hint="eastAsia"/>
        </w:rPr>
      </w:pPr>
      <w:r>
        <w:rPr>
          <w:rFonts w:hint="eastAsia"/>
        </w:rPr>
        <w:drawing>
          <wp:inline distT="0" distB="0" distL="0" distR="0">
            <wp:extent cx="5274310" cy="2298065"/>
            <wp:effectExtent l="0" t="0" r="2540" b="6985"/>
            <wp:docPr id="194897003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970037" name="图片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274310" cy="2298065"/>
                    </a:xfrm>
                    <a:prstGeom prst="rect">
                      <a:avLst/>
                    </a:prstGeom>
                  </pic:spPr>
                </pic:pic>
              </a:graphicData>
            </a:graphic>
          </wp:inline>
        </w:drawing>
      </w:r>
    </w:p>
    <w:p w14:paraId="4B3EB5CD">
      <w:pPr>
        <w:rPr>
          <w:rFonts w:hint="default" w:ascii="Arial" w:hAnsi="Arial" w:eastAsia="等线" w:cs="Arial"/>
          <w:sz w:val="20"/>
          <w:szCs w:val="20"/>
        </w:rPr>
      </w:pPr>
      <w:r>
        <w:rPr>
          <w:rFonts w:hint="default" w:ascii="Arial" w:hAnsi="Arial" w:eastAsia="等线" w:cs="Arial"/>
          <w:b/>
          <w:bCs/>
          <w:sz w:val="20"/>
          <w:szCs w:val="20"/>
        </w:rPr>
        <w:t xml:space="preserve">Supplementary </w:t>
      </w:r>
      <w:r>
        <w:rPr>
          <w:rFonts w:hint="default" w:ascii="Arial" w:hAnsi="Arial" w:cs="Arial"/>
          <w:b/>
          <w:bCs/>
          <w:sz w:val="20"/>
          <w:szCs w:val="20"/>
        </w:rPr>
        <w:t>Fig</w:t>
      </w:r>
      <w:r>
        <w:rPr>
          <w:rFonts w:hint="default" w:ascii="Arial" w:hAnsi="Arial" w:eastAsia="等线" w:cs="Arial"/>
          <w:b/>
          <w:bCs/>
          <w:sz w:val="20"/>
          <w:szCs w:val="20"/>
        </w:rPr>
        <w:t>.</w:t>
      </w:r>
      <w:r>
        <w:rPr>
          <w:rFonts w:hint="default" w:ascii="Arial" w:hAnsi="Arial" w:cs="Arial"/>
          <w:b/>
          <w:bCs/>
          <w:sz w:val="20"/>
          <w:szCs w:val="20"/>
        </w:rPr>
        <w:t xml:space="preserve"> </w:t>
      </w:r>
      <w:r>
        <w:rPr>
          <w:rFonts w:hint="default" w:ascii="Arial" w:hAnsi="Arial" w:eastAsia="等线" w:cs="Arial"/>
          <w:b/>
          <w:bCs/>
          <w:sz w:val="20"/>
          <w:szCs w:val="20"/>
        </w:rPr>
        <w:t>5</w:t>
      </w:r>
      <w:r>
        <w:rPr>
          <w:rFonts w:hint="default" w:ascii="Arial" w:hAnsi="Arial" w:eastAsia="等线" w:cs="Arial"/>
          <w:sz w:val="20"/>
          <w:szCs w:val="20"/>
        </w:rPr>
        <w:t xml:space="preserve"> Drug sensitivity correlation</w:t>
      </w:r>
    </w:p>
    <w:p w14:paraId="37EB5DF6">
      <w:pPr>
        <w:rPr>
          <w:rFonts w:hint="eastAsia"/>
        </w:rPr>
      </w:pPr>
      <w:r>
        <w:rPr>
          <w:rFonts w:hint="default" w:ascii="Arial" w:hAnsi="Arial" w:eastAsia="等线" w:cs="Arial"/>
          <w:sz w:val="20"/>
          <w:szCs w:val="20"/>
        </w:rPr>
        <w:t>(A-B) Violin plots showing the differential sensitivity to chemotherapeutic agents in samples stratified by high and low expression of FTH1 (A) and PRDX1 (B). The classification was based on median gene expression. Drug response is quantified as the estimated IC50 (half maximal inhibitory concentration), with lower IC50 indicating greater sensitivity.</w:t>
      </w:r>
    </w:p>
    <w:p w14:paraId="71E15FE4">
      <w:pPr>
        <w:rPr>
          <w:rFonts w:hint="eastAsia"/>
        </w:rPr>
      </w:pPr>
    </w:p>
    <w:p w14:paraId="251A2F29">
      <w:pPr>
        <w:rPr>
          <w:rFonts w:hint="eastAsia"/>
        </w:rPr>
      </w:pPr>
    </w:p>
    <w:p w14:paraId="48C8F932">
      <w:pPr>
        <w:rPr>
          <w:rFonts w:hint="eastAsia"/>
        </w:rPr>
      </w:pPr>
      <w:r>
        <w:rPr>
          <w:rFonts w:hint="eastAsia"/>
        </w:rPr>
        <w:drawing>
          <wp:inline distT="0" distB="0" distL="0" distR="0">
            <wp:extent cx="5274310" cy="7458075"/>
            <wp:effectExtent l="0" t="0" r="2540" b="9525"/>
            <wp:docPr id="179567366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673666" name="图片 6"/>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274310" cy="7458075"/>
                    </a:xfrm>
                    <a:prstGeom prst="rect">
                      <a:avLst/>
                    </a:prstGeom>
                  </pic:spPr>
                </pic:pic>
              </a:graphicData>
            </a:graphic>
          </wp:inline>
        </w:drawing>
      </w:r>
    </w:p>
    <w:p w14:paraId="0BDE0BCA">
      <w:pPr>
        <w:rPr>
          <w:rFonts w:hint="default" w:ascii="Arial" w:hAnsi="Arial" w:eastAsia="等线" w:cs="Arial"/>
          <w:sz w:val="20"/>
          <w:szCs w:val="20"/>
        </w:rPr>
      </w:pPr>
      <w:r>
        <w:rPr>
          <w:rFonts w:hint="default" w:ascii="Arial" w:hAnsi="Arial" w:eastAsia="等线" w:cs="Arial"/>
          <w:b/>
          <w:bCs/>
          <w:sz w:val="20"/>
          <w:szCs w:val="20"/>
        </w:rPr>
        <w:t xml:space="preserve">Supplementary </w:t>
      </w:r>
      <w:r>
        <w:rPr>
          <w:rFonts w:hint="default" w:ascii="Arial" w:hAnsi="Arial" w:cs="Arial"/>
          <w:b/>
          <w:bCs/>
          <w:sz w:val="20"/>
          <w:szCs w:val="20"/>
        </w:rPr>
        <w:t>Fig</w:t>
      </w:r>
      <w:r>
        <w:rPr>
          <w:rFonts w:hint="default" w:ascii="Arial" w:hAnsi="Arial" w:eastAsia="等线" w:cs="Arial"/>
          <w:b/>
          <w:bCs/>
          <w:sz w:val="20"/>
          <w:szCs w:val="20"/>
        </w:rPr>
        <w:t>.</w:t>
      </w:r>
      <w:r>
        <w:rPr>
          <w:rFonts w:hint="default" w:ascii="Arial" w:hAnsi="Arial" w:cs="Arial"/>
          <w:b/>
          <w:bCs/>
          <w:sz w:val="20"/>
          <w:szCs w:val="20"/>
        </w:rPr>
        <w:t xml:space="preserve"> </w:t>
      </w:r>
      <w:r>
        <w:rPr>
          <w:rFonts w:hint="default" w:ascii="Arial" w:hAnsi="Arial" w:eastAsia="等线" w:cs="Arial"/>
          <w:b/>
          <w:bCs/>
          <w:sz w:val="20"/>
          <w:szCs w:val="20"/>
        </w:rPr>
        <w:t>6</w:t>
      </w:r>
      <w:r>
        <w:rPr>
          <w:rFonts w:hint="default" w:ascii="Arial" w:hAnsi="Arial" w:eastAsia="等线" w:cs="Arial"/>
          <w:sz w:val="20"/>
          <w:szCs w:val="20"/>
        </w:rPr>
        <w:t xml:space="preserve"> key gene-related transcription</w:t>
      </w:r>
    </w:p>
    <w:p w14:paraId="6076F469">
      <w:pPr>
        <w:rPr>
          <w:rFonts w:hint="default" w:ascii="Arial" w:hAnsi="Arial" w:eastAsia="等线" w:cs="Arial"/>
          <w:sz w:val="20"/>
          <w:szCs w:val="20"/>
        </w:rPr>
      </w:pPr>
      <w:r>
        <w:rPr>
          <w:rFonts w:hint="default" w:ascii="Arial" w:hAnsi="Arial" w:eastAsia="等线" w:cs="Arial"/>
          <w:sz w:val="20"/>
          <w:szCs w:val="20"/>
        </w:rPr>
        <w:t>(A)The transcriptional regulatory network of key genes is depicted, with red indicating the key genes and yellow denoting the transcription factors.</w:t>
      </w:r>
    </w:p>
    <w:p w14:paraId="4E8B4A8B">
      <w:pPr>
        <w:rPr>
          <w:rFonts w:hint="default" w:ascii="Arial" w:hAnsi="Arial" w:eastAsia="等线" w:cs="Arial"/>
          <w:sz w:val="20"/>
          <w:szCs w:val="20"/>
        </w:rPr>
      </w:pPr>
      <w:r>
        <w:rPr>
          <w:rFonts w:hint="default" w:ascii="Arial" w:hAnsi="Arial" w:eastAsia="等线" w:cs="Arial"/>
          <w:sz w:val="20"/>
          <w:szCs w:val="20"/>
        </w:rPr>
        <w:t>(B)All key gene-enriched motifs and their corresponding transcription factors are shown.</w:t>
      </w:r>
    </w:p>
    <w:p w14:paraId="2771D637">
      <w:pPr>
        <w:rPr>
          <w:rFonts w:hint="eastAsia"/>
        </w:rPr>
      </w:pPr>
    </w:p>
    <w:p w14:paraId="68C8FB15">
      <w:pPr>
        <w:rPr>
          <w:rFonts w:hint="eastAsia"/>
        </w:rPr>
      </w:pPr>
    </w:p>
    <w:p w14:paraId="3E1AC9CA">
      <w:pPr>
        <w:rPr>
          <w:rFonts w:hint="eastAsia"/>
        </w:rPr>
      </w:pPr>
      <w:r>
        <w:rPr>
          <w:rFonts w:hint="eastAsia"/>
        </w:rPr>
        <w:drawing>
          <wp:inline distT="0" distB="0" distL="0" distR="0">
            <wp:extent cx="5274310" cy="3352165"/>
            <wp:effectExtent l="0" t="0" r="2540" b="635"/>
            <wp:docPr id="130656240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562401" name="图片 7"/>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274310" cy="3352165"/>
                    </a:xfrm>
                    <a:prstGeom prst="rect">
                      <a:avLst/>
                    </a:prstGeom>
                  </pic:spPr>
                </pic:pic>
              </a:graphicData>
            </a:graphic>
          </wp:inline>
        </w:drawing>
      </w:r>
    </w:p>
    <w:p w14:paraId="5BCE3435">
      <w:pPr>
        <w:rPr>
          <w:rFonts w:hint="default" w:ascii="Arial" w:hAnsi="Arial" w:eastAsia="等线" w:cs="Arial"/>
          <w:sz w:val="20"/>
          <w:szCs w:val="20"/>
        </w:rPr>
      </w:pPr>
      <w:r>
        <w:rPr>
          <w:rFonts w:hint="default" w:ascii="Arial" w:hAnsi="Arial" w:eastAsia="等线" w:cs="Arial"/>
          <w:b/>
          <w:bCs/>
          <w:sz w:val="20"/>
          <w:szCs w:val="20"/>
        </w:rPr>
        <w:t xml:space="preserve">Supplementary </w:t>
      </w:r>
      <w:r>
        <w:rPr>
          <w:rFonts w:hint="default" w:ascii="Arial" w:hAnsi="Arial" w:cs="Arial"/>
          <w:b/>
          <w:bCs/>
          <w:sz w:val="20"/>
          <w:szCs w:val="20"/>
        </w:rPr>
        <w:t>Fig</w:t>
      </w:r>
      <w:r>
        <w:rPr>
          <w:rFonts w:hint="default" w:ascii="Arial" w:hAnsi="Arial" w:eastAsia="等线" w:cs="Arial"/>
          <w:b/>
          <w:bCs/>
          <w:sz w:val="20"/>
          <w:szCs w:val="20"/>
        </w:rPr>
        <w:t>.</w:t>
      </w:r>
      <w:r>
        <w:rPr>
          <w:rFonts w:hint="default" w:ascii="Arial" w:hAnsi="Arial" w:cs="Arial"/>
          <w:b/>
          <w:bCs/>
          <w:sz w:val="20"/>
          <w:szCs w:val="20"/>
        </w:rPr>
        <w:t xml:space="preserve"> </w:t>
      </w:r>
      <w:r>
        <w:rPr>
          <w:rFonts w:hint="default" w:ascii="Arial" w:hAnsi="Arial" w:eastAsia="等线" w:cs="Arial"/>
          <w:b/>
          <w:bCs/>
          <w:sz w:val="20"/>
          <w:szCs w:val="20"/>
        </w:rPr>
        <w:t>7</w:t>
      </w:r>
      <w:r>
        <w:rPr>
          <w:rFonts w:hint="default" w:ascii="Arial" w:hAnsi="Arial" w:cs="Arial"/>
          <w:b/>
          <w:bCs/>
          <w:sz w:val="20"/>
          <w:szCs w:val="20"/>
        </w:rPr>
        <w:t xml:space="preserve"> </w:t>
      </w:r>
      <w:r>
        <w:rPr>
          <w:rFonts w:hint="default" w:ascii="Arial" w:hAnsi="Arial" w:eastAsia="等线" w:cs="Arial"/>
          <w:sz w:val="20"/>
          <w:szCs w:val="20"/>
        </w:rPr>
        <w:t>Activity differences in immune metabolic pathways</w:t>
      </w:r>
    </w:p>
    <w:p w14:paraId="41119755">
      <w:pPr>
        <w:rPr>
          <w:rFonts w:hint="default" w:ascii="Arial" w:hAnsi="Arial" w:eastAsia="等线" w:cs="Arial"/>
          <w:sz w:val="20"/>
          <w:szCs w:val="20"/>
        </w:rPr>
      </w:pPr>
      <w:r>
        <w:rPr>
          <w:rFonts w:hint="default" w:ascii="Arial" w:hAnsi="Arial" w:eastAsia="等线" w:cs="Arial"/>
          <w:sz w:val="20"/>
          <w:szCs w:val="20"/>
        </w:rPr>
        <w:t>(A) Bubble plot illustrating the association between expression levels of key genes (FTH1 and PRDX1) and the activity of various immune-metabolic-related pathways.  Bubble color indicates the strength and direction of association based on logFC values (red: higher activity in high-expression group;  blue: lower activity).  Bubble size reflects statistical significance based on false discovery rate (FDR), with larger dots indicating greater significance.</w:t>
      </w:r>
    </w:p>
    <w:p w14:paraId="0660CD28">
      <w:pPr>
        <w:rPr>
          <w:sz w:val="20"/>
          <w:szCs w:val="20"/>
        </w:rPr>
      </w:pPr>
      <w:r>
        <w:rPr>
          <w:rFonts w:hint="default" w:ascii="Arial" w:hAnsi="Arial" w:eastAsia="等线" w:cs="Arial"/>
          <w:sz w:val="20"/>
          <w:szCs w:val="20"/>
        </w:rPr>
        <w:t xml:space="preserve">Pathways are functionally grouped and color-coded at the bottom by classification: immune, metabolic, signaling, and proliferation.  </w:t>
      </w:r>
    </w:p>
    <w:p w14:paraId="0E11145A">
      <w:pPr>
        <w:rPr>
          <w:sz w:val="20"/>
          <w:szCs w:val="20"/>
        </w:rPr>
      </w:pPr>
    </w:p>
    <w:p w14:paraId="5ABDF724">
      <w:pPr>
        <w:rPr>
          <w:sz w:val="20"/>
          <w:szCs w:val="20"/>
        </w:rPr>
      </w:pPr>
    </w:p>
    <w:p w14:paraId="25FEA762">
      <w:pPr>
        <w:rPr>
          <w:sz w:val="20"/>
          <w:szCs w:val="20"/>
        </w:rPr>
      </w:pPr>
    </w:p>
    <w:p w14:paraId="6AF4A15E">
      <w:pPr>
        <w:rPr>
          <w:sz w:val="20"/>
          <w:szCs w:val="20"/>
        </w:rPr>
      </w:pPr>
    </w:p>
    <w:p w14:paraId="2BE5A3B9">
      <w:pPr>
        <w:rPr>
          <w:sz w:val="20"/>
          <w:szCs w:val="20"/>
        </w:rPr>
      </w:pPr>
      <w:r>
        <w:rPr>
          <w:rFonts w:hint="eastAsia"/>
          <w:sz w:val="20"/>
          <w:szCs w:val="20"/>
        </w:rPr>
        <w:drawing>
          <wp:inline distT="0" distB="0" distL="0" distR="0">
            <wp:extent cx="5274310" cy="1977390"/>
            <wp:effectExtent l="0" t="0" r="2540" b="3810"/>
            <wp:docPr id="3393973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97383" name="图片 1"/>
                    <pic:cNvPicPr>
                      <a:picLocks noChangeAspect="1"/>
                    </pic:cNvPicPr>
                  </pic:nvPicPr>
                  <pic:blipFill>
                    <a:blip r:embed="rId11"/>
                    <a:stretch>
                      <a:fillRect/>
                    </a:stretch>
                  </pic:blipFill>
                  <pic:spPr>
                    <a:xfrm>
                      <a:off x="0" y="0"/>
                      <a:ext cx="5274310" cy="1977390"/>
                    </a:xfrm>
                    <a:prstGeom prst="rect">
                      <a:avLst/>
                    </a:prstGeom>
                  </pic:spPr>
                </pic:pic>
              </a:graphicData>
            </a:graphic>
          </wp:inline>
        </w:drawing>
      </w:r>
    </w:p>
    <w:p w14:paraId="12619112">
      <w:pPr>
        <w:rPr>
          <w:sz w:val="20"/>
          <w:szCs w:val="20"/>
        </w:rPr>
      </w:pPr>
    </w:p>
    <w:p w14:paraId="33B31A61">
      <w:pPr>
        <w:rPr>
          <w:rFonts w:hint="default" w:ascii="Arial" w:hAnsi="Arial" w:eastAsia="等线" w:cs="Arial"/>
          <w:sz w:val="20"/>
          <w:szCs w:val="20"/>
        </w:rPr>
      </w:pPr>
      <w:r>
        <w:rPr>
          <w:rFonts w:hint="default" w:ascii="Arial" w:hAnsi="Arial" w:eastAsia="等线" w:cs="Arial"/>
          <w:b/>
          <w:bCs/>
          <w:sz w:val="20"/>
          <w:szCs w:val="20"/>
        </w:rPr>
        <w:t xml:space="preserve">Supplementary </w:t>
      </w:r>
      <w:r>
        <w:rPr>
          <w:rFonts w:hint="default" w:ascii="Arial" w:hAnsi="Arial" w:cs="Arial"/>
          <w:b/>
          <w:bCs/>
          <w:sz w:val="20"/>
          <w:szCs w:val="20"/>
        </w:rPr>
        <w:t>Fig</w:t>
      </w:r>
      <w:r>
        <w:rPr>
          <w:rFonts w:hint="default" w:ascii="Arial" w:hAnsi="Arial" w:eastAsia="等线" w:cs="Arial"/>
          <w:b/>
          <w:bCs/>
          <w:sz w:val="20"/>
          <w:szCs w:val="20"/>
        </w:rPr>
        <w:t>.</w:t>
      </w:r>
      <w:r>
        <w:rPr>
          <w:rFonts w:hint="default" w:ascii="Arial" w:hAnsi="Arial" w:cs="Arial"/>
          <w:b/>
          <w:bCs/>
          <w:sz w:val="20"/>
          <w:szCs w:val="20"/>
        </w:rPr>
        <w:t xml:space="preserve"> </w:t>
      </w:r>
      <w:r>
        <w:rPr>
          <w:rFonts w:hint="default" w:ascii="Arial" w:hAnsi="Arial" w:eastAsia="等线" w:cs="Arial"/>
          <w:b/>
          <w:bCs/>
          <w:sz w:val="20"/>
          <w:szCs w:val="20"/>
        </w:rPr>
        <w:t>8</w:t>
      </w:r>
      <w:r>
        <w:rPr>
          <w:rFonts w:hint="default" w:ascii="Arial" w:hAnsi="Arial" w:cs="Arial"/>
          <w:b/>
          <w:bCs/>
          <w:sz w:val="20"/>
          <w:szCs w:val="20"/>
        </w:rPr>
        <w:t xml:space="preserve"> </w:t>
      </w:r>
      <w:r>
        <w:rPr>
          <w:rFonts w:hint="default" w:ascii="Arial" w:hAnsi="Arial" w:eastAsia="等线" w:cs="Arial"/>
          <w:sz w:val="20"/>
          <w:szCs w:val="20"/>
        </w:rPr>
        <w:t>Protein expression of key genes in colorectal cancer</w:t>
      </w:r>
    </w:p>
    <w:p w14:paraId="7907D393">
      <w:pPr>
        <w:rPr>
          <w:rFonts w:hint="default" w:ascii="Arial" w:hAnsi="Arial" w:eastAsia="等线" w:cs="Arial"/>
          <w:sz w:val="20"/>
          <w:szCs w:val="20"/>
        </w:rPr>
      </w:pPr>
      <w:r>
        <w:rPr>
          <w:rFonts w:hint="default" w:ascii="Arial" w:hAnsi="Arial" w:eastAsia="等线" w:cs="Arial"/>
          <w:sz w:val="20"/>
          <w:szCs w:val="20"/>
        </w:rPr>
        <w:t>(A)</w:t>
      </w:r>
      <w:r>
        <w:rPr>
          <w:rFonts w:hint="default" w:ascii="Arial" w:hAnsi="Arial" w:cs="Arial"/>
        </w:rPr>
        <w:t xml:space="preserve"> </w:t>
      </w:r>
      <w:r>
        <w:rPr>
          <w:rFonts w:hint="default" w:ascii="Arial" w:hAnsi="Arial" w:eastAsia="等线" w:cs="Arial"/>
          <w:sz w:val="20"/>
          <w:szCs w:val="20"/>
        </w:rPr>
        <w:t>The protein expression of FHT1. Antibody used: CAB008623.</w:t>
      </w:r>
    </w:p>
    <w:p w14:paraId="54BFDA0E">
      <w:pPr>
        <w:rPr>
          <w:rFonts w:hint="eastAsia" w:ascii="Arial" w:hAnsi="Arial" w:eastAsia="等线" w:cs="Arial"/>
          <w:sz w:val="20"/>
          <w:szCs w:val="20"/>
          <w:lang w:val="en-US" w:eastAsia="zh-CN"/>
        </w:rPr>
      </w:pPr>
      <w:r>
        <w:rPr>
          <w:rFonts w:hint="default" w:ascii="Arial" w:hAnsi="Arial" w:eastAsia="等线" w:cs="Arial"/>
          <w:sz w:val="20"/>
          <w:szCs w:val="20"/>
        </w:rPr>
        <w:t>(B) The protein expression of PRDX1.</w:t>
      </w:r>
      <w:r>
        <w:rPr>
          <w:rFonts w:hint="eastAsia" w:ascii="Arial" w:hAnsi="Arial" w:eastAsia="等线" w:cs="Arial"/>
          <w:sz w:val="20"/>
          <w:szCs w:val="20"/>
          <w:lang w:val="en-US" w:eastAsia="zh-CN"/>
        </w:rPr>
        <w:t xml:space="preserve"> Antibody used: HPA007730.</w:t>
      </w:r>
    </w:p>
    <w:p w14:paraId="620EE87B">
      <w:pPr>
        <w:rPr>
          <w:rFonts w:hint="eastAsia"/>
          <w:b/>
          <w:bCs/>
          <w:sz w:val="20"/>
          <w:szCs w:val="20"/>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8E2"/>
    <w:rsid w:val="000C107E"/>
    <w:rsid w:val="001863AC"/>
    <w:rsid w:val="0029235E"/>
    <w:rsid w:val="002C5910"/>
    <w:rsid w:val="004078A5"/>
    <w:rsid w:val="005348E2"/>
    <w:rsid w:val="005F641A"/>
    <w:rsid w:val="006073ED"/>
    <w:rsid w:val="0061214A"/>
    <w:rsid w:val="006D2B61"/>
    <w:rsid w:val="008D21E0"/>
    <w:rsid w:val="009B6E1B"/>
    <w:rsid w:val="00A226AA"/>
    <w:rsid w:val="00AC3865"/>
    <w:rsid w:val="00C313F6"/>
    <w:rsid w:val="00C57702"/>
    <w:rsid w:val="00E03E15"/>
    <w:rsid w:val="00E8369E"/>
    <w:rsid w:val="00EE205B"/>
    <w:rsid w:val="00F66AEA"/>
    <w:rsid w:val="02223D56"/>
    <w:rsid w:val="059331A5"/>
    <w:rsid w:val="068E0A97"/>
    <w:rsid w:val="0EED46AC"/>
    <w:rsid w:val="25783B09"/>
    <w:rsid w:val="2A5C3B42"/>
    <w:rsid w:val="2F2D2E5F"/>
    <w:rsid w:val="3B6409B2"/>
    <w:rsid w:val="3BAB7DE9"/>
    <w:rsid w:val="3C9116D8"/>
    <w:rsid w:val="464108B2"/>
    <w:rsid w:val="4C1C4A6D"/>
    <w:rsid w:val="5F78498A"/>
    <w:rsid w:val="64304A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7"/>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18"/>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19"/>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0"/>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1"/>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3"/>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5"/>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5">
    <w:name w:val="标题 1 字符"/>
    <w:basedOn w:val="14"/>
    <w:link w:val="2"/>
    <w:qFormat/>
    <w:uiPriority w:val="9"/>
    <w:rPr>
      <w:rFonts w:asciiTheme="majorHAnsi" w:hAnsiTheme="majorHAnsi" w:eastAsiaTheme="majorEastAsia" w:cstheme="majorBidi"/>
      <w:color w:val="2F5597" w:themeColor="accent1" w:themeShade="BF"/>
      <w:sz w:val="48"/>
      <w:szCs w:val="48"/>
    </w:rPr>
  </w:style>
  <w:style w:type="character" w:customStyle="1" w:styleId="16">
    <w:name w:val="标题 2 字符"/>
    <w:basedOn w:val="14"/>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17">
    <w:name w:val="标题 3 字符"/>
    <w:basedOn w:val="14"/>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18">
    <w:name w:val="标题 4 字符"/>
    <w:basedOn w:val="14"/>
    <w:link w:val="5"/>
    <w:semiHidden/>
    <w:qFormat/>
    <w:uiPriority w:val="9"/>
    <w:rPr>
      <w:rFonts w:cstheme="majorBidi"/>
      <w:color w:val="2F5597" w:themeColor="accent1" w:themeShade="BF"/>
      <w:sz w:val="28"/>
      <w:szCs w:val="28"/>
    </w:rPr>
  </w:style>
  <w:style w:type="character" w:customStyle="1" w:styleId="19">
    <w:name w:val="标题 5 字符"/>
    <w:basedOn w:val="14"/>
    <w:link w:val="6"/>
    <w:semiHidden/>
    <w:qFormat/>
    <w:uiPriority w:val="9"/>
    <w:rPr>
      <w:rFonts w:cstheme="majorBidi"/>
      <w:color w:val="2F5597" w:themeColor="accent1" w:themeShade="BF"/>
      <w:sz w:val="24"/>
      <w:szCs w:val="24"/>
    </w:rPr>
  </w:style>
  <w:style w:type="character" w:customStyle="1" w:styleId="20">
    <w:name w:val="标题 6 字符"/>
    <w:basedOn w:val="14"/>
    <w:link w:val="7"/>
    <w:semiHidden/>
    <w:qFormat/>
    <w:uiPriority w:val="9"/>
    <w:rPr>
      <w:rFonts w:cstheme="majorBidi"/>
      <w:b/>
      <w:bCs/>
      <w:color w:val="2F5597" w:themeColor="accent1" w:themeShade="BF"/>
    </w:rPr>
  </w:style>
  <w:style w:type="character" w:customStyle="1" w:styleId="21">
    <w:name w:val="标题 7 字符"/>
    <w:basedOn w:val="1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qFormat/>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4"/>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4"/>
    <w:qFormat/>
    <w:uiPriority w:val="21"/>
    <w:rPr>
      <w:i/>
      <w:iCs/>
      <w:color w:val="2F5597" w:themeColor="accent1" w:themeShade="BF"/>
    </w:rPr>
  </w:style>
  <w:style w:type="paragraph" w:styleId="30">
    <w:name w:val="Intense Quote"/>
    <w:basedOn w:val="1"/>
    <w:next w:val="1"/>
    <w:link w:val="3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1">
    <w:name w:val="明显引用 字符"/>
    <w:basedOn w:val="14"/>
    <w:link w:val="30"/>
    <w:qFormat/>
    <w:uiPriority w:val="30"/>
    <w:rPr>
      <w:i/>
      <w:iCs/>
      <w:color w:val="2F5597" w:themeColor="accent1" w:themeShade="BF"/>
    </w:rPr>
  </w:style>
  <w:style w:type="character" w:customStyle="1" w:styleId="32">
    <w:name w:val="Intense Reference"/>
    <w:basedOn w:val="14"/>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8.tiff"/><Relationship Id="rId10" Type="http://schemas.openxmlformats.org/officeDocument/2006/relationships/image" Target="media/image7.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341</Words>
  <Characters>2091</Characters>
  <Lines>59</Lines>
  <Paragraphs>23</Paragraphs>
  <TotalTime>13</TotalTime>
  <ScaleCrop>false</ScaleCrop>
  <LinksUpToDate>false</LinksUpToDate>
  <CharactersWithSpaces>2410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2025-03-19T02:18:00Z</dcterms:created>
  <dc:creator>yanhongtinglook@outlook.com</dc:creator>
  <cp:lastModifiedBy>YYYahoo</cp:lastModifiedBy>
  <dcterms:modified xsi:type="dcterms:W3CDTF">2025-06-13T06:09:27Z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9c28f867183a2c64f2eb6ce060963391a7744a1efd291c0adffa9786e8a54ba7</vt:lpwstr>
  </property>
  <property fmtid="{D5CDD505-2E9C-101B-9397-08002B2CF9AE}" pid="3" name="KSOTemplateDocerSaveRecord">
    <vt:lpwstr>eyJoZGlkIjoiOGI4NjI5OTBmMDM1ODFlMDkzNDFlZTFiMWNhZWU5ZTMiLCJ1c2VySWQiOiIzMDIyMjY2MzMifQ==</vt:lpwstr>
  </property>
  <property fmtid="{D5CDD505-2E9C-101B-9397-08002B2CF9AE}" pid="4" name="KSOProductBuildVer">
    <vt:lpwstr>2052-12.1.0.21541</vt:lpwstr>
  </property>
  <property fmtid="{D5CDD505-2E9C-101B-9397-08002B2CF9AE}" pid="5" name="ICV">
    <vt:lpwstr>028628D30A27459CA89E7599EAE72AA7_13</vt:lpwstr>
  </property>
</Properties>
</file>