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08E91" w14:textId="77777777" w:rsidR="00E7432C" w:rsidRPr="00DA043C" w:rsidRDefault="00E7432C" w:rsidP="00E7432C">
      <w:pPr>
        <w:adjustRightInd w:val="0"/>
        <w:snapToGrid w:val="0"/>
        <w:spacing w:line="360" w:lineRule="auto"/>
        <w:jc w:val="left"/>
        <w:rPr>
          <w:rFonts w:ascii="Times New Roman" w:eastAsia="微软雅黑" w:hAnsi="Times New Roman" w:cs="Times New Roman"/>
          <w:b/>
          <w:bCs/>
          <w:sz w:val="24"/>
          <w:szCs w:val="24"/>
        </w:rPr>
      </w:pPr>
      <w:r w:rsidRPr="00DA043C">
        <w:rPr>
          <w:rFonts w:ascii="Times New Roman" w:eastAsia="微软雅黑" w:hAnsi="Times New Roman" w:cs="Times New Roman"/>
          <w:b/>
          <w:bCs/>
          <w:sz w:val="24"/>
          <w:szCs w:val="24"/>
        </w:rPr>
        <w:t>Library preparation and sequencing</w:t>
      </w:r>
    </w:p>
    <w:p w14:paraId="598C7B5E" w14:textId="78042C09" w:rsidR="00E7432C" w:rsidRPr="00E7432C" w:rsidRDefault="00E7432C" w:rsidP="00E7432C">
      <w:pPr>
        <w:adjustRightInd w:val="0"/>
        <w:snapToGrid w:val="0"/>
        <w:spacing w:line="360" w:lineRule="auto"/>
        <w:jc w:val="left"/>
        <w:rPr>
          <w:rFonts w:ascii="Times New Roman" w:eastAsia="微软雅黑" w:hAnsi="Times New Roman" w:cs="Times New Roman" w:hint="eastAsia"/>
          <w:color w:val="000000" w:themeColor="text1"/>
          <w:sz w:val="24"/>
          <w:szCs w:val="24"/>
        </w:rPr>
      </w:pPr>
      <w:r w:rsidRPr="00DA043C">
        <w:rPr>
          <w:rFonts w:ascii="Times New Roman" w:eastAsia="微软雅黑" w:hAnsi="Times New Roman" w:cs="Times New Roman"/>
          <w:sz w:val="24"/>
          <w:szCs w:val="24"/>
        </w:rPr>
        <w:t xml:space="preserve">Genomic DNA from formalin-fixed and paraffin-embedded (FFPE) sections and biopsy samples/ white blood cell control samples were extracted with the </w:t>
      </w:r>
      <w:proofErr w:type="spellStart"/>
      <w:r w:rsidRPr="00DA043C">
        <w:rPr>
          <w:rFonts w:ascii="Times New Roman" w:eastAsia="微软雅黑" w:hAnsi="Times New Roman" w:cs="Times New Roman"/>
          <w:sz w:val="24"/>
          <w:szCs w:val="24"/>
        </w:rPr>
        <w:t>QIAamp</w:t>
      </w:r>
      <w:proofErr w:type="spellEnd"/>
      <w:r w:rsidRPr="00DA043C">
        <w:rPr>
          <w:rFonts w:ascii="Times New Roman" w:eastAsia="微软雅黑" w:hAnsi="Times New Roman" w:cs="Times New Roman"/>
          <w:sz w:val="24"/>
          <w:szCs w:val="24"/>
        </w:rPr>
        <w:t xml:space="preserve"> DNA FFPE Tissue Kit and </w:t>
      </w:r>
      <w:proofErr w:type="spellStart"/>
      <w:r w:rsidRPr="00DA043C">
        <w:rPr>
          <w:rFonts w:ascii="Times New Roman" w:eastAsia="微软雅黑" w:hAnsi="Times New Roman" w:cs="Times New Roman"/>
          <w:sz w:val="24"/>
          <w:szCs w:val="24"/>
        </w:rPr>
        <w:t>DNeasy</w:t>
      </w:r>
      <w:proofErr w:type="spellEnd"/>
      <w:r w:rsidRPr="00DA043C">
        <w:rPr>
          <w:rFonts w:ascii="Times New Roman" w:eastAsia="微软雅黑" w:hAnsi="Times New Roman" w:cs="Times New Roman"/>
          <w:sz w:val="24"/>
          <w:szCs w:val="24"/>
        </w:rPr>
        <w:t xml:space="preserve"> Blood and Tissue Kit (Qiagen), respectively. The concentration and quality of extracted DNA were assessed with Qubit 3.0 Fluorometer and Nanodrop 2000 (Thermo Fisher Scientific). Library preparations were performed with the KAPA Hyper Prep Kit (KAPA Biosystems). Whole-exome capture was performed using the Target Cap® Core Exome Panel v3.0 (Boko Biotechnology Co., Ltd.) according to the manufacturer’s </w:t>
      </w:r>
      <w:proofErr w:type="spellStart"/>
      <w:proofErr w:type="gramStart"/>
      <w:r w:rsidRPr="00DA043C">
        <w:rPr>
          <w:rFonts w:ascii="Times New Roman" w:eastAsia="微软雅黑" w:hAnsi="Times New Roman" w:cs="Times New Roman"/>
          <w:sz w:val="24"/>
          <w:szCs w:val="24"/>
        </w:rPr>
        <w:t>protocol.Captured</w:t>
      </w:r>
      <w:proofErr w:type="spellEnd"/>
      <w:proofErr w:type="gramEnd"/>
      <w:r w:rsidRPr="00DA043C">
        <w:rPr>
          <w:rFonts w:ascii="Times New Roman" w:eastAsia="微软雅黑" w:hAnsi="Times New Roman" w:cs="Times New Roman"/>
          <w:sz w:val="24"/>
          <w:szCs w:val="24"/>
        </w:rPr>
        <w:t xml:space="preserve"> libraries were on-bead PCR amplified with Illumina p5 (5’ AAT GAT ACG GCG ACC </w:t>
      </w:r>
      <w:proofErr w:type="spellStart"/>
      <w:r w:rsidRPr="00DA043C">
        <w:rPr>
          <w:rFonts w:ascii="Times New Roman" w:eastAsia="微软雅黑" w:hAnsi="Times New Roman" w:cs="Times New Roman"/>
          <w:sz w:val="24"/>
          <w:szCs w:val="24"/>
        </w:rPr>
        <w:t>ACC</w:t>
      </w:r>
      <w:proofErr w:type="spellEnd"/>
      <w:r w:rsidRPr="00DA043C">
        <w:rPr>
          <w:rFonts w:ascii="Times New Roman" w:eastAsia="微软雅黑" w:hAnsi="Times New Roman" w:cs="Times New Roman"/>
          <w:sz w:val="24"/>
          <w:szCs w:val="24"/>
        </w:rPr>
        <w:t xml:space="preserve"> GA 3’) and p7 primers (5’ CAA GCA GAA GAC GGC ATA CGA GAT 3’) in KAPA HiFi </w:t>
      </w:r>
      <w:proofErr w:type="spellStart"/>
      <w:r w:rsidRPr="00DA043C">
        <w:rPr>
          <w:rFonts w:ascii="Times New Roman" w:eastAsia="微软雅黑" w:hAnsi="Times New Roman" w:cs="Times New Roman"/>
          <w:sz w:val="24"/>
          <w:szCs w:val="24"/>
        </w:rPr>
        <w:t>HotStart</w:t>
      </w:r>
      <w:proofErr w:type="spellEnd"/>
      <w:r w:rsidRPr="00DA043C">
        <w:rPr>
          <w:rFonts w:ascii="Times New Roman" w:eastAsia="微软雅黑" w:hAnsi="Times New Roman" w:cs="Times New Roman"/>
          <w:sz w:val="24"/>
          <w:szCs w:val="24"/>
        </w:rPr>
        <w:t xml:space="preserve"> </w:t>
      </w:r>
      <w:proofErr w:type="spellStart"/>
      <w:r w:rsidRPr="00DA043C">
        <w:rPr>
          <w:rFonts w:ascii="Times New Roman" w:eastAsia="微软雅黑" w:hAnsi="Times New Roman" w:cs="Times New Roman"/>
          <w:sz w:val="24"/>
          <w:szCs w:val="24"/>
        </w:rPr>
        <w:t>ReadyMix</w:t>
      </w:r>
      <w:proofErr w:type="spellEnd"/>
      <w:r w:rsidRPr="00DA043C">
        <w:rPr>
          <w:rFonts w:ascii="Times New Roman" w:eastAsia="微软雅黑" w:hAnsi="Times New Roman" w:cs="Times New Roman"/>
          <w:sz w:val="24"/>
          <w:szCs w:val="24"/>
        </w:rPr>
        <w:t xml:space="preserve"> (KAPA Biosystems), followed by purification using </w:t>
      </w:r>
      <w:proofErr w:type="spellStart"/>
      <w:r w:rsidRPr="00DA043C">
        <w:rPr>
          <w:rFonts w:ascii="Times New Roman" w:eastAsia="微软雅黑" w:hAnsi="Times New Roman" w:cs="Times New Roman"/>
          <w:sz w:val="24"/>
          <w:szCs w:val="24"/>
        </w:rPr>
        <w:t>Agencourt</w:t>
      </w:r>
      <w:proofErr w:type="spellEnd"/>
      <w:r w:rsidRPr="00DA043C">
        <w:rPr>
          <w:rFonts w:ascii="Times New Roman" w:eastAsia="微软雅黑" w:hAnsi="Times New Roman" w:cs="Times New Roman"/>
          <w:sz w:val="24"/>
          <w:szCs w:val="24"/>
        </w:rPr>
        <w:t xml:space="preserve"> </w:t>
      </w:r>
      <w:proofErr w:type="spellStart"/>
      <w:r w:rsidRPr="00DA043C">
        <w:rPr>
          <w:rFonts w:ascii="Times New Roman" w:eastAsia="微软雅黑" w:hAnsi="Times New Roman" w:cs="Times New Roman"/>
          <w:sz w:val="24"/>
          <w:szCs w:val="24"/>
        </w:rPr>
        <w:t>AMPure</w:t>
      </w:r>
      <w:proofErr w:type="spellEnd"/>
      <w:r w:rsidRPr="00DA043C">
        <w:rPr>
          <w:rFonts w:ascii="Times New Roman" w:eastAsia="微软雅黑" w:hAnsi="Times New Roman" w:cs="Times New Roman"/>
          <w:sz w:val="24"/>
          <w:szCs w:val="24"/>
        </w:rPr>
        <w:t xml:space="preserve"> XP beads. Libraries were quantified by qPCR using the KAPA Library Quantification Kit (KAPA Biosystems). Library fragment size was determined by a Bioanalyzer 2100 (Agilent Technologies). WES was performed to the target-enriched library on the HiSeq4000 NGS platform (Illumina) according to the manufacturer's instructions. </w:t>
      </w:r>
      <w:r w:rsidRPr="00E7432C">
        <w:rPr>
          <w:rFonts w:ascii="Times New Roman" w:eastAsia="微软雅黑" w:hAnsi="Times New Roman" w:cs="Times New Roman"/>
          <w:color w:val="000000" w:themeColor="text1"/>
          <w:sz w:val="24"/>
          <w:szCs w:val="24"/>
        </w:rPr>
        <w:t xml:space="preserve">The average coverage depth was </w:t>
      </w:r>
      <w:r w:rsidRPr="00E7432C">
        <w:rPr>
          <w:rFonts w:ascii="Times New Roman" w:eastAsia="微软雅黑" w:hAnsi="Times New Roman" w:cs="Times New Roman" w:hint="eastAsia"/>
          <w:color w:val="000000" w:themeColor="text1"/>
          <w:sz w:val="24"/>
          <w:szCs w:val="24"/>
        </w:rPr>
        <w:t>601</w:t>
      </w:r>
      <w:r w:rsidRPr="00E7432C">
        <w:rPr>
          <w:rFonts w:ascii="Times New Roman" w:eastAsia="微软雅黑" w:hAnsi="Times New Roman" w:cs="Times New Roman"/>
          <w:color w:val="000000" w:themeColor="text1"/>
          <w:sz w:val="24"/>
          <w:szCs w:val="24"/>
        </w:rPr>
        <w:t xml:space="preserve">X for tumors </w:t>
      </w:r>
      <w:r w:rsidRPr="00E7432C">
        <w:rPr>
          <w:rFonts w:ascii="Times New Roman" w:eastAsia="微软雅黑" w:hAnsi="Times New Roman" w:cs="Times New Roman" w:hint="eastAsia"/>
          <w:color w:val="000000" w:themeColor="text1"/>
          <w:sz w:val="24"/>
          <w:szCs w:val="24"/>
        </w:rPr>
        <w:t>(728X, 590X, 501X, 587X)</w:t>
      </w:r>
      <w:r w:rsidRPr="00E7432C">
        <w:rPr>
          <w:rFonts w:ascii="Times New Roman" w:eastAsia="微软雅黑" w:hAnsi="Times New Roman" w:cs="Times New Roman"/>
          <w:color w:val="000000" w:themeColor="text1"/>
          <w:sz w:val="24"/>
          <w:szCs w:val="24"/>
        </w:rPr>
        <w:t>.</w:t>
      </w:r>
    </w:p>
    <w:p w14:paraId="7D65AB0C" w14:textId="77777777" w:rsidR="00E7432C" w:rsidRPr="00DA043C" w:rsidRDefault="00E7432C" w:rsidP="00E7432C">
      <w:pPr>
        <w:adjustRightInd w:val="0"/>
        <w:snapToGrid w:val="0"/>
        <w:spacing w:line="360" w:lineRule="auto"/>
        <w:jc w:val="left"/>
        <w:rPr>
          <w:rFonts w:ascii="Times New Roman" w:eastAsia="微软雅黑" w:hAnsi="Times New Roman" w:cs="Times New Roman"/>
          <w:sz w:val="24"/>
          <w:szCs w:val="24"/>
        </w:rPr>
      </w:pPr>
      <w:r w:rsidRPr="00DA043C">
        <w:rPr>
          <w:rFonts w:ascii="Times New Roman" w:eastAsia="微软雅黑" w:hAnsi="Times New Roman" w:cs="Times New Roman"/>
          <w:b/>
          <w:bCs/>
          <w:sz w:val="24"/>
          <w:szCs w:val="24"/>
        </w:rPr>
        <w:t>Variant filtering and mutation calling</w:t>
      </w:r>
    </w:p>
    <w:p w14:paraId="3B0AC2FE" w14:textId="79B8BE01" w:rsidR="00E7432C" w:rsidRPr="00DA043C" w:rsidRDefault="00E7432C" w:rsidP="00E7432C">
      <w:pPr>
        <w:adjustRightInd w:val="0"/>
        <w:snapToGrid w:val="0"/>
        <w:spacing w:line="360" w:lineRule="auto"/>
        <w:jc w:val="left"/>
        <w:rPr>
          <w:rFonts w:ascii="Times New Roman" w:eastAsia="微软雅黑" w:hAnsi="Times New Roman" w:cs="Times New Roman" w:hint="eastAsia"/>
          <w:sz w:val="24"/>
          <w:szCs w:val="24"/>
        </w:rPr>
      </w:pPr>
      <w:r w:rsidRPr="00DA043C">
        <w:rPr>
          <w:rFonts w:ascii="Times New Roman" w:eastAsia="微软雅黑" w:hAnsi="Times New Roman" w:cs="Times New Roman"/>
          <w:sz w:val="24"/>
          <w:szCs w:val="24"/>
        </w:rPr>
        <w:t>Analysis of sequencing data was performed as previously described</w:t>
      </w:r>
      <w:r w:rsidRPr="00DA043C">
        <w:rPr>
          <w:rFonts w:ascii="Times New Roman" w:eastAsia="微软雅黑" w:hAnsi="Times New Roman" w:cs="Times New Roman"/>
          <w:sz w:val="24"/>
          <w:szCs w:val="24"/>
        </w:rPr>
        <w:fldChar w:fldCharType="begin"/>
      </w:r>
      <w:r w:rsidRPr="00DA043C">
        <w:rPr>
          <w:rFonts w:ascii="Times New Roman" w:eastAsia="微软雅黑" w:hAnsi="Times New Roman" w:cs="Times New Roman"/>
          <w:sz w:val="24"/>
          <w:szCs w:val="24"/>
        </w:rPr>
        <w:instrText xml:space="preserve"> ADDIN EN.CITE &lt;EndNote&gt;&lt;Cite&gt;&lt;Author&gt;Tang&lt;/Author&gt;&lt;Year&gt;2021&lt;/Year&gt;&lt;RecNum&gt;111&lt;/RecNum&gt;&lt;DisplayText&gt;(1)&lt;/DisplayText&gt;&lt;record&gt;&lt;rec-number&gt;111&lt;/rec-number&gt;&lt;foreign-keys&gt;&lt;key app="EN" db-id="00wf09edq2tx90erwz7p2vdot09d99tr2w5e" timestamp="1718072464"&gt;111&lt;/key&gt;&lt;/foreign-keys&gt;&lt;ref-type name="Journal Article"&gt;17&lt;/ref-type&gt;&lt;contributors&gt;&lt;authors&gt;&lt;author&gt;Tang, Wen-Fang&lt;/author&gt;&lt;author&gt;Wu, Min&lt;/author&gt;&lt;author&gt;Bao, Hua&lt;/author&gt;&lt;author&gt;Xu, Yang&lt;/author&gt;&lt;author&gt;Lin, Jie-Shan&lt;/author&gt;&lt;author&gt;Liang, Yi&lt;/author&gt;&lt;author&gt;Zhang, Yu&lt;/author&gt;&lt;author&gt;Chu, Xiang-Peng&lt;/author&gt;&lt;author&gt;Qiu, Zhen-Bin&lt;/author&gt;&lt;author&gt;Su, Jian %J Journal of Thoracic Oncology&lt;/author&gt;&lt;/authors&gt;&lt;/contributors&gt;&lt;titles&gt;&lt;title&gt;Timing and origins of local and distant metastases in lung cancer&lt;/title&gt;&lt;/titles&gt;&lt;pages&gt;1136-1148&lt;/pages&gt;&lt;volume&gt;16&lt;/volume&gt;&lt;number&gt;7&lt;/number&gt;&lt;dates&gt;&lt;year&gt;2021&lt;/year&gt;&lt;/dates&gt;&lt;isbn&gt;1556-0864&lt;/isbn&gt;&lt;urls&gt;&lt;/urls&gt;&lt;/record&gt;&lt;/Cite&gt;&lt;/EndNote&gt;</w:instrText>
      </w:r>
      <w:r w:rsidRPr="00DA043C">
        <w:rPr>
          <w:rFonts w:ascii="Times New Roman" w:eastAsia="微软雅黑" w:hAnsi="Times New Roman" w:cs="Times New Roman"/>
          <w:sz w:val="24"/>
          <w:szCs w:val="24"/>
        </w:rPr>
        <w:fldChar w:fldCharType="separate"/>
      </w:r>
      <w:r w:rsidRPr="00DA043C">
        <w:rPr>
          <w:rFonts w:ascii="Times New Roman" w:eastAsia="微软雅黑" w:hAnsi="Times New Roman" w:cs="Times New Roman"/>
          <w:noProof/>
          <w:sz w:val="24"/>
          <w:szCs w:val="24"/>
        </w:rPr>
        <w:t>(1)</w:t>
      </w:r>
      <w:r w:rsidRPr="00DA043C">
        <w:rPr>
          <w:rFonts w:ascii="Times New Roman" w:eastAsia="微软雅黑" w:hAnsi="Times New Roman" w:cs="Times New Roman"/>
          <w:sz w:val="24"/>
          <w:szCs w:val="24"/>
        </w:rPr>
        <w:fldChar w:fldCharType="end"/>
      </w:r>
      <w:r w:rsidRPr="00DA043C">
        <w:rPr>
          <w:rFonts w:ascii="Times New Roman" w:eastAsia="微软雅黑" w:hAnsi="Times New Roman" w:cs="Times New Roman"/>
          <w:sz w:val="24"/>
          <w:szCs w:val="24"/>
        </w:rPr>
        <w:t xml:space="preserve">. The FASTQ files were quality filtered using </w:t>
      </w:r>
      <w:proofErr w:type="spellStart"/>
      <w:r w:rsidRPr="00DA043C">
        <w:rPr>
          <w:rFonts w:ascii="Times New Roman" w:eastAsia="微软雅黑" w:hAnsi="Times New Roman" w:cs="Times New Roman"/>
          <w:sz w:val="24"/>
          <w:szCs w:val="24"/>
        </w:rPr>
        <w:t>Trimmomatic</w:t>
      </w:r>
      <w:proofErr w:type="spellEnd"/>
      <w:r w:rsidRPr="00DA043C">
        <w:rPr>
          <w:rFonts w:ascii="Times New Roman" w:eastAsia="微软雅黑" w:hAnsi="Times New Roman" w:cs="Times New Roman"/>
          <w:sz w:val="24"/>
          <w:szCs w:val="24"/>
        </w:rPr>
        <w:fldChar w:fldCharType="begin"/>
      </w:r>
      <w:r w:rsidRPr="00DA043C">
        <w:rPr>
          <w:rFonts w:ascii="Times New Roman" w:eastAsia="微软雅黑" w:hAnsi="Times New Roman" w:cs="Times New Roman"/>
          <w:sz w:val="24"/>
          <w:szCs w:val="24"/>
        </w:rPr>
        <w:instrText xml:space="preserve"> ADDIN EN.CITE &lt;EndNote&gt;&lt;Cite&gt;&lt;Author&gt;Bolger&lt;/Author&gt;&lt;Year&gt;2014&lt;/Year&gt;&lt;RecNum&gt;108&lt;/RecNum&gt;&lt;DisplayText&gt;(2)&lt;/DisplayText&gt;&lt;record&gt;&lt;rec-number&gt;108&lt;/rec-number&gt;&lt;foreign-keys&gt;&lt;key app="EN" db-id="00wf09edq2tx90erwz7p2vdot09d99tr2w5e" timestamp="1718072441"&gt;108&lt;/key&gt;&lt;/foreign-keys&gt;&lt;ref-type name="Journal Article"&gt;17&lt;/ref-type&gt;&lt;contributors&gt;&lt;authors&gt;&lt;author&gt;Bolger, Anthony M&lt;/author&gt;&lt;author&gt;Lohse, Marc&lt;/author&gt;&lt;author&gt;Usadel, Bjoern %J Bioinformatics&lt;/author&gt;&lt;/authors&gt;&lt;/contributors&gt;&lt;titles&gt;&lt;title&gt;Trimmomatic: a flexible trimmer for Illumina sequence data&lt;/title&gt;&lt;/titles&gt;&lt;pages&gt;2114-2120&lt;/pages&gt;&lt;volume&gt;30&lt;/volume&gt;&lt;number&gt;15&lt;/number&gt;&lt;dates&gt;&lt;year&gt;2014&lt;/year&gt;&lt;/dates&gt;&lt;isbn&gt;1367-4811&lt;/isbn&gt;&lt;urls&gt;&lt;/urls&gt;&lt;/record&gt;&lt;/Cite&gt;&lt;/EndNote&gt;</w:instrText>
      </w:r>
      <w:r w:rsidRPr="00DA043C">
        <w:rPr>
          <w:rFonts w:ascii="Times New Roman" w:eastAsia="微软雅黑" w:hAnsi="Times New Roman" w:cs="Times New Roman"/>
          <w:sz w:val="24"/>
          <w:szCs w:val="24"/>
        </w:rPr>
        <w:fldChar w:fldCharType="separate"/>
      </w:r>
      <w:r w:rsidRPr="00DA043C">
        <w:rPr>
          <w:rFonts w:ascii="Times New Roman" w:eastAsia="微软雅黑" w:hAnsi="Times New Roman" w:cs="Times New Roman"/>
          <w:noProof/>
          <w:sz w:val="24"/>
          <w:szCs w:val="24"/>
        </w:rPr>
        <w:t>(2)</w:t>
      </w:r>
      <w:r w:rsidRPr="00DA043C">
        <w:rPr>
          <w:rFonts w:ascii="Times New Roman" w:eastAsia="微软雅黑" w:hAnsi="Times New Roman" w:cs="Times New Roman"/>
          <w:sz w:val="24"/>
          <w:szCs w:val="24"/>
        </w:rPr>
        <w:fldChar w:fldCharType="end"/>
      </w:r>
      <w:r w:rsidRPr="00DA043C">
        <w:rPr>
          <w:rFonts w:ascii="Times New Roman" w:eastAsia="微软雅黑" w:hAnsi="Times New Roman" w:cs="Times New Roman"/>
          <w:sz w:val="24"/>
          <w:szCs w:val="24"/>
        </w:rPr>
        <w:t xml:space="preserve">, removing low-quality bases (&lt;20) or N bases. Sequenced reads were aligned to the human reference genome hg19 using Burrows-Wheeler Aligner (BWA-mem, v0.7.12) </w:t>
      </w:r>
      <w:r w:rsidRPr="00DA043C">
        <w:rPr>
          <w:rFonts w:ascii="Times New Roman" w:eastAsia="微软雅黑" w:hAnsi="Times New Roman" w:cs="Times New Roman"/>
          <w:sz w:val="24"/>
          <w:szCs w:val="24"/>
        </w:rPr>
        <w:fldChar w:fldCharType="begin"/>
      </w:r>
      <w:r w:rsidRPr="00DA043C">
        <w:rPr>
          <w:rFonts w:ascii="Times New Roman" w:eastAsia="微软雅黑" w:hAnsi="Times New Roman" w:cs="Times New Roman"/>
          <w:sz w:val="24"/>
          <w:szCs w:val="24"/>
        </w:rPr>
        <w:instrText xml:space="preserve"> ADDIN EN.CITE &lt;EndNote&gt;&lt;Cite&gt;&lt;Author&gt;Li&lt;/Author&gt;&lt;Year&gt;2009&lt;/Year&gt;&lt;RecNum&gt;104&lt;/RecNum&gt;&lt;DisplayText&gt;(3)&lt;/DisplayText&gt;&lt;record&gt;&lt;rec-number&gt;104&lt;/rec-number&gt;&lt;foreign-keys&gt;&lt;key app="EN" db-id="00wf09edq2tx90erwz7p2vdot09d99tr2w5e" timestamp="1718072394"&gt;104&lt;/key&gt;&lt;/foreign-keys&gt;&lt;ref-type name="Journal Article"&gt;17&lt;/ref-type&gt;&lt;contributors&gt;&lt;authors&gt;&lt;author&gt;Li, Heng&lt;/author&gt;&lt;author&gt;Durbin, Richard %J bioinformatics&lt;/author&gt;&lt;/authors&gt;&lt;/contributors&gt;&lt;titles&gt;&lt;title&gt;Fast and accurate short read alignment with Burrows–Wheeler transform&lt;/title&gt;&lt;/titles&gt;&lt;pages&gt;1754-1760&lt;/pages&gt;&lt;volume&gt;25&lt;/volume&gt;&lt;number&gt;14&lt;/number&gt;&lt;dates&gt;&lt;year&gt;2009&lt;/year&gt;&lt;/dates&gt;&lt;isbn&gt;1367-4811&lt;/isbn&gt;&lt;urls&gt;&lt;/urls&gt;&lt;/record&gt;&lt;/Cite&gt;&lt;/EndNote&gt;</w:instrText>
      </w:r>
      <w:r w:rsidRPr="00DA043C">
        <w:rPr>
          <w:rFonts w:ascii="Times New Roman" w:eastAsia="微软雅黑" w:hAnsi="Times New Roman" w:cs="Times New Roman"/>
          <w:sz w:val="24"/>
          <w:szCs w:val="24"/>
        </w:rPr>
        <w:fldChar w:fldCharType="separate"/>
      </w:r>
      <w:r w:rsidRPr="00DA043C">
        <w:rPr>
          <w:rFonts w:ascii="Times New Roman" w:eastAsia="微软雅黑" w:hAnsi="Times New Roman" w:cs="Times New Roman"/>
          <w:noProof/>
          <w:sz w:val="24"/>
          <w:szCs w:val="24"/>
        </w:rPr>
        <w:t>(3)</w:t>
      </w:r>
      <w:r w:rsidRPr="00DA043C">
        <w:rPr>
          <w:rFonts w:ascii="Times New Roman" w:eastAsia="微软雅黑" w:hAnsi="Times New Roman" w:cs="Times New Roman"/>
          <w:sz w:val="24"/>
          <w:szCs w:val="24"/>
        </w:rPr>
        <w:fldChar w:fldCharType="end"/>
      </w:r>
      <w:r w:rsidRPr="00DA043C">
        <w:rPr>
          <w:rFonts w:ascii="Times New Roman" w:eastAsia="微软雅黑" w:hAnsi="Times New Roman" w:cs="Times New Roman"/>
          <w:sz w:val="24"/>
          <w:szCs w:val="24"/>
        </w:rPr>
        <w:t xml:space="preserve">. PCR deduplication was performed using Picard (Broad Institute). Local assembly alignment correction around base insertions and deletions and base quality score recalibration were performed using Genome Analysis Toolkit (GATK 3.4.0) </w:t>
      </w:r>
      <w:r w:rsidRPr="00DA043C">
        <w:rPr>
          <w:rFonts w:ascii="Times New Roman" w:eastAsia="微软雅黑" w:hAnsi="Times New Roman" w:cs="Times New Roman"/>
          <w:sz w:val="24"/>
          <w:szCs w:val="24"/>
        </w:rPr>
        <w:fldChar w:fldCharType="begin"/>
      </w:r>
      <w:r w:rsidRPr="00DA043C">
        <w:rPr>
          <w:rFonts w:ascii="Times New Roman" w:eastAsia="微软雅黑" w:hAnsi="Times New Roman" w:cs="Times New Roman"/>
          <w:sz w:val="24"/>
          <w:szCs w:val="24"/>
        </w:rPr>
        <w:instrText xml:space="preserve"> ADDIN EN.CITE &lt;EndNote&gt;&lt;Cite&gt;&lt;Author&gt;McKenna&lt;/Author&gt;&lt;Year&gt;2010&lt;/Year&gt;&lt;RecNum&gt;26&lt;/RecNum&gt;&lt;DisplayText&gt;(4)&lt;/DisplayText&gt;&lt;record&gt;&lt;rec-number&gt;26&lt;/rec-number&gt;&lt;foreign-keys&gt;&lt;key app="EN" db-id="00wf09edq2tx90erwz7p2vdot09d99tr2w5e" timestamp="0"&gt;26&lt;/key&gt;&lt;/foreign-keys&gt;&lt;ref-type name="Journal Article"&gt;17&lt;/ref-type&gt;&lt;contributors&gt;&lt;authors&gt;&lt;author&gt;McKenna, A.&lt;/author&gt;&lt;author&gt;Hanna, M.&lt;/author&gt;&lt;author&gt;Banks, E.&lt;/author&gt;&lt;author&gt;Sivachenko, A.&lt;/author&gt;&lt;author&gt;Cibulskis, K.&lt;/author&gt;&lt;author&gt;Kernytsky, A.&lt;/author&gt;&lt;author&gt;Garimella, K.&lt;/author&gt;&lt;author&gt;Altshuler, D.&lt;/author&gt;&lt;author&gt;Gabriel, S.&lt;/author&gt;&lt;author&gt;Daly, M.&lt;/author&gt;&lt;author&gt;DePristo, M. A.&lt;/author&gt;&lt;/authors&gt;&lt;/contributors&gt;&lt;auth-address&gt;Program in Medical and Population Genetics, The Broad Institute of Harvard and MIT, Cambridge, Massachusetts 02142, USA.&lt;/auth-address&gt;&lt;titles&gt;&lt;title&gt;The Genome Analysis Toolkit: a MapReduce framework for analyzing next-generation DNA sequencing data&lt;/title&gt;&lt;secondary-title&gt;Genome Res&lt;/secondary-title&gt;&lt;/titles&gt;&lt;pages&gt;1297-303&lt;/pages&gt;&lt;volume&gt;20&lt;/volume&gt;&lt;number&gt;9&lt;/number&gt;&lt;edition&gt;2010/07/21&lt;/edition&gt;&lt;keywords&gt;&lt;keyword&gt;Base Sequence&lt;/keyword&gt;&lt;keyword&gt;*Genome&lt;/keyword&gt;&lt;keyword&gt;Genomics/*methods&lt;/keyword&gt;&lt;keyword&gt;Sequence Analysis, DNA/*methods&lt;/keyword&gt;&lt;keyword&gt;*Software&lt;/keyword&gt;&lt;/keywords&gt;&lt;dates&gt;&lt;year&gt;2010&lt;/year&gt;&lt;pub-dates&gt;&lt;date&gt;Sep&lt;/date&gt;&lt;/pub-dates&gt;&lt;/dates&gt;&lt;isbn&gt;1549-5469 (Electronic)&amp;#xD;1088-9051 (Print)&amp;#xD;1088-9051 (Linking)&lt;/isbn&gt;&lt;accession-num&gt;20644199&lt;/accession-num&gt;&lt;urls&gt;&lt;related-urls&gt;&lt;url&gt;https://www.ncbi.nlm.nih.gov/pubmed/20644199&lt;/url&gt;&lt;/related-urls&gt;&lt;/urls&gt;&lt;custom2&gt;PMC2928508&lt;/custom2&gt;&lt;electronic-resource-num&gt;10.1101/gr.107524.110&lt;/electronic-resource-num&gt;&lt;/record&gt;&lt;/Cite&gt;&lt;/EndNote&gt;</w:instrText>
      </w:r>
      <w:r w:rsidRPr="00DA043C">
        <w:rPr>
          <w:rFonts w:ascii="Times New Roman" w:eastAsia="微软雅黑" w:hAnsi="Times New Roman" w:cs="Times New Roman"/>
          <w:sz w:val="24"/>
          <w:szCs w:val="24"/>
        </w:rPr>
        <w:fldChar w:fldCharType="separate"/>
      </w:r>
      <w:r w:rsidRPr="00DA043C">
        <w:rPr>
          <w:rFonts w:ascii="Times New Roman" w:eastAsia="微软雅黑" w:hAnsi="Times New Roman" w:cs="Times New Roman"/>
          <w:noProof/>
          <w:sz w:val="24"/>
          <w:szCs w:val="24"/>
        </w:rPr>
        <w:t>(4)</w:t>
      </w:r>
      <w:r w:rsidRPr="00DA043C">
        <w:rPr>
          <w:rFonts w:ascii="Times New Roman" w:eastAsia="微软雅黑" w:hAnsi="Times New Roman" w:cs="Times New Roman"/>
          <w:sz w:val="24"/>
          <w:szCs w:val="24"/>
        </w:rPr>
        <w:fldChar w:fldCharType="end"/>
      </w:r>
      <w:r w:rsidRPr="00DA043C">
        <w:rPr>
          <w:rFonts w:ascii="Times New Roman" w:eastAsia="微软雅黑" w:hAnsi="Times New Roman" w:cs="Times New Roman"/>
          <w:sz w:val="24"/>
          <w:szCs w:val="24"/>
        </w:rPr>
        <w:t>. The matching status of tumor and leukocyte control samples was evaluated using the VCF2LR (</w:t>
      </w:r>
      <w:proofErr w:type="spellStart"/>
      <w:r w:rsidRPr="00DA043C">
        <w:rPr>
          <w:rFonts w:ascii="Times New Roman" w:eastAsia="微软雅黑" w:hAnsi="Times New Roman" w:cs="Times New Roman"/>
          <w:sz w:val="24"/>
          <w:szCs w:val="24"/>
        </w:rPr>
        <w:t>GeneTalk</w:t>
      </w:r>
      <w:proofErr w:type="spellEnd"/>
      <w:r w:rsidRPr="00DA043C">
        <w:rPr>
          <w:rFonts w:ascii="Times New Roman" w:eastAsia="微软雅黑" w:hAnsi="Times New Roman" w:cs="Times New Roman"/>
          <w:sz w:val="24"/>
          <w:szCs w:val="24"/>
        </w:rPr>
        <w:t xml:space="preserve">) software based on the SNP sites between samples. Cross-sample contamination was assessed using </w:t>
      </w:r>
      <w:proofErr w:type="spellStart"/>
      <w:r w:rsidRPr="00DA043C">
        <w:rPr>
          <w:rFonts w:ascii="Times New Roman" w:eastAsia="微软雅黑" w:hAnsi="Times New Roman" w:cs="Times New Roman"/>
          <w:sz w:val="24"/>
          <w:szCs w:val="24"/>
        </w:rPr>
        <w:t>ContEst</w:t>
      </w:r>
      <w:proofErr w:type="spellEnd"/>
      <w:r w:rsidRPr="00DA043C">
        <w:rPr>
          <w:rFonts w:ascii="Times New Roman" w:eastAsia="微软雅黑" w:hAnsi="Times New Roman" w:cs="Times New Roman"/>
          <w:sz w:val="24"/>
          <w:szCs w:val="24"/>
        </w:rPr>
        <w:t xml:space="preserve"> (Broad Institute). Potential DNA damage and sequencing errors were rigorously filtered using methods referenced in the literature </w:t>
      </w:r>
      <w:r w:rsidRPr="00DA043C">
        <w:rPr>
          <w:rFonts w:ascii="Times New Roman" w:eastAsia="微软雅黑" w:hAnsi="Times New Roman" w:cs="Times New Roman"/>
          <w:sz w:val="24"/>
          <w:szCs w:val="24"/>
        </w:rPr>
        <w:fldChar w:fldCharType="begin"/>
      </w:r>
      <w:r w:rsidRPr="00DA043C">
        <w:rPr>
          <w:rFonts w:ascii="Times New Roman" w:eastAsia="微软雅黑" w:hAnsi="Times New Roman" w:cs="Times New Roman"/>
          <w:sz w:val="24"/>
          <w:szCs w:val="24"/>
        </w:rPr>
        <w:instrText xml:space="preserve"> ADDIN EN.CITE &lt;EndNote&gt;&lt;Cite&gt;&lt;Author&gt;Tang&lt;/Author&gt;&lt;Year&gt;2021&lt;/Year&gt;&lt;RecNum&gt;111&lt;/RecNum&gt;&lt;DisplayText&gt;(1)&lt;/DisplayText&gt;&lt;record&gt;&lt;rec-number&gt;111&lt;/rec-number&gt;&lt;foreign-keys&gt;&lt;key app="EN" db-id="00wf09edq2tx90erwz7p2vdot09d99tr2w5e" timestamp="1718072464"&gt;111&lt;/key&gt;&lt;/foreign-keys&gt;&lt;ref-type name="Journal Article"&gt;17&lt;/ref-type&gt;&lt;contributors&gt;&lt;authors&gt;&lt;author&gt;Tang, Wen-Fang&lt;/author&gt;&lt;author&gt;Wu, Min&lt;/author&gt;&lt;author&gt;Bao, Hua&lt;/author&gt;&lt;author&gt;Xu, Yang&lt;/author&gt;&lt;author&gt;Lin, Jie-Shan&lt;/author&gt;&lt;author&gt;Liang, Yi&lt;/author&gt;&lt;author&gt;Zhang, Yu&lt;/author&gt;&lt;author&gt;Chu, Xiang-Peng&lt;/author&gt;&lt;author&gt;Qiu, Zhen-Bin&lt;/author&gt;&lt;author&gt;Su, Jian %J Journal of Thoracic Oncology&lt;/author&gt;&lt;/authors&gt;&lt;/contributors&gt;&lt;titles&gt;&lt;title&gt;Timing and origins of local and distant metastases in lung cancer&lt;/title&gt;&lt;/titles&gt;&lt;pages&gt;1136-1148&lt;/pages&gt;&lt;volume&gt;16&lt;/volume&gt;&lt;number&gt;7&lt;/number&gt;&lt;dates&gt;&lt;year&gt;2021&lt;/year&gt;&lt;/dates&gt;&lt;isbn&gt;1556-0864&lt;/isbn&gt;&lt;urls&gt;&lt;/urls&gt;&lt;/record&gt;&lt;/Cite&gt;&lt;/EndNote&gt;</w:instrText>
      </w:r>
      <w:r w:rsidRPr="00DA043C">
        <w:rPr>
          <w:rFonts w:ascii="Times New Roman" w:eastAsia="微软雅黑" w:hAnsi="Times New Roman" w:cs="Times New Roman"/>
          <w:sz w:val="24"/>
          <w:szCs w:val="24"/>
        </w:rPr>
        <w:fldChar w:fldCharType="separate"/>
      </w:r>
      <w:r w:rsidRPr="00DA043C">
        <w:rPr>
          <w:rFonts w:ascii="Times New Roman" w:eastAsia="微软雅黑" w:hAnsi="Times New Roman" w:cs="Times New Roman"/>
          <w:noProof/>
          <w:sz w:val="24"/>
          <w:szCs w:val="24"/>
        </w:rPr>
        <w:t>(1)</w:t>
      </w:r>
      <w:r w:rsidRPr="00DA043C">
        <w:rPr>
          <w:rFonts w:ascii="Times New Roman" w:eastAsia="微软雅黑" w:hAnsi="Times New Roman" w:cs="Times New Roman"/>
          <w:sz w:val="24"/>
          <w:szCs w:val="24"/>
        </w:rPr>
        <w:fldChar w:fldCharType="end"/>
      </w:r>
      <w:r w:rsidRPr="00DA043C">
        <w:rPr>
          <w:rFonts w:ascii="Times New Roman" w:eastAsia="微软雅黑" w:hAnsi="Times New Roman" w:cs="Times New Roman"/>
          <w:sz w:val="24"/>
          <w:szCs w:val="24"/>
        </w:rPr>
        <w:t xml:space="preserve">. Somatic single nucleotide variants (SNVs) and insertion/deletion (indels) mutations were analyzed using </w:t>
      </w:r>
      <w:proofErr w:type="spellStart"/>
      <w:r w:rsidRPr="00DA043C">
        <w:rPr>
          <w:rFonts w:ascii="Times New Roman" w:eastAsia="微软雅黑" w:hAnsi="Times New Roman" w:cs="Times New Roman"/>
          <w:sz w:val="24"/>
          <w:szCs w:val="24"/>
        </w:rPr>
        <w:t>Vardict</w:t>
      </w:r>
      <w:proofErr w:type="spellEnd"/>
      <w:r w:rsidRPr="00DA043C">
        <w:rPr>
          <w:rFonts w:ascii="Times New Roman" w:eastAsia="微软雅黑" w:hAnsi="Times New Roman" w:cs="Times New Roman"/>
          <w:sz w:val="24"/>
          <w:szCs w:val="24"/>
        </w:rPr>
        <w:t xml:space="preserve"> (V 1.5.4) software and further filtered using the following criteria: (</w:t>
      </w:r>
      <w:proofErr w:type="spellStart"/>
      <w:r w:rsidRPr="00DA043C">
        <w:rPr>
          <w:rFonts w:ascii="Times New Roman" w:eastAsia="微软雅黑" w:hAnsi="Times New Roman" w:cs="Times New Roman"/>
          <w:sz w:val="24"/>
          <w:szCs w:val="24"/>
        </w:rPr>
        <w:t>i</w:t>
      </w:r>
      <w:proofErr w:type="spellEnd"/>
      <w:r w:rsidRPr="00DA043C">
        <w:rPr>
          <w:rFonts w:ascii="Times New Roman" w:eastAsia="微软雅黑" w:hAnsi="Times New Roman" w:cs="Times New Roman"/>
          <w:sz w:val="24"/>
          <w:szCs w:val="24"/>
        </w:rPr>
        <w:t xml:space="preserve">) &lt;3 supporting reads or &lt;2% variant allele frequency (VAF); and &lt;15 total read counts; (ii) if the population frequency is &gt;1% in the 1000 Genomes or </w:t>
      </w:r>
      <w:proofErr w:type="spellStart"/>
      <w:r w:rsidRPr="00DA043C">
        <w:rPr>
          <w:rFonts w:ascii="Times New Roman" w:eastAsia="微软雅黑" w:hAnsi="Times New Roman" w:cs="Times New Roman"/>
          <w:sz w:val="24"/>
          <w:szCs w:val="24"/>
        </w:rPr>
        <w:t>ExAC</w:t>
      </w:r>
      <w:proofErr w:type="spellEnd"/>
      <w:r w:rsidRPr="00DA043C">
        <w:rPr>
          <w:rFonts w:ascii="Times New Roman" w:eastAsia="微软雅黑" w:hAnsi="Times New Roman" w:cs="Times New Roman"/>
          <w:sz w:val="24"/>
          <w:szCs w:val="24"/>
        </w:rPr>
        <w:t xml:space="preserve"> database; (iii) using an internally collected list of recurrent sequencing errors (≥ 3 variant reads and </w:t>
      </w:r>
      <w:r w:rsidRPr="00DA043C">
        <w:rPr>
          <w:rFonts w:ascii="Times New Roman" w:eastAsia="微软雅黑" w:hAnsi="Times New Roman" w:cs="Times New Roman"/>
          <w:sz w:val="24"/>
          <w:szCs w:val="24"/>
        </w:rPr>
        <w:lastRenderedPageBreak/>
        <w:t>≤ 20% VAF in at least 30 out of ~2000 normal samples on the same sequencing platform). Tumor mutation burden (TMB) was calculated as the number of non-synonymous mutations per million bases in the coding region. The APOBEC-TMB was calculated based on the number of APOBEC signature-related mutations summarized using the R package '</w:t>
      </w:r>
      <w:proofErr w:type="spellStart"/>
      <w:r w:rsidRPr="00DA043C">
        <w:rPr>
          <w:rFonts w:ascii="Times New Roman" w:eastAsia="微软雅黑" w:hAnsi="Times New Roman" w:cs="Times New Roman"/>
          <w:sz w:val="24"/>
          <w:szCs w:val="24"/>
        </w:rPr>
        <w:t>Sigminer</w:t>
      </w:r>
      <w:proofErr w:type="spellEnd"/>
      <w:r w:rsidRPr="00DA043C">
        <w:rPr>
          <w:rFonts w:ascii="Times New Roman" w:eastAsia="微软雅黑" w:hAnsi="Times New Roman" w:cs="Times New Roman"/>
          <w:sz w:val="24"/>
          <w:szCs w:val="24"/>
        </w:rPr>
        <w:t>'.</w:t>
      </w:r>
    </w:p>
    <w:p w14:paraId="26E74F0F" w14:textId="77777777" w:rsidR="00E7432C" w:rsidRPr="00DA043C" w:rsidRDefault="00E7432C" w:rsidP="00E7432C">
      <w:pPr>
        <w:adjustRightInd w:val="0"/>
        <w:snapToGrid w:val="0"/>
        <w:spacing w:line="360" w:lineRule="auto"/>
        <w:jc w:val="left"/>
        <w:rPr>
          <w:rFonts w:ascii="Times New Roman" w:eastAsia="微软雅黑" w:hAnsi="Times New Roman" w:cs="Times New Roman"/>
          <w:b/>
          <w:bCs/>
          <w:sz w:val="24"/>
          <w:szCs w:val="24"/>
        </w:rPr>
      </w:pPr>
      <w:r w:rsidRPr="00DA043C">
        <w:rPr>
          <w:rFonts w:ascii="Times New Roman" w:eastAsia="微软雅黑" w:hAnsi="Times New Roman" w:cs="Times New Roman"/>
          <w:b/>
          <w:bCs/>
          <w:sz w:val="24"/>
          <w:szCs w:val="24"/>
        </w:rPr>
        <w:t xml:space="preserve">Copy number analysis </w:t>
      </w:r>
    </w:p>
    <w:p w14:paraId="12D0C28D" w14:textId="77777777" w:rsidR="00E7432C" w:rsidRPr="00DA043C" w:rsidRDefault="00E7432C" w:rsidP="00E7432C">
      <w:pPr>
        <w:adjustRightInd w:val="0"/>
        <w:snapToGrid w:val="0"/>
        <w:spacing w:line="360" w:lineRule="auto"/>
        <w:jc w:val="left"/>
        <w:rPr>
          <w:rFonts w:ascii="Times New Roman" w:eastAsia="微软雅黑" w:hAnsi="Times New Roman" w:cs="Times New Roman"/>
          <w:sz w:val="24"/>
          <w:szCs w:val="24"/>
        </w:rPr>
      </w:pPr>
      <w:r w:rsidRPr="00DA043C">
        <w:rPr>
          <w:rFonts w:ascii="Times New Roman" w:eastAsia="微软雅黑" w:hAnsi="Times New Roman" w:cs="Times New Roman"/>
          <w:sz w:val="24"/>
          <w:szCs w:val="24"/>
        </w:rPr>
        <w:t xml:space="preserve">The tumor purities of our data were first estimated using ABSOLUTE </w:t>
      </w:r>
      <w:r w:rsidRPr="00DA043C">
        <w:rPr>
          <w:rFonts w:ascii="Times New Roman" w:eastAsia="微软雅黑" w:hAnsi="Times New Roman" w:cs="Times New Roman"/>
          <w:sz w:val="24"/>
          <w:szCs w:val="24"/>
        </w:rPr>
        <w:fldChar w:fldCharType="begin"/>
      </w:r>
      <w:r w:rsidRPr="00DA043C">
        <w:rPr>
          <w:rFonts w:ascii="Times New Roman" w:eastAsia="微软雅黑" w:hAnsi="Times New Roman" w:cs="Times New Roman"/>
          <w:sz w:val="24"/>
          <w:szCs w:val="24"/>
        </w:rPr>
        <w:instrText xml:space="preserve"> ADDIN EN.CITE &lt;EndNote&gt;&lt;Cite&gt;&lt;Author&gt;Carter&lt;/Author&gt;&lt;Year&gt;2012&lt;/Year&gt;&lt;RecNum&gt;107&lt;/RecNum&gt;&lt;DisplayText&gt;(5)&lt;/DisplayText&gt;&lt;record&gt;&lt;rec-number&gt;107&lt;/rec-number&gt;&lt;foreign-keys&gt;&lt;key app="EN" db-id="00wf09edq2tx90erwz7p2vdot09d99tr2w5e" timestamp="1718072435"&gt;107&lt;/key&gt;&lt;/foreign-keys&gt;&lt;ref-type name="Journal Article"&gt;17&lt;/ref-type&gt;&lt;contributors&gt;&lt;authors&gt;&lt;author&gt;Carter, Scott L&lt;/author&gt;&lt;author&gt;Cibulskis, Kristian&lt;/author&gt;&lt;author&gt;Helman, Elena&lt;/author&gt;&lt;author&gt;McKenna, Aaron&lt;/author&gt;&lt;author&gt;Shen, Hui&lt;/author&gt;&lt;author&gt;Zack, Travis&lt;/author&gt;&lt;author&gt;Laird, Peter W&lt;/author&gt;&lt;author&gt;Onofrio, Robert C&lt;/author&gt;&lt;author&gt;Winckler, Wendy&lt;/author&gt;&lt;author&gt;Weir, Barbara A %J Nature biotechnology&lt;/author&gt;&lt;/authors&gt;&lt;/contributors&gt;&lt;titles&gt;&lt;title&gt;Absolute quantification of somatic DNA alterations in human cancer&lt;/title&gt;&lt;/titles&gt;&lt;pages&gt;413-421&lt;/pages&gt;&lt;volume&gt;30&lt;/volume&gt;&lt;number&gt;5&lt;/number&gt;&lt;dates&gt;&lt;year&gt;2012&lt;/year&gt;&lt;/dates&gt;&lt;isbn&gt;1087-0156&lt;/isbn&gt;&lt;urls&gt;&lt;/urls&gt;&lt;/record&gt;&lt;/Cite&gt;&lt;/EndNote&gt;</w:instrText>
      </w:r>
      <w:r w:rsidRPr="00DA043C">
        <w:rPr>
          <w:rFonts w:ascii="Times New Roman" w:eastAsia="微软雅黑" w:hAnsi="Times New Roman" w:cs="Times New Roman"/>
          <w:sz w:val="24"/>
          <w:szCs w:val="24"/>
        </w:rPr>
        <w:fldChar w:fldCharType="separate"/>
      </w:r>
      <w:r w:rsidRPr="00DA043C">
        <w:rPr>
          <w:rFonts w:ascii="Times New Roman" w:eastAsia="微软雅黑" w:hAnsi="Times New Roman" w:cs="Times New Roman"/>
          <w:noProof/>
          <w:sz w:val="24"/>
          <w:szCs w:val="24"/>
        </w:rPr>
        <w:t>(5)</w:t>
      </w:r>
      <w:r w:rsidRPr="00DA043C">
        <w:rPr>
          <w:rFonts w:ascii="Times New Roman" w:eastAsia="微软雅黑" w:hAnsi="Times New Roman" w:cs="Times New Roman"/>
          <w:sz w:val="24"/>
          <w:szCs w:val="24"/>
        </w:rPr>
        <w:fldChar w:fldCharType="end"/>
      </w:r>
      <w:r w:rsidRPr="00DA043C">
        <w:rPr>
          <w:rFonts w:ascii="Times New Roman" w:eastAsia="微软雅黑" w:hAnsi="Times New Roman" w:cs="Times New Roman"/>
          <w:sz w:val="24"/>
          <w:szCs w:val="24"/>
        </w:rPr>
        <w:t xml:space="preserve">. Purity-adjusted data were then used to calculate gene-level copy number variations (CNVs) using FACETS </w:t>
      </w:r>
      <w:r w:rsidRPr="00DA043C">
        <w:rPr>
          <w:rFonts w:ascii="Times New Roman" w:eastAsia="微软雅黑" w:hAnsi="Times New Roman" w:cs="Times New Roman"/>
          <w:sz w:val="24"/>
          <w:szCs w:val="24"/>
        </w:rPr>
        <w:fldChar w:fldCharType="begin"/>
      </w:r>
      <w:r w:rsidRPr="00DA043C">
        <w:rPr>
          <w:rFonts w:ascii="Times New Roman" w:eastAsia="微软雅黑" w:hAnsi="Times New Roman" w:cs="Times New Roman"/>
          <w:sz w:val="24"/>
          <w:szCs w:val="24"/>
        </w:rPr>
        <w:instrText xml:space="preserve"> ADDIN EN.CITE &lt;EndNote&gt;&lt;Cite&gt;&lt;Author&gt;Shen&lt;/Author&gt;&lt;Year&gt;2016&lt;/Year&gt;&lt;RecNum&gt;109&lt;/RecNum&gt;&lt;DisplayText&gt;(6)&lt;/DisplayText&gt;&lt;record&gt;&lt;rec-number&gt;109&lt;/rec-number&gt;&lt;foreign-keys&gt;&lt;key app="EN" db-id="00wf09edq2tx90erwz7p2vdot09d99tr2w5e" timestamp="1718072447"&gt;109&lt;/key&gt;&lt;/foreign-keys&gt;&lt;ref-type name="Journal Article"&gt;17&lt;/ref-type&gt;&lt;contributors&gt;&lt;authors&gt;&lt;author&gt;Shen, Ronglai&lt;/author&gt;&lt;author&gt;Seshan, Venkatraman E %J Nucleic acids research&lt;/author&gt;&lt;/authors&gt;&lt;/contributors&gt;&lt;titles&gt;&lt;title&gt;FACETS: allele-specific copy number and clonal heterogeneity analysis tool for high-throughput DNA sequencing&lt;/title&gt;&lt;/titles&gt;&lt;pages&gt;e131-e131&lt;/pages&gt;&lt;volume&gt;44&lt;/volume&gt;&lt;number&gt;16&lt;/number&gt;&lt;dates&gt;&lt;year&gt;2016&lt;/year&gt;&lt;/dates&gt;&lt;isbn&gt;1362-4962&lt;/isbn&gt;&lt;urls&gt;&lt;/urls&gt;&lt;/record&gt;&lt;/Cite&gt;&lt;/EndNote&gt;</w:instrText>
      </w:r>
      <w:r w:rsidRPr="00DA043C">
        <w:rPr>
          <w:rFonts w:ascii="Times New Roman" w:eastAsia="微软雅黑" w:hAnsi="Times New Roman" w:cs="Times New Roman"/>
          <w:sz w:val="24"/>
          <w:szCs w:val="24"/>
        </w:rPr>
        <w:fldChar w:fldCharType="separate"/>
      </w:r>
      <w:r w:rsidRPr="00DA043C">
        <w:rPr>
          <w:rFonts w:ascii="Times New Roman" w:eastAsia="微软雅黑" w:hAnsi="Times New Roman" w:cs="Times New Roman"/>
          <w:noProof/>
          <w:sz w:val="24"/>
          <w:szCs w:val="24"/>
        </w:rPr>
        <w:t>(6)</w:t>
      </w:r>
      <w:r w:rsidRPr="00DA043C">
        <w:rPr>
          <w:rFonts w:ascii="Times New Roman" w:eastAsia="微软雅黑" w:hAnsi="Times New Roman" w:cs="Times New Roman"/>
          <w:sz w:val="24"/>
          <w:szCs w:val="24"/>
        </w:rPr>
        <w:fldChar w:fldCharType="end"/>
      </w:r>
      <w:r w:rsidRPr="00DA043C">
        <w:rPr>
          <w:rFonts w:ascii="Times New Roman" w:eastAsia="微软雅黑" w:hAnsi="Times New Roman" w:cs="Times New Roman"/>
          <w:sz w:val="24"/>
          <w:szCs w:val="24"/>
        </w:rPr>
        <w:t>. Only deep amplifications and deep deletions segments were considered.</w:t>
      </w:r>
    </w:p>
    <w:p w14:paraId="6DC4555D" w14:textId="77777777" w:rsidR="00E7432C" w:rsidRPr="0013323E" w:rsidRDefault="00E7432C" w:rsidP="00E7432C">
      <w:pPr>
        <w:pStyle w:val="EndNoteBibliography"/>
      </w:pPr>
      <w:r w:rsidRPr="0013323E">
        <w:t>[1] Tang, W.-F., Wu, M., Bao, H.</w:t>
      </w:r>
      <w:r w:rsidRPr="0013323E">
        <w:rPr>
          <w:i/>
        </w:rPr>
        <w:t>, et al.</w:t>
      </w:r>
      <w:r w:rsidRPr="0013323E">
        <w:t xml:space="preserve"> (2021). Timing and origins of local and distant metastases in lung cancer. </w:t>
      </w:r>
      <w:r w:rsidRPr="0013323E">
        <w:rPr>
          <w:i/>
        </w:rPr>
        <w:t xml:space="preserve"> </w:t>
      </w:r>
      <w:r w:rsidRPr="0013323E">
        <w:t>16, 1136-1148.</w:t>
      </w:r>
    </w:p>
    <w:p w14:paraId="200BCF31" w14:textId="77777777" w:rsidR="00E7432C" w:rsidRPr="0013323E" w:rsidRDefault="00E7432C" w:rsidP="00E7432C">
      <w:pPr>
        <w:pStyle w:val="EndNoteBibliography"/>
      </w:pPr>
      <w:r w:rsidRPr="0013323E">
        <w:t xml:space="preserve">[2] Bolger, A.M., Lohse, M., and Usadel, B.J.B. (2014). Trimmomatic: a flexible trimmer for Illumina sequence data. </w:t>
      </w:r>
      <w:r w:rsidRPr="0013323E">
        <w:rPr>
          <w:i/>
        </w:rPr>
        <w:t xml:space="preserve"> </w:t>
      </w:r>
      <w:r w:rsidRPr="0013323E">
        <w:t>30, 2114-2120.</w:t>
      </w:r>
    </w:p>
    <w:p w14:paraId="7C2E9B3F" w14:textId="40E2BED6" w:rsidR="00001170" w:rsidRDefault="00E7432C" w:rsidP="00E7432C">
      <w:pPr>
        <w:pStyle w:val="EndNoteBibliography"/>
      </w:pPr>
      <w:r w:rsidRPr="0013323E">
        <w:t xml:space="preserve">[3] Li, H., and Durbin, R.J.b. (2009). Fast and accurate short read alignment with Burrows–Wheeler transform. </w:t>
      </w:r>
      <w:r w:rsidRPr="0013323E">
        <w:rPr>
          <w:i/>
        </w:rPr>
        <w:t xml:space="preserve"> </w:t>
      </w:r>
      <w:r w:rsidRPr="0013323E">
        <w:t>25, 1754-1760.</w:t>
      </w:r>
    </w:p>
    <w:p w14:paraId="40AC26E7" w14:textId="77777777" w:rsidR="00E7432C" w:rsidRPr="0013323E" w:rsidRDefault="00E7432C" w:rsidP="00E7432C">
      <w:pPr>
        <w:pStyle w:val="EndNoteBibliography"/>
      </w:pPr>
      <w:r w:rsidRPr="0013323E">
        <w:t>[4] McKenna, A., Hanna, M., Banks, E.</w:t>
      </w:r>
      <w:r w:rsidRPr="0013323E">
        <w:rPr>
          <w:i/>
        </w:rPr>
        <w:t>, et al.</w:t>
      </w:r>
      <w:r w:rsidRPr="0013323E">
        <w:t xml:space="preserve"> (2010). The Genome Analysis Toolkit: a MapReduce framework for analyzing next-generation DNA sequencing data. Genome Res</w:t>
      </w:r>
      <w:r w:rsidRPr="0013323E">
        <w:rPr>
          <w:i/>
        </w:rPr>
        <w:t xml:space="preserve"> </w:t>
      </w:r>
      <w:r w:rsidRPr="0013323E">
        <w:t>20, 1297-1303.</w:t>
      </w:r>
    </w:p>
    <w:p w14:paraId="275D49CE" w14:textId="77777777" w:rsidR="00E7432C" w:rsidRPr="0013323E" w:rsidRDefault="00E7432C" w:rsidP="00E7432C">
      <w:pPr>
        <w:pStyle w:val="EndNoteBibliography"/>
      </w:pPr>
      <w:r w:rsidRPr="0013323E">
        <w:t>[5] Carter, S.L., Cibulskis, K., Helman, E.</w:t>
      </w:r>
      <w:r w:rsidRPr="0013323E">
        <w:rPr>
          <w:i/>
        </w:rPr>
        <w:t>, et al.</w:t>
      </w:r>
      <w:r w:rsidRPr="0013323E">
        <w:t xml:space="preserve"> (2012). Absolute quantification of somatic DNA alterations in human cancer. </w:t>
      </w:r>
      <w:r w:rsidRPr="0013323E">
        <w:rPr>
          <w:i/>
        </w:rPr>
        <w:t xml:space="preserve"> </w:t>
      </w:r>
      <w:r w:rsidRPr="0013323E">
        <w:t>30, 413-421.</w:t>
      </w:r>
    </w:p>
    <w:p w14:paraId="40E52E2A" w14:textId="77777777" w:rsidR="00E7432C" w:rsidRPr="0013323E" w:rsidRDefault="00E7432C" w:rsidP="00E7432C">
      <w:pPr>
        <w:pStyle w:val="EndNoteBibliography"/>
      </w:pPr>
      <w:r w:rsidRPr="0013323E">
        <w:t xml:space="preserve">[6] Shen, R., and Seshan, V.E.J.N.a.r. (2016). FACETS: allele-specific copy number and clonal heterogeneity analysis tool for high-throughput DNA sequencing. </w:t>
      </w:r>
      <w:r w:rsidRPr="0013323E">
        <w:rPr>
          <w:i/>
        </w:rPr>
        <w:t xml:space="preserve"> </w:t>
      </w:r>
      <w:r w:rsidRPr="0013323E">
        <w:t>44, e131-e131.</w:t>
      </w:r>
    </w:p>
    <w:p w14:paraId="55BFF879" w14:textId="77777777" w:rsidR="00E7432C" w:rsidRDefault="00E7432C" w:rsidP="00E7432C">
      <w:pPr>
        <w:pStyle w:val="EndNoteBibliography"/>
        <w:rPr>
          <w:rFonts w:hint="eastAsia"/>
        </w:rPr>
      </w:pPr>
    </w:p>
    <w:sectPr w:rsidR="00E7432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95182" w14:textId="77777777" w:rsidR="006D6517" w:rsidRDefault="006D6517" w:rsidP="00E7432C">
      <w:r>
        <w:separator/>
      </w:r>
    </w:p>
  </w:endnote>
  <w:endnote w:type="continuationSeparator" w:id="0">
    <w:p w14:paraId="11F588FF" w14:textId="77777777" w:rsidR="006D6517" w:rsidRDefault="006D6517" w:rsidP="00E7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8D29A" w14:textId="77777777" w:rsidR="006D6517" w:rsidRDefault="006D6517" w:rsidP="00E7432C">
      <w:r>
        <w:separator/>
      </w:r>
    </w:p>
  </w:footnote>
  <w:footnote w:type="continuationSeparator" w:id="0">
    <w:p w14:paraId="04776631" w14:textId="77777777" w:rsidR="006D6517" w:rsidRDefault="006D6517" w:rsidP="00E743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654C6"/>
    <w:rsid w:val="000654C6"/>
    <w:rsid w:val="006D6517"/>
    <w:rsid w:val="008B71C1"/>
    <w:rsid w:val="00AF1748"/>
    <w:rsid w:val="00E743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73687"/>
  <w15:chartTrackingRefBased/>
  <w15:docId w15:val="{310A53CC-5759-49C5-A2E1-BCC12F190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3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32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7432C"/>
    <w:rPr>
      <w:sz w:val="18"/>
      <w:szCs w:val="18"/>
    </w:rPr>
  </w:style>
  <w:style w:type="paragraph" w:styleId="a5">
    <w:name w:val="footer"/>
    <w:basedOn w:val="a"/>
    <w:link w:val="a6"/>
    <w:uiPriority w:val="99"/>
    <w:unhideWhenUsed/>
    <w:rsid w:val="00E7432C"/>
    <w:pPr>
      <w:tabs>
        <w:tab w:val="center" w:pos="4153"/>
        <w:tab w:val="right" w:pos="8306"/>
      </w:tabs>
      <w:snapToGrid w:val="0"/>
      <w:jc w:val="left"/>
    </w:pPr>
    <w:rPr>
      <w:sz w:val="18"/>
      <w:szCs w:val="18"/>
    </w:rPr>
  </w:style>
  <w:style w:type="character" w:customStyle="1" w:styleId="a6">
    <w:name w:val="页脚 字符"/>
    <w:basedOn w:val="a0"/>
    <w:link w:val="a5"/>
    <w:uiPriority w:val="99"/>
    <w:rsid w:val="00E7432C"/>
    <w:rPr>
      <w:sz w:val="18"/>
      <w:szCs w:val="18"/>
    </w:rPr>
  </w:style>
  <w:style w:type="paragraph" w:customStyle="1" w:styleId="EndNoteBibliography">
    <w:name w:val="EndNote Bibliography"/>
    <w:basedOn w:val="a"/>
    <w:link w:val="EndNoteBibliography0"/>
    <w:rsid w:val="00E7432C"/>
    <w:pPr>
      <w:jc w:val="left"/>
    </w:pPr>
    <w:rPr>
      <w:rFonts w:ascii="等线" w:eastAsia="等线" w:hAnsi="等线"/>
      <w:noProof/>
      <w:sz w:val="20"/>
    </w:rPr>
  </w:style>
  <w:style w:type="character" w:customStyle="1" w:styleId="EndNoteBibliography0">
    <w:name w:val="EndNote Bibliography 字符"/>
    <w:basedOn w:val="a0"/>
    <w:link w:val="EndNoteBibliography"/>
    <w:rsid w:val="00E7432C"/>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1618</Words>
  <Characters>9227</Characters>
  <Application>Microsoft Office Word</Application>
  <DocSecurity>0</DocSecurity>
  <Lines>76</Lines>
  <Paragraphs>21</Paragraphs>
  <ScaleCrop>false</ScaleCrop>
  <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国庆</dc:creator>
  <cp:keywords/>
  <dc:description/>
  <cp:lastModifiedBy>国庆</cp:lastModifiedBy>
  <cp:revision>2</cp:revision>
  <dcterms:created xsi:type="dcterms:W3CDTF">2025-02-12T11:02:00Z</dcterms:created>
  <dcterms:modified xsi:type="dcterms:W3CDTF">2025-02-12T11:03:00Z</dcterms:modified>
</cp:coreProperties>
</file>