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792"/>
        <w:gridCol w:w="5729"/>
        <w:gridCol w:w="703"/>
        <w:gridCol w:w="5679"/>
      </w:tblGrid>
      <w:tr w:rsidR="00D8098C" w:rsidRPr="00B853C6"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2249D908" w:rsidR="00D8098C" w:rsidRPr="00670841" w:rsidRDefault="00670841"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p>
        </w:tc>
        <w:tc>
          <w:tcPr>
            <w:tcW w:w="4320" w:type="dxa"/>
            <w:tcBorders>
              <w:top w:val="single" w:sz="6" w:space="0" w:color="7F7F7F"/>
              <w:bottom w:val="single" w:sz="6" w:space="0" w:color="7F7F7F"/>
            </w:tcBorders>
            <w:shd w:val="clear" w:color="auto" w:fill="EEEEEE"/>
          </w:tcPr>
          <w:p w14:paraId="692AA899" w14:textId="77777777" w:rsidR="00670841" w:rsidRPr="00670841" w:rsidRDefault="00670841" w:rsidP="00670841">
            <w:pPr>
              <w:spacing w:beforeLines="40" w:before="96" w:afterLines="40" w:after="96" w:line="24" w:lineRule="atLeast"/>
              <w:rPr>
                <w:rFonts w:eastAsia="Times New Roman"/>
                <w:sz w:val="18"/>
                <w:szCs w:val="18"/>
                <w:lang w:val="en-GB" w:eastAsia="en-GB"/>
              </w:rPr>
            </w:pPr>
            <w:r w:rsidRPr="00670841">
              <w:rPr>
                <w:rFonts w:eastAsia="Times New Roman"/>
                <w:sz w:val="18"/>
                <w:szCs w:val="18"/>
                <w:lang w:val="en-GB" w:eastAsia="en-GB"/>
              </w:rPr>
              <w:t xml:space="preserve">A Multicenter Mendelian </w:t>
            </w:r>
          </w:p>
          <w:p w14:paraId="2F6D1FAF" w14:textId="2492DE7C" w:rsidR="00D8098C" w:rsidRDefault="00670841" w:rsidP="00670841">
            <w:pPr>
              <w:spacing w:beforeLines="40" w:before="96" w:afterLines="40" w:after="96" w:line="24" w:lineRule="atLeast"/>
              <w:rPr>
                <w:rFonts w:eastAsia="Times New Roman"/>
                <w:sz w:val="18"/>
                <w:szCs w:val="18"/>
                <w:lang w:val="en-GB" w:eastAsia="en-GB"/>
              </w:rPr>
            </w:pPr>
            <w:r w:rsidRPr="00670841">
              <w:rPr>
                <w:rFonts w:eastAsia="Times New Roman"/>
                <w:sz w:val="18"/>
                <w:szCs w:val="18"/>
                <w:lang w:val="en-GB" w:eastAsia="en-GB"/>
              </w:rPr>
              <w:t xml:space="preserve">Randomization Study </w:t>
            </w:r>
          </w:p>
        </w:tc>
      </w:tr>
      <w:tr w:rsidR="00D8098C" w:rsidRPr="00B853C6" w14:paraId="641E6A58" w14:textId="3A4EC1CE" w:rsidTr="003D447D">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7A6DC6E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7DB622D8" w14:textId="3921B7E8" w:rsidTr="003D447D">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22"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720" w:type="dxa"/>
            <w:shd w:val="clear" w:color="auto" w:fill="EEEEEE"/>
          </w:tcPr>
          <w:p w14:paraId="460FB29C" w14:textId="316DF9EA" w:rsidR="00D8098C" w:rsidRPr="00670841" w:rsidRDefault="00670841"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p>
        </w:tc>
        <w:tc>
          <w:tcPr>
            <w:tcW w:w="4320" w:type="dxa"/>
            <w:shd w:val="clear" w:color="auto" w:fill="EEEEEE"/>
          </w:tcPr>
          <w:p w14:paraId="5D990A22" w14:textId="331ABB3A" w:rsidR="00D8098C" w:rsidRDefault="00670841" w:rsidP="00670841">
            <w:pPr>
              <w:spacing w:beforeLines="40" w:before="96" w:afterLines="40" w:after="96" w:line="24" w:lineRule="atLeast"/>
              <w:rPr>
                <w:rFonts w:eastAsia="Times New Roman"/>
                <w:sz w:val="18"/>
                <w:szCs w:val="18"/>
                <w:lang w:val="en-GB" w:eastAsia="en-GB"/>
              </w:rPr>
            </w:pPr>
            <w:r w:rsidRPr="00670841">
              <w:rPr>
                <w:rFonts w:eastAsia="Times New Roman"/>
                <w:sz w:val="18"/>
                <w:szCs w:val="18"/>
                <w:lang w:val="en-GB" w:eastAsia="en-GB"/>
              </w:rPr>
              <w:t xml:space="preserve">To dissect the intricate link between LUAD and metabolism, Mendelian Randomization (MR) </w:t>
            </w:r>
            <w:r>
              <w:rPr>
                <w:rFonts w:eastAsiaTheme="minorEastAsia" w:hint="eastAsia"/>
                <w:sz w:val="18"/>
                <w:szCs w:val="18"/>
                <w:lang w:val="en-GB" w:eastAsia="zh-CN"/>
              </w:rPr>
              <w:t xml:space="preserve"> </w:t>
            </w:r>
            <w:r w:rsidRPr="00670841">
              <w:rPr>
                <w:rFonts w:eastAsia="Times New Roman"/>
                <w:sz w:val="18"/>
                <w:szCs w:val="18"/>
                <w:lang w:val="en-GB" w:eastAsia="en-GB"/>
              </w:rPr>
              <w:t xml:space="preserve">and Quantitative Trait Loci (QTLs) analyses emerge as powerful tools. MR leverages genetic </w:t>
            </w:r>
            <w:r>
              <w:rPr>
                <w:rFonts w:eastAsiaTheme="minorEastAsia" w:hint="eastAsia"/>
                <w:sz w:val="18"/>
                <w:szCs w:val="18"/>
                <w:lang w:val="en-GB" w:eastAsia="zh-CN"/>
              </w:rPr>
              <w:t xml:space="preserve"> </w:t>
            </w:r>
            <w:r w:rsidRPr="00670841">
              <w:rPr>
                <w:rFonts w:eastAsia="Times New Roman"/>
                <w:sz w:val="18"/>
                <w:szCs w:val="18"/>
                <w:lang w:val="en-GB" w:eastAsia="en-GB"/>
              </w:rPr>
              <w:t xml:space="preserve">variation as instrumental variables to infer causality between modifiable risk factors and diseases, </w:t>
            </w:r>
            <w:r>
              <w:rPr>
                <w:rFonts w:eastAsiaTheme="minorEastAsia" w:hint="eastAsia"/>
                <w:sz w:val="18"/>
                <w:szCs w:val="18"/>
                <w:lang w:val="en-GB" w:eastAsia="zh-CN"/>
              </w:rPr>
              <w:t xml:space="preserve"> </w:t>
            </w:r>
            <w:r w:rsidRPr="00670841">
              <w:rPr>
                <w:rFonts w:eastAsia="Times New Roman"/>
                <w:sz w:val="18"/>
                <w:szCs w:val="18"/>
                <w:lang w:val="en-GB" w:eastAsia="en-GB"/>
              </w:rPr>
              <w:t xml:space="preserve">bypassing confounding and reverse causation(10). QTLs, encompassing methylation QTLs (mQTLs), expression QTLs (eQTLs), and protein QTLs (pQTLs), provide a genetic framework to </w:t>
            </w:r>
            <w:r>
              <w:rPr>
                <w:rFonts w:eastAsiaTheme="minorEastAsia" w:hint="eastAsia"/>
                <w:sz w:val="18"/>
                <w:szCs w:val="18"/>
                <w:lang w:val="en-GB" w:eastAsia="zh-CN"/>
              </w:rPr>
              <w:t xml:space="preserve"> </w:t>
            </w:r>
            <w:r w:rsidRPr="00670841">
              <w:rPr>
                <w:rFonts w:eastAsia="Times New Roman"/>
                <w:sz w:val="18"/>
                <w:szCs w:val="18"/>
                <w:lang w:val="en-GB" w:eastAsia="en-GB"/>
              </w:rPr>
              <w:t xml:space="preserve">understand how variations within the genome influence traits at the molecular level(11). These </w:t>
            </w:r>
            <w:r>
              <w:rPr>
                <w:rFonts w:eastAsiaTheme="minorEastAsia" w:hint="eastAsia"/>
                <w:sz w:val="18"/>
                <w:szCs w:val="18"/>
                <w:lang w:val="en-GB" w:eastAsia="zh-CN"/>
              </w:rPr>
              <w:t xml:space="preserve"> </w:t>
            </w:r>
            <w:r w:rsidRPr="00670841">
              <w:rPr>
                <w:rFonts w:eastAsia="Times New Roman"/>
                <w:sz w:val="18"/>
                <w:szCs w:val="18"/>
                <w:lang w:val="en-GB" w:eastAsia="en-GB"/>
              </w:rPr>
              <w:t xml:space="preserve">methodologies, used in tandem, can uncover genetic predispositions and molecular mechanisms that </w:t>
            </w:r>
            <w:r>
              <w:rPr>
                <w:rFonts w:eastAsiaTheme="minorEastAsia" w:hint="eastAsia"/>
                <w:sz w:val="18"/>
                <w:szCs w:val="18"/>
                <w:lang w:val="en-GB" w:eastAsia="zh-CN"/>
              </w:rPr>
              <w:t xml:space="preserve"> </w:t>
            </w:r>
            <w:r w:rsidRPr="00670841">
              <w:rPr>
                <w:rFonts w:eastAsia="Times New Roman"/>
                <w:sz w:val="18"/>
                <w:szCs w:val="18"/>
                <w:lang w:val="en-GB" w:eastAsia="en-GB"/>
              </w:rPr>
              <w:t xml:space="preserve">drive the metabolic reprogramming in LUAD, offering novel insights into its pathogenesis and </w:t>
            </w:r>
            <w:r>
              <w:rPr>
                <w:rFonts w:eastAsiaTheme="minorEastAsia" w:hint="eastAsia"/>
                <w:sz w:val="18"/>
                <w:szCs w:val="18"/>
                <w:lang w:val="en-GB" w:eastAsia="zh-CN"/>
              </w:rPr>
              <w:t xml:space="preserve"> </w:t>
            </w:r>
            <w:r w:rsidRPr="00670841">
              <w:rPr>
                <w:rFonts w:eastAsia="Times New Roman"/>
                <w:sz w:val="18"/>
                <w:szCs w:val="18"/>
                <w:lang w:val="en-GB" w:eastAsia="en-GB"/>
              </w:rPr>
              <w:t>potential intervention points</w:t>
            </w:r>
          </w:p>
        </w:tc>
      </w:tr>
      <w:tr w:rsidR="00D8098C" w:rsidRPr="00B853C6" w14:paraId="7907A3D3" w14:textId="5AB948A7" w:rsidTr="003D447D">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22"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3E0B98C8" w:rsidR="00D8098C" w:rsidRPr="00670841" w:rsidRDefault="00670841"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p>
        </w:tc>
        <w:tc>
          <w:tcPr>
            <w:tcW w:w="4320" w:type="dxa"/>
            <w:tcBorders>
              <w:bottom w:val="single" w:sz="6" w:space="0" w:color="7F7F7F"/>
            </w:tcBorders>
          </w:tcPr>
          <w:p w14:paraId="11250836" w14:textId="16C2A816" w:rsidR="00D8098C" w:rsidRDefault="00670841" w:rsidP="00670841">
            <w:pPr>
              <w:spacing w:beforeLines="40" w:before="96" w:afterLines="40" w:after="96" w:line="24" w:lineRule="atLeast"/>
              <w:rPr>
                <w:rFonts w:eastAsia="Times New Roman"/>
                <w:sz w:val="18"/>
                <w:szCs w:val="18"/>
                <w:lang w:val="en-GB" w:eastAsia="en-GB"/>
              </w:rPr>
            </w:pPr>
            <w:r w:rsidRPr="00670841">
              <w:rPr>
                <w:rFonts w:eastAsia="Times New Roman"/>
                <w:sz w:val="18"/>
                <w:szCs w:val="18"/>
                <w:lang w:val="en-GB" w:eastAsia="en-GB"/>
              </w:rPr>
              <w:t xml:space="preserve">This integrative approach aims to reveal novel insights into the </w:t>
            </w:r>
            <w:r>
              <w:rPr>
                <w:rFonts w:eastAsiaTheme="minorEastAsia" w:hint="eastAsia"/>
                <w:sz w:val="18"/>
                <w:szCs w:val="18"/>
                <w:lang w:val="en-GB" w:eastAsia="zh-CN"/>
              </w:rPr>
              <w:t xml:space="preserve"> </w:t>
            </w:r>
            <w:r w:rsidRPr="00670841">
              <w:rPr>
                <w:rFonts w:eastAsia="Times New Roman"/>
                <w:sz w:val="18"/>
                <w:szCs w:val="18"/>
                <w:lang w:val="en-GB" w:eastAsia="en-GB"/>
              </w:rPr>
              <w:t xml:space="preserve">metabolic underpinnings of LUAD and identifies potential biomarkers and therapeutic targets, </w:t>
            </w:r>
            <w:r>
              <w:rPr>
                <w:rFonts w:eastAsiaTheme="minorEastAsia" w:hint="eastAsia"/>
                <w:sz w:val="18"/>
                <w:szCs w:val="18"/>
                <w:lang w:val="en-GB" w:eastAsia="zh-CN"/>
              </w:rPr>
              <w:t xml:space="preserve"> </w:t>
            </w:r>
            <w:r w:rsidRPr="00670841">
              <w:rPr>
                <w:rFonts w:eastAsia="Times New Roman"/>
                <w:sz w:val="18"/>
                <w:szCs w:val="18"/>
                <w:lang w:val="en-GB" w:eastAsia="en-GB"/>
              </w:rPr>
              <w:t xml:space="preserve">thereby contributing significantly to the field of cancer genomics and personalized medicine. </w:t>
            </w:r>
          </w:p>
        </w:tc>
      </w:tr>
      <w:tr w:rsidR="00D8098C" w:rsidRPr="00B853C6" w14:paraId="59599383" w14:textId="2880B554" w:rsidTr="003D447D">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shd w:val="clear" w:color="auto" w:fill="EEEEEE"/>
          </w:tcPr>
          <w:p w14:paraId="6CB9315A"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440155E" w14:textId="16610A1F" w:rsidTr="003D447D">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22"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23CE0AC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7D5AE21" w14:textId="3CA8D4AF" w:rsidTr="003D447D">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14:textId="03DC710B" w:rsidR="00D8098C" w:rsidRPr="00670841" w:rsidRDefault="00670841" w:rsidP="00426603">
            <w:pPr>
              <w:spacing w:beforeLines="40" w:before="96" w:afterLines="40" w:after="96" w:line="24" w:lineRule="atLeast"/>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3</w:t>
            </w:r>
          </w:p>
        </w:tc>
        <w:tc>
          <w:tcPr>
            <w:tcW w:w="4320" w:type="dxa"/>
            <w:shd w:val="clear" w:color="auto" w:fill="EEEEEE"/>
          </w:tcPr>
          <w:p w14:paraId="33F4171D" w14:textId="2A7103DC" w:rsidR="00D8098C" w:rsidRDefault="00670841" w:rsidP="00426603">
            <w:pPr>
              <w:spacing w:beforeLines="40" w:before="96" w:afterLines="40" w:after="96" w:line="24" w:lineRule="atLeast"/>
              <w:rPr>
                <w:rFonts w:eastAsia="Times New Roman"/>
                <w:sz w:val="18"/>
                <w:szCs w:val="18"/>
                <w:shd w:val="clear" w:color="auto" w:fill="FFFFFF"/>
                <w:lang w:val="en-GB" w:eastAsia="en-GB"/>
              </w:rPr>
            </w:pPr>
            <w:r w:rsidRPr="00670841">
              <w:rPr>
                <w:rFonts w:eastAsia="Times New Roman"/>
                <w:sz w:val="18"/>
                <w:szCs w:val="18"/>
                <w:shd w:val="clear" w:color="auto" w:fill="FFFFFF"/>
                <w:lang w:val="en-GB" w:eastAsia="en-GB"/>
              </w:rPr>
              <w:t>Figure 1 outlines the study's structured framework. We utilized datasets from the Transdisciplinary Research Into Cancer of the Lung (TRICL), FinnGen study, and various extensive GWASs (detailed in Table S1) as a platform for our MR analysis.</w:t>
            </w:r>
          </w:p>
        </w:tc>
      </w:tr>
      <w:tr w:rsidR="00D8098C" w:rsidRPr="00B853C6" w14:paraId="376A6F82" w14:textId="43693FDC" w:rsidTr="003D447D">
        <w:tc>
          <w:tcPr>
            <w:tcW w:w="587" w:type="dxa"/>
            <w:shd w:val="clear" w:color="auto" w:fill="auto"/>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720" w:type="dxa"/>
          </w:tcPr>
          <w:p w14:paraId="29ACC32C" w14:textId="58BC5EAE" w:rsidR="00D8098C" w:rsidRPr="00670841" w:rsidRDefault="00670841" w:rsidP="00426603">
            <w:pPr>
              <w:spacing w:beforeLines="40" w:before="96" w:afterLines="40" w:after="96" w:line="24" w:lineRule="atLeast"/>
              <w:textAlignment w:val="baseline"/>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4</w:t>
            </w:r>
          </w:p>
        </w:tc>
        <w:tc>
          <w:tcPr>
            <w:tcW w:w="4320" w:type="dxa"/>
          </w:tcPr>
          <w:p w14:paraId="37C3B4C3" w14:textId="5DBC5DF3" w:rsidR="00D8098C" w:rsidRDefault="00670841" w:rsidP="00426603">
            <w:pPr>
              <w:spacing w:beforeLines="40" w:before="96" w:afterLines="40" w:after="96" w:line="24" w:lineRule="atLeast"/>
              <w:textAlignment w:val="baseline"/>
              <w:rPr>
                <w:rFonts w:eastAsia="Times New Roman"/>
                <w:sz w:val="18"/>
                <w:szCs w:val="18"/>
                <w:shd w:val="clear" w:color="auto" w:fill="FFFFFF"/>
                <w:lang w:val="en-GB" w:eastAsia="en-GB"/>
              </w:rPr>
            </w:pPr>
            <w:r w:rsidRPr="00670841">
              <w:rPr>
                <w:rFonts w:eastAsia="Times New Roman"/>
                <w:sz w:val="18"/>
                <w:szCs w:val="18"/>
                <w:shd w:val="clear" w:color="auto" w:fill="FFFFFF"/>
                <w:lang w:val="en-GB" w:eastAsia="en-GB"/>
              </w:rPr>
              <w:t xml:space="preserve">For our study, SNP-CpG associations were sourced from the mQTL data gathered by McRae et al. on 1,980 individuals of European descent(12). This data set underwent normalization of individual methylation probes using a generalized linear model with a logistic link function, accounting for variables such as chip, sex, age, and </w:t>
            </w:r>
            <w:r w:rsidRPr="00670841">
              <w:rPr>
                <w:rFonts w:eastAsia="Times New Roman"/>
                <w:sz w:val="18"/>
                <w:szCs w:val="18"/>
                <w:shd w:val="clear" w:color="auto" w:fill="FFFFFF"/>
                <w:lang w:val="en-GB" w:eastAsia="en-GB"/>
              </w:rPr>
              <w:lastRenderedPageBreak/>
              <w:t>interactions between sex and age. The eQTL data was procured from the eQTLGen consortium, an extensive cohort encompassing 31,684 individuals. This database provides a comprehensive repository of associations between genetic variations and gene expression across diverse populations(13). Protein QTLs (pQTLs) were extracted from the study by Ferkingstad et al., which included a robust Icelandic cohort of 35,559 participants. Protein levels were rank-inverse normal transformed and adjusted for confounding factors like age and sex(14).</w:t>
            </w:r>
          </w:p>
        </w:tc>
      </w:tr>
      <w:tr w:rsidR="00D8098C" w:rsidRPr="00B853C6" w14:paraId="04B065C7" w14:textId="72F11B68" w:rsidTr="003D447D">
        <w:tc>
          <w:tcPr>
            <w:tcW w:w="587"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717585E8" w:rsidR="00D8098C" w:rsidRPr="00670841" w:rsidRDefault="00670841"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p>
        </w:tc>
        <w:tc>
          <w:tcPr>
            <w:tcW w:w="4320" w:type="dxa"/>
            <w:shd w:val="clear" w:color="auto" w:fill="EEEEEE"/>
          </w:tcPr>
          <w:p w14:paraId="26B556E6" w14:textId="2072DC2E" w:rsidR="00D8098C" w:rsidRDefault="00670841" w:rsidP="00426603">
            <w:pPr>
              <w:spacing w:beforeLines="40" w:before="96" w:afterLines="40" w:after="96" w:line="24" w:lineRule="atLeast"/>
              <w:rPr>
                <w:rFonts w:eastAsia="Times New Roman"/>
                <w:sz w:val="18"/>
                <w:szCs w:val="18"/>
                <w:lang w:val="en-GB" w:eastAsia="en-GB"/>
              </w:rPr>
            </w:pPr>
            <w:r w:rsidRPr="00670841">
              <w:rPr>
                <w:rFonts w:eastAsia="Times New Roman"/>
                <w:sz w:val="18"/>
                <w:szCs w:val="18"/>
                <w:lang w:val="en-GB" w:eastAsia="en-GB"/>
              </w:rPr>
              <w:t>The selection of the top associated cis-QTLs was based on a defined genomic window centered on the target gene (±1000 kb), with a significance threshold set at P &lt; 5.0 × 10−8. SNPs exhibiting allele frequency differences greater than 0.2 between any of the datasets, including the linkage disequilibrium (LD) reference sample, QTL summary data, and outcome summary data, were excluded to avoid biases in the analysis. The Heterogeneity in Dependent Instruments (HEIDI) test was applied to differentiate between pleiotropy and linkage, with P-HEIDI &lt; 0.01 indicating potential pleiotropy and leading to exclusion from further analysis(16).</w:t>
            </w:r>
          </w:p>
        </w:tc>
      </w:tr>
      <w:tr w:rsidR="00D8098C" w:rsidRPr="00B853C6" w14:paraId="215DDE8E" w14:textId="5C8C984B" w:rsidTr="003D447D">
        <w:tc>
          <w:tcPr>
            <w:tcW w:w="587" w:type="dxa"/>
            <w:shd w:val="clear" w:color="auto" w:fill="auto"/>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25D44A20" w:rsidR="00D8098C" w:rsidRPr="00670841" w:rsidRDefault="00670841" w:rsidP="00426603">
            <w:pPr>
              <w:spacing w:beforeLines="40" w:before="96" w:afterLines="40" w:after="96" w:line="24" w:lineRule="atLeast"/>
              <w:textAlignment w:val="baseline"/>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4</w:t>
            </w:r>
          </w:p>
        </w:tc>
        <w:tc>
          <w:tcPr>
            <w:tcW w:w="4320" w:type="dxa"/>
          </w:tcPr>
          <w:p w14:paraId="5C2C6512" w14:textId="77777777" w:rsidR="00670841" w:rsidRDefault="00670841" w:rsidP="00670841">
            <w:pPr>
              <w:spacing w:beforeLines="50" w:before="120" w:afterLines="50" w:after="120"/>
              <w:rPr>
                <w:rFonts w:ascii="Times New Roman" w:hAnsi="Times New Roman" w:cs="Times New Roman"/>
              </w:rPr>
            </w:pPr>
            <w:r w:rsidRPr="00EA42A9">
              <w:rPr>
                <w:rFonts w:ascii="Times New Roman" w:hAnsi="Times New Roman" w:cs="Times New Roman"/>
              </w:rPr>
              <w:t xml:space="preserve">Summary-level data for LUAD and its two subtypes were obtained from the TRICL, and the FinnGen study. All participants in the TRICL study were of European ancestry and included </w:t>
            </w:r>
            <w:r>
              <w:rPr>
                <w:rFonts w:ascii="Times New Roman" w:hAnsi="Times New Roman" w:cs="Times New Roman" w:hint="eastAsia"/>
              </w:rPr>
              <w:t>11,245</w:t>
            </w:r>
            <w:r w:rsidRPr="00EA42A9">
              <w:rPr>
                <w:rFonts w:ascii="Times New Roman" w:hAnsi="Times New Roman" w:cs="Times New Roman"/>
              </w:rPr>
              <w:t xml:space="preserve"> cases and </w:t>
            </w:r>
            <w:r>
              <w:rPr>
                <w:rFonts w:ascii="Times New Roman" w:hAnsi="Times New Roman" w:cs="Times New Roman" w:hint="eastAsia"/>
              </w:rPr>
              <w:t>54,619</w:t>
            </w:r>
            <w:r w:rsidRPr="00EA42A9">
              <w:rPr>
                <w:rFonts w:ascii="Times New Roman" w:hAnsi="Times New Roman" w:cs="Times New Roman"/>
              </w:rPr>
              <w:t xml:space="preserve"> controls for LUAD. The LUAD diagnoses were defined according to the International Classification of Diseases</w:t>
            </w:r>
            <w:r>
              <w:rPr>
                <w:rFonts w:ascii="Times New Roman" w:hAnsi="Times New Roman" w:cs="Times New Roman" w:hint="eastAsia"/>
              </w:rPr>
              <w:t xml:space="preserve"> (ICD)</w:t>
            </w:r>
            <w:r w:rsidRPr="00EA42A9">
              <w:rPr>
                <w:rFonts w:ascii="Times New Roman" w:hAnsi="Times New Roman" w:cs="Times New Roman"/>
              </w:rPr>
              <w:t>, 9th Revision (ICD-9) and ICD-10. Summary-level data of genetic associations with LUAD and its subtype were also obtained from the publicly available R</w:t>
            </w:r>
            <w:r>
              <w:rPr>
                <w:rFonts w:ascii="Times New Roman" w:hAnsi="Times New Roman" w:cs="Times New Roman" w:hint="eastAsia"/>
              </w:rPr>
              <w:t>10</w:t>
            </w:r>
            <w:r w:rsidRPr="00EA42A9">
              <w:rPr>
                <w:rFonts w:ascii="Times New Roman" w:hAnsi="Times New Roman" w:cs="Times New Roman"/>
              </w:rPr>
              <w:t xml:space="preserve"> data release of the FinnGen study. The diagnosis of LUAD and its subtype was based on the ICD codes and confirmed by the Social Insurance Institution codes, which totaled </w:t>
            </w:r>
            <w:r>
              <w:rPr>
                <w:rFonts w:ascii="Times New Roman" w:hAnsi="Times New Roman" w:cs="Times New Roman" w:hint="eastAsia"/>
              </w:rPr>
              <w:t>1,590</w:t>
            </w:r>
            <w:r w:rsidRPr="00EA42A9">
              <w:rPr>
                <w:rFonts w:ascii="Times New Roman" w:hAnsi="Times New Roman" w:cs="Times New Roman"/>
              </w:rPr>
              <w:t xml:space="preserve"> cases and </w:t>
            </w:r>
            <w:r>
              <w:rPr>
                <w:rFonts w:ascii="Times New Roman" w:hAnsi="Times New Roman" w:cs="Times New Roman" w:hint="eastAsia"/>
              </w:rPr>
              <w:t>314,193</w:t>
            </w:r>
            <w:r w:rsidRPr="00EA42A9">
              <w:rPr>
                <w:rFonts w:ascii="Times New Roman" w:hAnsi="Times New Roman" w:cs="Times New Roman"/>
              </w:rPr>
              <w:t xml:space="preserve"> controls for LUAD. The discovery stage of the research utilized the TRICL dataset, while the replication stage involved the utilization of data from the the FinnGen study. There was no sample overlap among these three datasets.</w:t>
            </w:r>
          </w:p>
          <w:p w14:paraId="18BB4B57" w14:textId="77777777" w:rsidR="00D8098C"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r>
      <w:tr w:rsidR="00D8098C" w:rsidRPr="00B853C6" w14:paraId="69A6C8B1" w14:textId="39D94CE4" w:rsidTr="003D447D">
        <w:tc>
          <w:tcPr>
            <w:tcW w:w="587"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14:textId="2F8D9CCB" w:rsidR="00D8098C" w:rsidRPr="00670841" w:rsidRDefault="00670841" w:rsidP="00426603">
            <w:pPr>
              <w:spacing w:beforeLines="40" w:before="96" w:afterLines="40" w:after="96" w:line="24" w:lineRule="atLeast"/>
              <w:textAlignment w:val="baseline"/>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12</w:t>
            </w:r>
          </w:p>
        </w:tc>
        <w:tc>
          <w:tcPr>
            <w:tcW w:w="4320" w:type="dxa"/>
            <w:shd w:val="clear" w:color="auto" w:fill="EEEEEE"/>
          </w:tcPr>
          <w:p w14:paraId="378FA454" w14:textId="77777777" w:rsidR="00670841" w:rsidRDefault="00670841" w:rsidP="00670841">
            <w:pPr>
              <w:spacing w:beforeLines="50" w:before="120" w:afterLines="50" w:after="120"/>
              <w:rPr>
                <w:rFonts w:ascii="Times New Roman" w:hAnsi="Times New Roman" w:cs="Times New Roman"/>
              </w:rPr>
            </w:pPr>
            <w:r w:rsidRPr="00762B7D">
              <w:rPr>
                <w:rFonts w:ascii="Times New Roman" w:hAnsi="Times New Roman" w:cs="Times New Roman"/>
              </w:rPr>
              <w:t>There was no need to get informed consent or ethical approval</w:t>
            </w:r>
            <w:r>
              <w:rPr>
                <w:rFonts w:ascii="Times New Roman" w:hAnsi="Times New Roman" w:cs="Times New Roman" w:hint="eastAsia"/>
              </w:rPr>
              <w:t xml:space="preserve"> </w:t>
            </w:r>
            <w:r w:rsidRPr="00762B7D">
              <w:rPr>
                <w:rFonts w:ascii="Times New Roman" w:hAnsi="Times New Roman" w:cs="Times New Roman"/>
              </w:rPr>
              <w:t>for this study again because all of the data were taken from</w:t>
            </w:r>
            <w:r>
              <w:rPr>
                <w:rFonts w:ascii="Times New Roman" w:hAnsi="Times New Roman" w:cs="Times New Roman" w:hint="eastAsia"/>
              </w:rPr>
              <w:t xml:space="preserve"> </w:t>
            </w:r>
            <w:r w:rsidRPr="00762B7D">
              <w:rPr>
                <w:rFonts w:ascii="Times New Roman" w:hAnsi="Times New Roman" w:cs="Times New Roman"/>
              </w:rPr>
              <w:t>published sources, and the informed consent and approval</w:t>
            </w:r>
            <w:r>
              <w:rPr>
                <w:rFonts w:ascii="Times New Roman" w:hAnsi="Times New Roman" w:cs="Times New Roman" w:hint="eastAsia"/>
              </w:rPr>
              <w:t xml:space="preserve"> </w:t>
            </w:r>
            <w:r w:rsidRPr="00762B7D">
              <w:rPr>
                <w:rFonts w:ascii="Times New Roman" w:hAnsi="Times New Roman" w:cs="Times New Roman"/>
              </w:rPr>
              <w:t>were received.</w:t>
            </w:r>
          </w:p>
          <w:p w14:paraId="6067A95B" w14:textId="77777777" w:rsidR="00D8098C" w:rsidRPr="00670841" w:rsidRDefault="00D8098C" w:rsidP="00426603">
            <w:pPr>
              <w:spacing w:beforeLines="40" w:before="96" w:afterLines="40" w:after="96" w:line="24" w:lineRule="atLeast"/>
              <w:textAlignment w:val="baseline"/>
              <w:rPr>
                <w:rFonts w:eastAsia="Times New Roman"/>
                <w:sz w:val="18"/>
                <w:szCs w:val="18"/>
                <w:shd w:val="clear" w:color="auto" w:fill="FFFFFF"/>
                <w:lang w:eastAsia="en-GB"/>
              </w:rPr>
            </w:pPr>
          </w:p>
        </w:tc>
      </w:tr>
      <w:tr w:rsidR="00D8098C" w:rsidRPr="00B853C6" w14:paraId="23EA53EC" w14:textId="1D3E4E77" w:rsidTr="003D447D">
        <w:tc>
          <w:tcPr>
            <w:tcW w:w="587" w:type="dxa"/>
            <w:shd w:val="clear" w:color="auto" w:fill="auto"/>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22" w:type="dxa"/>
            <w:shd w:val="clear" w:color="auto" w:fill="auto"/>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4B252903" w:rsidR="00D8098C" w:rsidRPr="00670841" w:rsidRDefault="00670841"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N/A</w:t>
            </w:r>
          </w:p>
        </w:tc>
        <w:tc>
          <w:tcPr>
            <w:tcW w:w="4320" w:type="dxa"/>
          </w:tcPr>
          <w:p w14:paraId="7A54DE1B" w14:textId="72816C7C" w:rsidR="00D8098C" w:rsidRPr="00670841" w:rsidRDefault="00670841"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SMR rather than MR was used.</w:t>
            </w:r>
          </w:p>
        </w:tc>
      </w:tr>
      <w:tr w:rsidR="00D8098C" w:rsidRPr="00B853C6" w14:paraId="6209F8C8" w14:textId="78A53B40" w:rsidTr="003D447D">
        <w:tc>
          <w:tcPr>
            <w:tcW w:w="587" w:type="dxa"/>
            <w:shd w:val="clear" w:color="auto" w:fill="EEEEEE"/>
          </w:tcPr>
          <w:p w14:paraId="6FA239C8"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22" w:type="dxa"/>
            <w:shd w:val="clear" w:color="auto" w:fill="EEEEEE"/>
          </w:tcPr>
          <w:p w14:paraId="3D8F9E93"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720" w:type="dxa"/>
            <w:shd w:val="clear" w:color="auto" w:fill="EEEEEE"/>
          </w:tcPr>
          <w:p w14:paraId="0D1191BA"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5DF0C4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346E621" w14:textId="11B8B572" w:rsidTr="003D447D">
        <w:tc>
          <w:tcPr>
            <w:tcW w:w="587" w:type="dxa"/>
            <w:shd w:val="clear" w:color="auto" w:fill="auto"/>
          </w:tcPr>
          <w:p w14:paraId="339A016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3BB90022"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720" w:type="dxa"/>
          </w:tcPr>
          <w:p w14:paraId="22720A53" w14:textId="3BBAB0A1" w:rsidR="00D8098C" w:rsidRPr="00670841" w:rsidRDefault="00670841"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p>
        </w:tc>
        <w:tc>
          <w:tcPr>
            <w:tcW w:w="4320" w:type="dxa"/>
          </w:tcPr>
          <w:p w14:paraId="049A5AB7" w14:textId="77777777" w:rsidR="00670841" w:rsidRPr="00670841" w:rsidRDefault="00670841" w:rsidP="00670841">
            <w:pPr>
              <w:spacing w:beforeLines="40" w:before="96" w:afterLines="40" w:after="96" w:line="24" w:lineRule="atLeast"/>
              <w:rPr>
                <w:rFonts w:eastAsia="Times New Roman"/>
                <w:sz w:val="18"/>
                <w:szCs w:val="18"/>
                <w:lang w:eastAsia="en-GB"/>
              </w:rPr>
            </w:pPr>
            <w:r w:rsidRPr="00670841">
              <w:rPr>
                <w:rFonts w:eastAsia="Times New Roman"/>
                <w:sz w:val="18"/>
                <w:szCs w:val="18"/>
                <w:lang w:eastAsia="en-GB"/>
              </w:rPr>
              <w:t>The selection of the top associated cis-QTLs was based on a defined genomic window centered on the target gene (±1000 kb), with a significance threshold set at P &lt; 5.0 × 10−8. SNPs exhibiting allele frequency differences greater than 0.2 between any of the datasets, including the linkage disequilibrium (LD) reference sample, QTL summary data, and outcome summary data, were excluded to avoid biases in the analysis. The Heterogeneity in Dependent Instruments (HEIDI) test was applied to differentiate between pleiotropy and linkage, with P-HEIDI &lt; 0.01 indicating potential pleiotropy and leading to exclusion from further analysis(16).</w:t>
            </w:r>
          </w:p>
          <w:p w14:paraId="76159846" w14:textId="3096C106" w:rsidR="00D8098C" w:rsidRPr="00670841" w:rsidRDefault="00670841" w:rsidP="00670841">
            <w:pPr>
              <w:spacing w:beforeLines="40" w:before="96" w:afterLines="40" w:after="96" w:line="24" w:lineRule="atLeast"/>
              <w:rPr>
                <w:rFonts w:eastAsia="Times New Roman"/>
                <w:sz w:val="18"/>
                <w:szCs w:val="18"/>
                <w:lang w:eastAsia="en-GB"/>
              </w:rPr>
            </w:pPr>
            <w:r w:rsidRPr="00670841">
              <w:rPr>
                <w:rFonts w:eastAsia="Times New Roman"/>
                <w:sz w:val="18"/>
                <w:szCs w:val="18"/>
                <w:lang w:eastAsia="en-GB"/>
              </w:rPr>
              <w:t>The SMR and HEIDI tests were conducted using the SMR software tool (version 1.3.1)(16). P-values were adjusted at a significance level of α = 0.05, employing the Bonferroni method. Only associations with Bonferroni-corrected P-values &lt;0.05 and P-HEIDI &gt;0.01 were considered robust enough to proceed to colocalization analysis.</w:t>
            </w:r>
          </w:p>
        </w:tc>
      </w:tr>
      <w:tr w:rsidR="00D8098C" w:rsidRPr="00B853C6" w14:paraId="642A4D4B" w14:textId="4880F3BA" w:rsidTr="003D447D">
        <w:tc>
          <w:tcPr>
            <w:tcW w:w="587" w:type="dxa"/>
            <w:shd w:val="clear" w:color="auto" w:fill="EEEEEE"/>
          </w:tcPr>
          <w:p w14:paraId="11F7484C"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2277D2E8" w:rsidR="00D8098C" w:rsidRPr="00670841" w:rsidRDefault="00670841"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p>
        </w:tc>
        <w:tc>
          <w:tcPr>
            <w:tcW w:w="4320" w:type="dxa"/>
            <w:shd w:val="clear" w:color="auto" w:fill="EEEEEE"/>
          </w:tcPr>
          <w:p w14:paraId="69E2CBF2" w14:textId="77777777" w:rsidR="00670841" w:rsidRPr="00246A4D" w:rsidRDefault="00670841" w:rsidP="00670841">
            <w:pPr>
              <w:spacing w:beforeLines="50" w:before="120" w:afterLines="50" w:after="120"/>
              <w:ind w:firstLineChars="200" w:firstLine="440"/>
              <w:rPr>
                <w:rFonts w:ascii="Times New Roman" w:hAnsi="Times New Roman" w:cs="Times New Roman"/>
              </w:rPr>
            </w:pPr>
            <w:r w:rsidRPr="00246A4D">
              <w:rPr>
                <w:rFonts w:ascii="Times New Roman" w:hAnsi="Times New Roman" w:cs="Times New Roman"/>
              </w:rPr>
              <w:t>The selection of the top associated cis-QTLs was based on a defined genomic window centered on the target gene (±1000 kb), with a significance threshold set at P &lt; 5.0 × 10</w:t>
            </w:r>
            <w:r w:rsidRPr="002B0C1A">
              <w:rPr>
                <w:rFonts w:ascii="Times New Roman" w:hAnsi="Times New Roman" w:cs="Times New Roman"/>
                <w:vertAlign w:val="superscript"/>
              </w:rPr>
              <w:t>−8</w:t>
            </w:r>
            <w:r w:rsidRPr="00246A4D">
              <w:rPr>
                <w:rFonts w:ascii="Times New Roman" w:hAnsi="Times New Roman" w:cs="Times New Roman"/>
              </w:rPr>
              <w:t xml:space="preserve">. SNPs exhibiting allele frequency differences greater than 0.2 between any of the datasets, including the linkage disequilibrium (LD) reference sample, QTL summary data, and outcome summary data, were excluded to avoid biases in the analysis. The Heterogeneity in Dependent Instruments (HEIDI) test was applied to differentiate between pleiotropy </w:t>
            </w:r>
            <w:r w:rsidRPr="00246A4D">
              <w:rPr>
                <w:rFonts w:ascii="Times New Roman" w:hAnsi="Times New Roman" w:cs="Times New Roman"/>
              </w:rPr>
              <w:lastRenderedPageBreak/>
              <w:t>and linkage, with P</w:t>
            </w:r>
            <w:r>
              <w:rPr>
                <w:rFonts w:ascii="Times New Roman" w:hAnsi="Times New Roman" w:cs="Times New Roman" w:hint="eastAsia"/>
              </w:rPr>
              <w:t>-</w:t>
            </w:r>
            <w:r w:rsidRPr="00246A4D">
              <w:rPr>
                <w:rFonts w:ascii="Times New Roman" w:hAnsi="Times New Roman" w:cs="Times New Roman"/>
              </w:rPr>
              <w:t>HEIDI &lt; 0.01 indicating potential pleiotropy and leading to exclusion from further analysis</w:t>
            </w:r>
            <w:r>
              <w:rPr>
                <w:rFonts w:ascii="Times New Roman" w:hAnsi="Times New Roman" w:cs="Times New Roman"/>
              </w:rPr>
              <w:fldChar w:fldCharType="begin"/>
            </w:r>
            <w:r>
              <w:rPr>
                <w:rFonts w:ascii="Times New Roman" w:hAnsi="Times New Roman" w:cs="Times New Roman"/>
              </w:rPr>
              <w:instrText xml:space="preserve"> ADDIN EN.CITE &lt;EndNote&gt;&lt;Cite&gt;&lt;Author&gt;Zhu&lt;/Author&gt;&lt;Year&gt;2016&lt;/Year&gt;&lt;RecNum&gt;86&lt;/RecNum&gt;&lt;DisplayText&gt;(16)&lt;/DisplayText&gt;&lt;record&gt;&lt;rec-number&gt;86&lt;/rec-number&gt;&lt;foreign-keys&gt;&lt;key app="EN" db-id="sdptzxxvc5xafbeppw2p05aletfedaewvs5a" timestamp="1713840508"&gt;86&lt;/key&gt;&lt;/foreign-keys&gt;&lt;ref-type name="Journal Article"&gt;17&lt;/ref-type&gt;&lt;contributors&gt;&lt;authors&gt;&lt;author&gt;Zhu, Zhihong&lt;/author&gt;&lt;author&gt;Zhang, Futao&lt;/author&gt;&lt;author&gt;Hu, Han&lt;/author&gt;&lt;author&gt;Bakshi, Andrew&lt;/author&gt;&lt;author&gt;Robinson, Matthew R.&lt;/author&gt;&lt;author&gt;Powell, Joseph E.&lt;/author&gt;&lt;author&gt;Montgomery, Grant W.&lt;/author&gt;&lt;author&gt;Goddard, Michael E.&lt;/author&gt;&lt;author&gt;Wray, Naomi R.&lt;/author&gt;&lt;author&gt;Visscher, Peter M.&lt;/author&gt;&lt;author&gt;Yang, Jian&lt;/author&gt;&lt;/authors&gt;&lt;/contributors&gt;&lt;titles&gt;&lt;title&gt;Integration of summary data from GWAS and eQTL studies predicts complex trait gene targets&lt;/title&gt;&lt;secondary-title&gt;Nature Genetics&lt;/secondary-title&gt;&lt;/titles&gt;&lt;periodical&gt;&lt;full-title&gt;Nature Genetics&lt;/full-title&gt;&lt;/periodical&gt;&lt;pages&gt;481-487&lt;/pages&gt;&lt;volume&gt;48&lt;/volume&gt;&lt;number&gt;5&lt;/number&gt;&lt;dates&gt;&lt;year&gt;2016&lt;/year&gt;&lt;pub-dates&gt;&lt;date&gt;2016/05/01&lt;/date&gt;&lt;/pub-dates&gt;&lt;/dates&gt;&lt;isbn&gt;1546-1718&lt;/isbn&gt;&lt;urls&gt;&lt;related-urls&gt;&lt;url&gt;https://doi.org/10.1038/ng.3538&lt;/url&gt;&lt;/related-urls&gt;&lt;/urls&gt;&lt;electronic-resource-num&gt;10.1038/ng.3538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(16)</w:t>
            </w:r>
            <w:r>
              <w:rPr>
                <w:rFonts w:ascii="Times New Roman" w:hAnsi="Times New Roman" w:cs="Times New Roman"/>
              </w:rPr>
              <w:fldChar w:fldCharType="end"/>
            </w:r>
            <w:r w:rsidRPr="00246A4D">
              <w:rPr>
                <w:rFonts w:ascii="Times New Roman" w:hAnsi="Times New Roman" w:cs="Times New Roman"/>
              </w:rPr>
              <w:t>.</w:t>
            </w:r>
          </w:p>
          <w:p w14:paraId="3CB6EF90" w14:textId="77777777" w:rsidR="00670841" w:rsidRDefault="00670841" w:rsidP="00670841">
            <w:pPr>
              <w:spacing w:beforeLines="50" w:before="120" w:afterLines="50" w:after="120"/>
              <w:ind w:firstLineChars="200" w:firstLine="440"/>
              <w:rPr>
                <w:rFonts w:ascii="Times New Roman" w:hAnsi="Times New Roman" w:cs="Times New Roman"/>
              </w:rPr>
            </w:pPr>
            <w:r w:rsidRPr="00246A4D">
              <w:rPr>
                <w:rFonts w:ascii="Times New Roman" w:hAnsi="Times New Roman" w:cs="Times New Roman"/>
              </w:rPr>
              <w:t>The SMR and HEIDI tests were conducted using the SMR software tool (version 1.3.1)</w:t>
            </w:r>
            <w:r>
              <w:rPr>
                <w:rFonts w:ascii="Times New Roman" w:hAnsi="Times New Roman" w:cs="Times New Roman"/>
              </w:rPr>
              <w:fldChar w:fldCharType="begin"/>
            </w:r>
            <w:r>
              <w:rPr>
                <w:rFonts w:ascii="Times New Roman" w:hAnsi="Times New Roman" w:cs="Times New Roman"/>
              </w:rPr>
              <w:instrText xml:space="preserve"> ADDIN EN.CITE &lt;EndNote&gt;&lt;Cite&gt;&lt;Author&gt;Zhu&lt;/Author&gt;&lt;Year&gt;2016&lt;/Year&gt;&lt;RecNum&gt;86&lt;/RecNum&gt;&lt;DisplayText&gt;(16)&lt;/DisplayText&gt;&lt;record&gt;&lt;rec-number&gt;86&lt;/rec-number&gt;&lt;foreign-keys&gt;&lt;key app="EN" db-id="sdptzxxvc5xafbeppw2p05aletfedaewvs5a" timestamp="1713840508"&gt;86&lt;/key&gt;&lt;/foreign-keys&gt;&lt;ref-type name="Journal Article"&gt;17&lt;/ref-type&gt;&lt;contributors&gt;&lt;authors&gt;&lt;author&gt;Zhu, Zhihong&lt;/author&gt;&lt;author&gt;Zhang, Futao&lt;/author&gt;&lt;author&gt;Hu, Han&lt;/author&gt;&lt;author&gt;Bakshi, Andrew&lt;/author&gt;&lt;author&gt;Robinson, Matthew R.&lt;/author&gt;&lt;author&gt;Powell, Joseph E.&lt;/author&gt;&lt;author&gt;Montgomery, Grant W.&lt;/author&gt;&lt;author&gt;Goddard, Michael E.&lt;/author&gt;&lt;author&gt;Wray, Naomi R.&lt;/author&gt;&lt;author&gt;Visscher, Peter M.&lt;/author&gt;&lt;author&gt;Yang, Jian&lt;/author&gt;&lt;/authors&gt;&lt;/contributors&gt;&lt;titles&gt;&lt;title&gt;Integration of summary data from GWAS and eQTL studies predicts complex trait gene targets&lt;/title&gt;&lt;secondary-title&gt;Nature Genetics&lt;/secondary-title&gt;&lt;/titles&gt;&lt;periodical&gt;&lt;full-title&gt;Nature Genetics&lt;/full-title&gt;&lt;/periodical&gt;&lt;pages&gt;481-487&lt;/pages&gt;&lt;volume&gt;48&lt;/volume&gt;&lt;number&gt;5&lt;/number&gt;&lt;dates&gt;&lt;year&gt;2016&lt;/year&gt;&lt;pub-dates&gt;&lt;date&gt;2016/05/01&lt;/date&gt;&lt;/pub-dates&gt;&lt;/dates&gt;&lt;isbn&gt;1546-1718&lt;/isbn&gt;&lt;urls&gt;&lt;related-urls&gt;&lt;url&gt;https://doi.org/10.1038/ng.3538&lt;/url&gt;&lt;/related-urls&gt;&lt;/urls&gt;&lt;electronic-resource-num&gt;10.1038/ng.3538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(16)</w:t>
            </w:r>
            <w:r>
              <w:rPr>
                <w:rFonts w:ascii="Times New Roman" w:hAnsi="Times New Roman" w:cs="Times New Roman"/>
              </w:rPr>
              <w:fldChar w:fldCharType="end"/>
            </w:r>
            <w:r w:rsidRPr="00246A4D">
              <w:rPr>
                <w:rFonts w:ascii="Times New Roman" w:hAnsi="Times New Roman" w:cs="Times New Roman"/>
              </w:rPr>
              <w:t>. P-values were adjusted</w:t>
            </w:r>
            <w:r>
              <w:rPr>
                <w:rFonts w:ascii="Times New Roman" w:hAnsi="Times New Roman" w:cs="Times New Roman" w:hint="eastAsia"/>
              </w:rPr>
              <w:t xml:space="preserve"> </w:t>
            </w:r>
            <w:r w:rsidRPr="00246A4D">
              <w:rPr>
                <w:rFonts w:ascii="Times New Roman" w:hAnsi="Times New Roman" w:cs="Times New Roman"/>
              </w:rPr>
              <w:t xml:space="preserve">at a significance level of α = 0.05, employing the </w:t>
            </w:r>
            <w:r>
              <w:rPr>
                <w:rFonts w:ascii="Times New Roman" w:hAnsi="Times New Roman" w:cs="Times New Roman" w:hint="eastAsia"/>
              </w:rPr>
              <w:t>Bonferroni</w:t>
            </w:r>
            <w:r w:rsidRPr="00246A4D">
              <w:rPr>
                <w:rFonts w:ascii="Times New Roman" w:hAnsi="Times New Roman" w:cs="Times New Roman"/>
              </w:rPr>
              <w:t xml:space="preserve"> method. Only associations with </w:t>
            </w:r>
            <w:r>
              <w:rPr>
                <w:rFonts w:ascii="Times New Roman" w:hAnsi="Times New Roman" w:cs="Times New Roman" w:hint="eastAsia"/>
              </w:rPr>
              <w:t>Bonferroni</w:t>
            </w:r>
            <w:r w:rsidRPr="00246A4D">
              <w:rPr>
                <w:rFonts w:ascii="Times New Roman" w:hAnsi="Times New Roman" w:cs="Times New Roman"/>
              </w:rPr>
              <w:t xml:space="preserve">-corrected P-values &lt;0.05 and </w:t>
            </w:r>
            <w:r>
              <w:rPr>
                <w:rFonts w:ascii="Times New Roman" w:hAnsi="Times New Roman" w:cs="Times New Roman"/>
              </w:rPr>
              <w:t>P-HEIDI</w:t>
            </w:r>
            <w:r w:rsidRPr="00246A4D">
              <w:rPr>
                <w:rFonts w:ascii="Times New Roman" w:hAnsi="Times New Roman" w:cs="Times New Roman"/>
              </w:rPr>
              <w:t xml:space="preserve"> &gt;0.01 were considered robust enough to proceed to colocalization analysis.</w:t>
            </w:r>
          </w:p>
          <w:p w14:paraId="1612F89F" w14:textId="77777777" w:rsidR="00D8098C" w:rsidRPr="00670841" w:rsidRDefault="00D8098C" w:rsidP="00426603">
            <w:pPr>
              <w:spacing w:beforeLines="40" w:before="96" w:afterLines="40" w:after="96" w:line="24" w:lineRule="atLeast"/>
              <w:rPr>
                <w:rFonts w:eastAsia="Times New Roman"/>
                <w:sz w:val="18"/>
                <w:szCs w:val="18"/>
                <w:lang w:eastAsia="en-GB"/>
              </w:rPr>
            </w:pPr>
          </w:p>
        </w:tc>
      </w:tr>
      <w:tr w:rsidR="00D8098C" w:rsidRPr="00B853C6" w14:paraId="70378831" w14:textId="0868B0A4" w:rsidTr="003D447D">
        <w:tc>
          <w:tcPr>
            <w:tcW w:w="587" w:type="dxa"/>
            <w:shd w:val="clear" w:color="auto" w:fill="auto"/>
          </w:tcPr>
          <w:p w14:paraId="45E414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CB03D9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1D1BF644" w:rsidR="00D8098C" w:rsidRPr="00670841" w:rsidRDefault="00670841"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p>
        </w:tc>
        <w:tc>
          <w:tcPr>
            <w:tcW w:w="4320" w:type="dxa"/>
          </w:tcPr>
          <w:p w14:paraId="54C358E2" w14:textId="77777777" w:rsidR="00670841" w:rsidRPr="00246A4D" w:rsidRDefault="00670841" w:rsidP="00670841">
            <w:pPr>
              <w:spacing w:beforeLines="50" w:before="120" w:afterLines="50" w:after="120"/>
              <w:ind w:firstLineChars="200" w:firstLine="440"/>
              <w:rPr>
                <w:rFonts w:ascii="Times New Roman" w:hAnsi="Times New Roman" w:cs="Times New Roman"/>
              </w:rPr>
            </w:pPr>
            <w:r w:rsidRPr="00246A4D">
              <w:rPr>
                <w:rFonts w:ascii="Times New Roman" w:hAnsi="Times New Roman" w:cs="Times New Roman"/>
              </w:rPr>
              <w:t>The selection of the top associated cis-QTLs was based on a defined genomic window centered on the target gene (±1000 kb), with a significance threshold set at P &lt; 5.0 × 10</w:t>
            </w:r>
            <w:r w:rsidRPr="002B0C1A">
              <w:rPr>
                <w:rFonts w:ascii="Times New Roman" w:hAnsi="Times New Roman" w:cs="Times New Roman"/>
                <w:vertAlign w:val="superscript"/>
              </w:rPr>
              <w:t>−8</w:t>
            </w:r>
            <w:r w:rsidRPr="00246A4D">
              <w:rPr>
                <w:rFonts w:ascii="Times New Roman" w:hAnsi="Times New Roman" w:cs="Times New Roman"/>
              </w:rPr>
              <w:t>. SNPs exhibiting allele frequency differences greater than 0.2 between any of the datasets, including the linkage disequilibrium (LD) reference sample, QTL summary data, and outcome summary data, were excluded to avoid biases in the analysis. The Heterogeneity in Dependent Instruments (HEIDI) test was applied to differentiate between pleiotropy and linkage, with P</w:t>
            </w:r>
            <w:r>
              <w:rPr>
                <w:rFonts w:ascii="Times New Roman" w:hAnsi="Times New Roman" w:cs="Times New Roman" w:hint="eastAsia"/>
              </w:rPr>
              <w:t>-</w:t>
            </w:r>
            <w:r w:rsidRPr="00246A4D">
              <w:rPr>
                <w:rFonts w:ascii="Times New Roman" w:hAnsi="Times New Roman" w:cs="Times New Roman"/>
              </w:rPr>
              <w:t>HEIDI &lt; 0.01 indicating potential pleiotropy and leading to exclusion from further analysis</w:t>
            </w:r>
            <w:r>
              <w:rPr>
                <w:rFonts w:ascii="Times New Roman" w:hAnsi="Times New Roman" w:cs="Times New Roman"/>
              </w:rPr>
              <w:fldChar w:fldCharType="begin"/>
            </w:r>
            <w:r>
              <w:rPr>
                <w:rFonts w:ascii="Times New Roman" w:hAnsi="Times New Roman" w:cs="Times New Roman"/>
              </w:rPr>
              <w:instrText xml:space="preserve"> ADDIN EN.CITE &lt;EndNote&gt;&lt;Cite&gt;&lt;Author&gt;Zhu&lt;/Author&gt;&lt;Year&gt;2016&lt;/Year&gt;&lt;RecNum&gt;86&lt;/RecNum&gt;&lt;DisplayText&gt;(16)&lt;/DisplayText&gt;&lt;record&gt;&lt;rec-number&gt;86&lt;/rec-number&gt;&lt;foreign-keys&gt;&lt;key app="EN" db-id="sdptzxxvc5xafbeppw2p05aletfedaewvs5a" timestamp="1713840508"&gt;86&lt;/key&gt;&lt;/foreign-keys&gt;&lt;ref-type name="Journal Article"&gt;17&lt;/ref-type&gt;&lt;contributors&gt;&lt;authors&gt;&lt;author&gt;Zhu, Zhihong&lt;/author&gt;&lt;author&gt;Zhang, Futao&lt;/author&gt;&lt;author&gt;Hu, Han&lt;/author&gt;&lt;author&gt;Bakshi, Andrew&lt;/author&gt;&lt;author&gt;Robinson, Matthew R.&lt;/author&gt;&lt;author&gt;Powell, Joseph E.&lt;/author&gt;&lt;author&gt;Montgomery, Grant W.&lt;/author&gt;&lt;author&gt;Goddard, Michael E.&lt;/author&gt;&lt;author&gt;Wray, Naomi R.&lt;/author&gt;&lt;author&gt;Visscher, Peter M.&lt;/author&gt;&lt;author&gt;Yang, Jian&lt;/author&gt;&lt;/authors&gt;&lt;/contributors&gt;&lt;titles&gt;&lt;title&gt;Integration of summary data from GWAS and eQTL studies predicts complex trait gene targets&lt;/title&gt;&lt;secondary-title&gt;Nature Genetics&lt;/secondary-title&gt;&lt;/titles&gt;&lt;periodical&gt;&lt;full-title&gt;Nature Genetics&lt;/full-title&gt;&lt;/periodical&gt;&lt;pages&gt;481-487&lt;/pages&gt;&lt;volume&gt;48&lt;/volume&gt;&lt;number&gt;5&lt;/number&gt;&lt;dates&gt;&lt;year&gt;2016&lt;/year&gt;&lt;pub-dates&gt;&lt;date&gt;2016/05/01&lt;/date&gt;&lt;/pub-dates&gt;&lt;/dates&gt;&lt;isbn&gt;1546-1718&lt;/isbn&gt;&lt;urls&gt;&lt;related-urls&gt;&lt;url&gt;https://doi.org/10.1038/ng.3538&lt;/url&gt;&lt;/related-urls&gt;&lt;/urls&gt;&lt;electronic-resource-num&gt;10.1038/ng.3538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(16)</w:t>
            </w:r>
            <w:r>
              <w:rPr>
                <w:rFonts w:ascii="Times New Roman" w:hAnsi="Times New Roman" w:cs="Times New Roman"/>
              </w:rPr>
              <w:fldChar w:fldCharType="end"/>
            </w:r>
            <w:r w:rsidRPr="00246A4D">
              <w:rPr>
                <w:rFonts w:ascii="Times New Roman" w:hAnsi="Times New Roman" w:cs="Times New Roman"/>
              </w:rPr>
              <w:t>.</w:t>
            </w:r>
          </w:p>
          <w:p w14:paraId="6535A932" w14:textId="77777777" w:rsidR="00670841" w:rsidRDefault="00670841" w:rsidP="00670841">
            <w:pPr>
              <w:spacing w:beforeLines="50" w:before="120" w:afterLines="50" w:after="120"/>
              <w:ind w:firstLineChars="200" w:firstLine="440"/>
              <w:rPr>
                <w:rFonts w:ascii="Times New Roman" w:hAnsi="Times New Roman" w:cs="Times New Roman"/>
              </w:rPr>
            </w:pPr>
            <w:r w:rsidRPr="00246A4D">
              <w:rPr>
                <w:rFonts w:ascii="Times New Roman" w:hAnsi="Times New Roman" w:cs="Times New Roman"/>
              </w:rPr>
              <w:t>The SMR and HEIDI tests were conducted using the SMR software tool (version 1.3.1)</w:t>
            </w:r>
            <w:r>
              <w:rPr>
                <w:rFonts w:ascii="Times New Roman" w:hAnsi="Times New Roman" w:cs="Times New Roman"/>
              </w:rPr>
              <w:fldChar w:fldCharType="begin"/>
            </w:r>
            <w:r>
              <w:rPr>
                <w:rFonts w:ascii="Times New Roman" w:hAnsi="Times New Roman" w:cs="Times New Roman"/>
              </w:rPr>
              <w:instrText xml:space="preserve"> ADDIN EN.CITE &lt;EndNote&gt;&lt;Cite&gt;&lt;Author&gt;Zhu&lt;/Author&gt;&lt;Year&gt;2016&lt;/Year&gt;&lt;RecNum&gt;86&lt;/RecNum&gt;&lt;DisplayText&gt;(16)&lt;/DisplayText&gt;&lt;record&gt;&lt;rec-number&gt;86&lt;/rec-number&gt;&lt;foreign-keys&gt;&lt;key app="EN" db-id="sdptzxxvc5xafbeppw2p05aletfedaewvs5a" timestamp="1713840508"&gt;86&lt;/key&gt;&lt;/foreign-keys&gt;&lt;ref-type name="Journal Article"&gt;17&lt;/ref-type&gt;&lt;contributors&gt;&lt;authors&gt;&lt;author&gt;Zhu, Zhihong&lt;/author&gt;&lt;author&gt;Zhang, Futao&lt;/author&gt;&lt;author&gt;Hu, Han&lt;/author&gt;&lt;author&gt;Bakshi, Andrew&lt;/author&gt;&lt;author&gt;Robinson, Matthew R.&lt;/author&gt;&lt;author&gt;Powell, Joseph E.&lt;/author&gt;&lt;author&gt;Montgomery, Grant W.&lt;/author&gt;&lt;author&gt;Goddard, Michael E.&lt;/author&gt;&lt;author&gt;Wray, Naomi R.&lt;/author&gt;&lt;author&gt;Visscher, Peter M.&lt;/author&gt;&lt;author&gt;Yang, Jian&lt;/author&gt;&lt;/authors&gt;&lt;/contributors&gt;&lt;titles&gt;&lt;title&gt;Integration of summary data from GWAS and eQTL studies predicts complex trait gene targets&lt;/title&gt;&lt;secondary-title&gt;Nature Genetics&lt;/secondary-title&gt;&lt;/titles&gt;&lt;periodical&gt;&lt;full-title&gt;Nature Genetics&lt;/full-title&gt;&lt;/periodical&gt;&lt;pages&gt;481-487&lt;/pages&gt;&lt;volume&gt;48&lt;/volume&gt;&lt;number&gt;5&lt;/number&gt;&lt;dates&gt;&lt;year&gt;2016&lt;/year&gt;&lt;pub-dates&gt;&lt;date&gt;2016/05/01&lt;/date&gt;&lt;/pub-dates&gt;&lt;/dates&gt;&lt;isbn&gt;1546-1718&lt;/isbn&gt;&lt;urls&gt;&lt;related-urls&gt;&lt;url&gt;https://doi.org/10.1038/ng.3538&lt;/url&gt;&lt;/related-urls&gt;&lt;/urls&gt;&lt;electronic-resource-num&gt;10.1038/ng.3538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(16)</w:t>
            </w:r>
            <w:r>
              <w:rPr>
                <w:rFonts w:ascii="Times New Roman" w:hAnsi="Times New Roman" w:cs="Times New Roman"/>
              </w:rPr>
              <w:fldChar w:fldCharType="end"/>
            </w:r>
            <w:r w:rsidRPr="00246A4D">
              <w:rPr>
                <w:rFonts w:ascii="Times New Roman" w:hAnsi="Times New Roman" w:cs="Times New Roman"/>
              </w:rPr>
              <w:t>. P-values were adjusted</w:t>
            </w:r>
            <w:r>
              <w:rPr>
                <w:rFonts w:ascii="Times New Roman" w:hAnsi="Times New Roman" w:cs="Times New Roman" w:hint="eastAsia"/>
              </w:rPr>
              <w:t xml:space="preserve"> </w:t>
            </w:r>
            <w:r w:rsidRPr="00246A4D">
              <w:rPr>
                <w:rFonts w:ascii="Times New Roman" w:hAnsi="Times New Roman" w:cs="Times New Roman"/>
              </w:rPr>
              <w:t xml:space="preserve">at a significance level of α = 0.05, employing the </w:t>
            </w:r>
            <w:r>
              <w:rPr>
                <w:rFonts w:ascii="Times New Roman" w:hAnsi="Times New Roman" w:cs="Times New Roman" w:hint="eastAsia"/>
              </w:rPr>
              <w:t>Bonferroni</w:t>
            </w:r>
            <w:r w:rsidRPr="00246A4D">
              <w:rPr>
                <w:rFonts w:ascii="Times New Roman" w:hAnsi="Times New Roman" w:cs="Times New Roman"/>
              </w:rPr>
              <w:t xml:space="preserve"> method. Only associations with </w:t>
            </w:r>
            <w:r>
              <w:rPr>
                <w:rFonts w:ascii="Times New Roman" w:hAnsi="Times New Roman" w:cs="Times New Roman" w:hint="eastAsia"/>
              </w:rPr>
              <w:t>Bonferroni</w:t>
            </w:r>
            <w:r w:rsidRPr="00246A4D">
              <w:rPr>
                <w:rFonts w:ascii="Times New Roman" w:hAnsi="Times New Roman" w:cs="Times New Roman"/>
              </w:rPr>
              <w:t xml:space="preserve">-corrected P-values &lt;0.05 and </w:t>
            </w:r>
            <w:r>
              <w:rPr>
                <w:rFonts w:ascii="Times New Roman" w:hAnsi="Times New Roman" w:cs="Times New Roman"/>
              </w:rPr>
              <w:t>P-HEIDI</w:t>
            </w:r>
            <w:r w:rsidRPr="00246A4D">
              <w:rPr>
                <w:rFonts w:ascii="Times New Roman" w:hAnsi="Times New Roman" w:cs="Times New Roman"/>
              </w:rPr>
              <w:t xml:space="preserve"> &gt;0.01 were considered robust enough to proceed to colocalization analysis.</w:t>
            </w:r>
          </w:p>
          <w:p w14:paraId="334D44EB" w14:textId="77777777" w:rsidR="00D8098C" w:rsidRPr="00670841" w:rsidRDefault="00D8098C" w:rsidP="00426603">
            <w:pPr>
              <w:spacing w:beforeLines="40" w:before="96" w:afterLines="40" w:after="96" w:line="24" w:lineRule="atLeast"/>
              <w:rPr>
                <w:rFonts w:eastAsia="Times New Roman"/>
                <w:sz w:val="18"/>
                <w:szCs w:val="18"/>
                <w:lang w:eastAsia="en-GB"/>
              </w:rPr>
            </w:pPr>
          </w:p>
        </w:tc>
      </w:tr>
      <w:tr w:rsidR="00D8098C" w:rsidRPr="00B853C6" w14:paraId="0D8F3A7E" w14:textId="14623463" w:rsidTr="003D447D">
        <w:tc>
          <w:tcPr>
            <w:tcW w:w="587"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720" w:type="dxa"/>
            <w:shd w:val="clear" w:color="auto" w:fill="EEEEEE"/>
          </w:tcPr>
          <w:p w14:paraId="297C3632" w14:textId="66A03018" w:rsidR="00D8098C" w:rsidRPr="00670841" w:rsidRDefault="00670841"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p>
        </w:tc>
        <w:tc>
          <w:tcPr>
            <w:tcW w:w="4320" w:type="dxa"/>
            <w:shd w:val="clear" w:color="auto" w:fill="EEEEEE"/>
          </w:tcPr>
          <w:p w14:paraId="16808665" w14:textId="45271021" w:rsidR="00D8098C" w:rsidRPr="00670841" w:rsidRDefault="00670841" w:rsidP="00670841">
            <w:pPr>
              <w:spacing w:beforeLines="50" w:before="120" w:afterLines="50" w:after="120"/>
              <w:rPr>
                <w:rFonts w:eastAsia="Times New Roman"/>
                <w:sz w:val="18"/>
                <w:szCs w:val="18"/>
                <w:lang w:eastAsia="en-GB"/>
              </w:rPr>
            </w:pPr>
            <w:r>
              <w:rPr>
                <w:rFonts w:eastAsiaTheme="minorEastAsia" w:hint="eastAsia"/>
                <w:sz w:val="18"/>
                <w:szCs w:val="18"/>
                <w:lang w:val="en-GB" w:eastAsia="zh-CN"/>
              </w:rPr>
              <w:t>SMR methods was used.</w:t>
            </w:r>
          </w:p>
        </w:tc>
      </w:tr>
      <w:tr w:rsidR="00D8098C" w:rsidRPr="00B853C6" w14:paraId="77F037B8" w14:textId="6696FA54" w:rsidTr="003D447D">
        <w:tc>
          <w:tcPr>
            <w:tcW w:w="587" w:type="dxa"/>
            <w:shd w:val="clear" w:color="auto" w:fill="auto"/>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auto"/>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720" w:type="dxa"/>
          </w:tcPr>
          <w:p w14:paraId="6B5C4982" w14:textId="2A61F930" w:rsidR="00D8098C" w:rsidRPr="00670841" w:rsidRDefault="00670841"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p>
        </w:tc>
        <w:tc>
          <w:tcPr>
            <w:tcW w:w="4320" w:type="dxa"/>
          </w:tcPr>
          <w:p w14:paraId="490E44D4" w14:textId="39F5E09C" w:rsidR="00D8098C" w:rsidRPr="00670841" w:rsidRDefault="00670841" w:rsidP="00670841">
            <w:pPr>
              <w:spacing w:beforeLines="50" w:before="120" w:afterLines="50" w:after="120"/>
              <w:rPr>
                <w:rFonts w:ascii="Times New Roman" w:eastAsiaTheme="minorEastAsia" w:hAnsi="Times New Roman" w:cs="Times New Roman" w:hint="eastAsia"/>
                <w:lang w:eastAsia="zh-CN"/>
              </w:rPr>
            </w:pPr>
            <w:r>
              <w:rPr>
                <w:rFonts w:eastAsiaTheme="minorEastAsia" w:hint="eastAsia"/>
                <w:sz w:val="18"/>
                <w:szCs w:val="18"/>
                <w:lang w:val="en-GB" w:eastAsia="zh-CN"/>
              </w:rPr>
              <w:t>SMR methods was used.</w:t>
            </w:r>
          </w:p>
        </w:tc>
      </w:tr>
      <w:tr w:rsidR="00D8098C" w:rsidRPr="00B853C6" w14:paraId="585043CE" w14:textId="4922F612" w:rsidTr="003D447D">
        <w:tc>
          <w:tcPr>
            <w:tcW w:w="587"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720" w:type="dxa"/>
            <w:shd w:val="clear" w:color="auto" w:fill="EEEEEE"/>
          </w:tcPr>
          <w:p w14:paraId="61C50F74" w14:textId="6B317ACC" w:rsidR="00D8098C" w:rsidRPr="00A1236D" w:rsidRDefault="00670841" w:rsidP="00426603">
            <w:pPr>
              <w:tabs>
                <w:tab w:val="left" w:pos="1620"/>
              </w:tabs>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N/A</w:t>
            </w:r>
          </w:p>
        </w:tc>
        <w:tc>
          <w:tcPr>
            <w:tcW w:w="4320" w:type="dxa"/>
            <w:shd w:val="clear" w:color="auto" w:fill="EEEEEE"/>
          </w:tcPr>
          <w:p w14:paraId="5D46DB2B" w14:textId="48E48C38" w:rsidR="00D8098C" w:rsidRPr="00670841" w:rsidRDefault="00670841" w:rsidP="00426603">
            <w:pPr>
              <w:tabs>
                <w:tab w:val="left" w:pos="1620"/>
              </w:tabs>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SMR methods was used.</w:t>
            </w:r>
          </w:p>
        </w:tc>
      </w:tr>
      <w:tr w:rsidR="00D8098C" w:rsidRPr="00B853C6" w14:paraId="383932D9" w14:textId="2C1AFE56" w:rsidTr="003D447D">
        <w:tc>
          <w:tcPr>
            <w:tcW w:w="587" w:type="dxa"/>
            <w:shd w:val="clear" w:color="auto" w:fill="auto"/>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22" w:type="dxa"/>
            <w:shd w:val="clear" w:color="auto" w:fill="auto"/>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14:textId="4DFF928F" w:rsidR="00D8098C" w:rsidRPr="00670841" w:rsidRDefault="00670841"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N/A</w:t>
            </w:r>
          </w:p>
        </w:tc>
        <w:tc>
          <w:tcPr>
            <w:tcW w:w="4320" w:type="dxa"/>
          </w:tcPr>
          <w:p w14:paraId="229BFDFD" w14:textId="7A2096E7" w:rsidR="00D8098C" w:rsidRDefault="00670841"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D8098C" w:rsidRPr="00B853C6" w14:paraId="55C7A410" w14:textId="0BAB653A" w:rsidTr="003D447D">
        <w:tc>
          <w:tcPr>
            <w:tcW w:w="587"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22"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95710C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EA9EBD1" w14:textId="4D05FA5B" w:rsidTr="003D447D">
        <w:tc>
          <w:tcPr>
            <w:tcW w:w="587" w:type="dxa"/>
            <w:shd w:val="clear" w:color="auto" w:fill="auto"/>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720" w:type="dxa"/>
          </w:tcPr>
          <w:p w14:paraId="305BB821" w14:textId="5B43F67F" w:rsidR="00D8098C" w:rsidRPr="00670841" w:rsidRDefault="00670841"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p>
        </w:tc>
        <w:tc>
          <w:tcPr>
            <w:tcW w:w="4320" w:type="dxa"/>
          </w:tcPr>
          <w:p w14:paraId="79626260" w14:textId="01594F5B" w:rsidR="00D8098C" w:rsidRPr="002429DD" w:rsidRDefault="00670841" w:rsidP="00426603">
            <w:pPr>
              <w:spacing w:beforeLines="40" w:before="96" w:afterLines="40" w:after="96" w:line="24" w:lineRule="atLeast"/>
              <w:rPr>
                <w:rFonts w:eastAsiaTheme="minorEastAsia" w:hint="eastAsia"/>
                <w:sz w:val="18"/>
                <w:szCs w:val="18"/>
                <w:lang w:val="en-GB" w:eastAsia="zh-CN"/>
              </w:rPr>
            </w:pPr>
            <w:r w:rsidRPr="00670841">
              <w:rPr>
                <w:rFonts w:eastAsia="Times New Roman"/>
                <w:sz w:val="18"/>
                <w:szCs w:val="18"/>
                <w:lang w:val="en-GB" w:eastAsia="en-GB"/>
              </w:rPr>
              <w:t>Colocalization analysis was conducted to ascertain shared causal variants between LUAD and identified metabolic-related mQTLs, eQTLs, or pQTLs using the coloc R package</w:t>
            </w:r>
            <w:r w:rsidR="002429DD">
              <w:rPr>
                <w:rFonts w:eastAsiaTheme="minorEastAsia" w:hint="eastAsia"/>
                <w:sz w:val="18"/>
                <w:szCs w:val="18"/>
                <w:lang w:val="en-GB" w:eastAsia="zh-CN"/>
              </w:rPr>
              <w:t>.</w:t>
            </w:r>
          </w:p>
        </w:tc>
      </w:tr>
      <w:tr w:rsidR="00D8098C" w:rsidRPr="00B853C6" w14:paraId="6A631D93" w14:textId="2BD5AA8E" w:rsidTr="003D447D">
        <w:tc>
          <w:tcPr>
            <w:tcW w:w="587"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08D3A587" w:rsidR="00D8098C" w:rsidRPr="002429DD" w:rsidRDefault="002429DD"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N/A</w:t>
            </w:r>
          </w:p>
        </w:tc>
        <w:tc>
          <w:tcPr>
            <w:tcW w:w="4320" w:type="dxa"/>
            <w:tcBorders>
              <w:bottom w:val="single" w:sz="6" w:space="0" w:color="7F7F7F"/>
            </w:tcBorders>
            <w:shd w:val="clear" w:color="auto" w:fill="EEEEEE"/>
          </w:tcPr>
          <w:p w14:paraId="3EFCD231" w14:textId="2C0B3831" w:rsidR="00D8098C" w:rsidRPr="002429DD" w:rsidRDefault="002429DD"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SMR methods was used.</w:t>
            </w:r>
          </w:p>
        </w:tc>
      </w:tr>
      <w:tr w:rsidR="00D8098C" w:rsidRPr="00B853C6" w14:paraId="040F15E5" w14:textId="3B11C618" w:rsidTr="003D447D">
        <w:tc>
          <w:tcPr>
            <w:tcW w:w="587" w:type="dxa"/>
            <w:tcBorders>
              <w:top w:val="single" w:sz="6" w:space="0" w:color="7F7F7F"/>
            </w:tcBorders>
            <w:shd w:val="clear" w:color="auto" w:fill="auto"/>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3E956D1"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7F47EED" w14:textId="4A481C08" w:rsidTr="003D447D">
        <w:tc>
          <w:tcPr>
            <w:tcW w:w="587"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CA228D1" w14:textId="316B6A36" w:rsidTr="003D447D">
        <w:tc>
          <w:tcPr>
            <w:tcW w:w="587" w:type="dxa"/>
            <w:shd w:val="clear" w:color="auto" w:fill="auto"/>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720" w:type="dxa"/>
          </w:tcPr>
          <w:p w14:paraId="7AF8CC23" w14:textId="7BCD645F" w:rsidR="00D8098C" w:rsidRPr="00A1236D" w:rsidRDefault="002429DD"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N/A</w:t>
            </w:r>
          </w:p>
        </w:tc>
        <w:tc>
          <w:tcPr>
            <w:tcW w:w="4320" w:type="dxa"/>
          </w:tcPr>
          <w:p w14:paraId="00D65497" w14:textId="2F20BA8B" w:rsidR="00D8098C" w:rsidRDefault="002429DD"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D8098C" w:rsidRPr="00B853C6" w14:paraId="0765C344" w14:textId="3B2EDCCF" w:rsidTr="003D447D">
        <w:tc>
          <w:tcPr>
            <w:tcW w:w="587"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720" w:type="dxa"/>
            <w:shd w:val="clear" w:color="auto" w:fill="EEEEEE"/>
          </w:tcPr>
          <w:p w14:paraId="03BBA613" w14:textId="44E36F22" w:rsidR="00D8098C" w:rsidRPr="00A1236D" w:rsidRDefault="002429DD"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N/A</w:t>
            </w:r>
          </w:p>
        </w:tc>
        <w:tc>
          <w:tcPr>
            <w:tcW w:w="4320" w:type="dxa"/>
            <w:shd w:val="clear" w:color="auto" w:fill="EEEEEE"/>
          </w:tcPr>
          <w:p w14:paraId="0FD9D468" w14:textId="048730E2" w:rsidR="00D8098C" w:rsidRDefault="002429DD"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D8098C" w:rsidRPr="00B853C6" w14:paraId="48F10342" w14:textId="398F2C24" w:rsidTr="003D447D">
        <w:tc>
          <w:tcPr>
            <w:tcW w:w="587" w:type="dxa"/>
            <w:shd w:val="clear" w:color="auto" w:fill="auto"/>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4EC924F1" w:rsidR="00D8098C" w:rsidRPr="002429DD" w:rsidRDefault="002429DD"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N/A</w:t>
            </w:r>
          </w:p>
        </w:tc>
        <w:tc>
          <w:tcPr>
            <w:tcW w:w="4320" w:type="dxa"/>
          </w:tcPr>
          <w:p w14:paraId="449D40FD" w14:textId="14B1E45B" w:rsidR="00D8098C" w:rsidRDefault="002429DD"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D8098C" w:rsidRPr="00B853C6" w14:paraId="51930A8C" w14:textId="221D5A9E" w:rsidTr="003D447D">
        <w:tc>
          <w:tcPr>
            <w:tcW w:w="587"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i.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4948EE3D" w14:textId="3368977A" w:rsidR="00D8098C" w:rsidRPr="00A1236D" w:rsidRDefault="002429DD"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N/A</w:t>
            </w:r>
          </w:p>
        </w:tc>
        <w:tc>
          <w:tcPr>
            <w:tcW w:w="4320" w:type="dxa"/>
            <w:shd w:val="clear" w:color="auto" w:fill="EEEEEE"/>
          </w:tcPr>
          <w:p w14:paraId="5B2A1A71" w14:textId="28C4C012" w:rsidR="00D8098C" w:rsidRDefault="002429DD"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2429DD" w:rsidRPr="00B853C6" w14:paraId="52CFCA59" w14:textId="5AC9CE3E" w:rsidTr="003D447D">
        <w:tc>
          <w:tcPr>
            <w:tcW w:w="587" w:type="dxa"/>
            <w:shd w:val="clear" w:color="auto" w:fill="auto"/>
          </w:tcPr>
          <w:p w14:paraId="110872BB" w14:textId="77777777" w:rsidR="002429DD" w:rsidRPr="00F0337F" w:rsidRDefault="002429DD" w:rsidP="002429D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22" w:type="dxa"/>
            <w:shd w:val="clear" w:color="auto" w:fill="auto"/>
          </w:tcPr>
          <w:p w14:paraId="0C26298F" w14:textId="77777777" w:rsidR="002429DD" w:rsidRPr="00F0337F" w:rsidRDefault="002429DD" w:rsidP="002429DD">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shd w:val="clear" w:color="auto" w:fill="auto"/>
          </w:tcPr>
          <w:p w14:paraId="2F14FA37" w14:textId="77777777" w:rsidR="002429DD" w:rsidRPr="00A1236D" w:rsidRDefault="002429DD" w:rsidP="002429DD">
            <w:pPr>
              <w:spacing w:beforeLines="40" w:before="96" w:afterLines="40" w:after="96" w:line="24" w:lineRule="atLeast"/>
              <w:rPr>
                <w:rFonts w:eastAsia="Cambria"/>
                <w:sz w:val="18"/>
                <w:szCs w:val="18"/>
                <w:lang w:val="en-GB" w:eastAsia="en-US"/>
              </w:rPr>
            </w:pPr>
          </w:p>
        </w:tc>
        <w:tc>
          <w:tcPr>
            <w:tcW w:w="720" w:type="dxa"/>
          </w:tcPr>
          <w:p w14:paraId="035B3367" w14:textId="5E64EEF3" w:rsidR="002429DD" w:rsidRPr="00A1236D" w:rsidRDefault="002429DD" w:rsidP="002429DD">
            <w:pPr>
              <w:spacing w:beforeLines="40" w:before="96" w:afterLines="40" w:after="96" w:line="24" w:lineRule="atLeast"/>
              <w:rPr>
                <w:rFonts w:eastAsia="Cambria"/>
                <w:sz w:val="18"/>
                <w:szCs w:val="18"/>
                <w:lang w:val="en-GB" w:eastAsia="en-US"/>
              </w:rPr>
            </w:pPr>
            <w:r>
              <w:rPr>
                <w:rFonts w:eastAsiaTheme="minorEastAsia" w:hint="eastAsia"/>
                <w:sz w:val="18"/>
                <w:szCs w:val="18"/>
                <w:lang w:val="en-GB" w:eastAsia="zh-CN"/>
              </w:rPr>
              <w:t>N/A</w:t>
            </w:r>
          </w:p>
        </w:tc>
        <w:tc>
          <w:tcPr>
            <w:tcW w:w="4320" w:type="dxa"/>
          </w:tcPr>
          <w:p w14:paraId="0AFA0083" w14:textId="612FB9BD" w:rsidR="002429DD" w:rsidRDefault="002429DD" w:rsidP="002429DD">
            <w:pPr>
              <w:spacing w:beforeLines="40" w:before="96" w:afterLines="40" w:after="96" w:line="24" w:lineRule="atLeast"/>
              <w:rPr>
                <w:rFonts w:eastAsia="Cambria"/>
                <w:sz w:val="18"/>
                <w:szCs w:val="18"/>
                <w:lang w:val="en-GB" w:eastAsia="en-US"/>
              </w:rPr>
            </w:pPr>
            <w:r>
              <w:rPr>
                <w:rFonts w:eastAsiaTheme="minorEastAsia" w:hint="eastAsia"/>
                <w:sz w:val="18"/>
                <w:szCs w:val="18"/>
                <w:lang w:val="en-GB" w:eastAsia="zh-CN"/>
              </w:rPr>
              <w:t>SMR methods was used.</w:t>
            </w:r>
          </w:p>
        </w:tc>
      </w:tr>
      <w:tr w:rsidR="002429DD" w:rsidRPr="00B853C6" w14:paraId="56845A2A" w14:textId="1DC0780C" w:rsidTr="003D447D">
        <w:tc>
          <w:tcPr>
            <w:tcW w:w="587" w:type="dxa"/>
            <w:shd w:val="clear" w:color="auto" w:fill="EEEEEE"/>
          </w:tcPr>
          <w:p w14:paraId="0892A548" w14:textId="77777777" w:rsidR="002429DD" w:rsidRPr="00F0337F" w:rsidRDefault="002429DD" w:rsidP="002429DD">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2429DD" w:rsidRPr="00F0337F" w:rsidRDefault="002429DD" w:rsidP="002429D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2429DD" w:rsidRPr="00A1236D" w:rsidRDefault="002429DD" w:rsidP="002429D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22E2D468" w:rsidR="002429DD" w:rsidRPr="00A1236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N/A</w:t>
            </w:r>
          </w:p>
        </w:tc>
        <w:tc>
          <w:tcPr>
            <w:tcW w:w="4320" w:type="dxa"/>
            <w:shd w:val="clear" w:color="auto" w:fill="EEEEEE"/>
          </w:tcPr>
          <w:p w14:paraId="7BCA1C07" w14:textId="72FB5340" w:rsidR="002429D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2429DD" w:rsidRPr="00B853C6" w14:paraId="2FAEFE68" w14:textId="09D82DE1" w:rsidTr="003D447D">
        <w:tc>
          <w:tcPr>
            <w:tcW w:w="587" w:type="dxa"/>
            <w:shd w:val="clear" w:color="auto" w:fill="auto"/>
          </w:tcPr>
          <w:p w14:paraId="2E83DFB7" w14:textId="77777777" w:rsidR="002429DD" w:rsidRPr="00F0337F" w:rsidRDefault="002429DD" w:rsidP="002429DD">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2429DD" w:rsidRPr="00F0337F" w:rsidRDefault="002429DD" w:rsidP="002429D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336E75EE" w14:textId="144F95EC" w:rsidR="002429DD" w:rsidRPr="00A1236D" w:rsidRDefault="002429DD" w:rsidP="002429D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w:t>
            </w:r>
            <w:r w:rsidRPr="00A1236D">
              <w:rPr>
                <w:rFonts w:eastAsia="Times New Roman"/>
                <w:sz w:val="18"/>
                <w:szCs w:val="18"/>
                <w:lang w:val="en-GB" w:eastAsia="en-GB"/>
              </w:rPr>
              <w:lastRenderedPageBreak/>
              <w:t xml:space="preserve">an interpretable scale, such as odds ratio or relative risk per </w:t>
            </w:r>
            <w:r>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720" w:type="dxa"/>
          </w:tcPr>
          <w:p w14:paraId="1E1B567F" w14:textId="542AEEC9" w:rsidR="002429DD" w:rsidRPr="00A1236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lastRenderedPageBreak/>
              <w:t>N/A</w:t>
            </w:r>
          </w:p>
        </w:tc>
        <w:tc>
          <w:tcPr>
            <w:tcW w:w="4320" w:type="dxa"/>
          </w:tcPr>
          <w:p w14:paraId="4564CEDB" w14:textId="0E17717C" w:rsidR="002429D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2429DD" w:rsidRPr="00B853C6" w14:paraId="1FAC379E" w14:textId="0C198578" w:rsidTr="003D447D">
        <w:tc>
          <w:tcPr>
            <w:tcW w:w="587" w:type="dxa"/>
            <w:shd w:val="clear" w:color="auto" w:fill="EEEEEE"/>
          </w:tcPr>
          <w:p w14:paraId="6762B88A" w14:textId="77777777" w:rsidR="002429DD" w:rsidRPr="00F0337F" w:rsidRDefault="002429DD" w:rsidP="002429DD">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2429DD" w:rsidRPr="00F0337F" w:rsidRDefault="002429DD" w:rsidP="002429D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2429DD" w:rsidRPr="00A1236D" w:rsidRDefault="002429DD" w:rsidP="002429D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5251E123" w:rsidR="002429DD" w:rsidRPr="00A1236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N/A</w:t>
            </w:r>
          </w:p>
        </w:tc>
        <w:tc>
          <w:tcPr>
            <w:tcW w:w="4320" w:type="dxa"/>
            <w:shd w:val="clear" w:color="auto" w:fill="EEEEEE"/>
          </w:tcPr>
          <w:p w14:paraId="4A2216FF" w14:textId="2A36CDC3" w:rsidR="002429D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2429DD" w:rsidRPr="00B853C6" w14:paraId="00F87C74" w14:textId="30F32A00" w:rsidTr="003D447D">
        <w:tc>
          <w:tcPr>
            <w:tcW w:w="587" w:type="dxa"/>
            <w:shd w:val="clear" w:color="auto" w:fill="auto"/>
          </w:tcPr>
          <w:p w14:paraId="2CDE5DE6" w14:textId="77777777" w:rsidR="002429DD" w:rsidRPr="00F0337F" w:rsidRDefault="002429DD" w:rsidP="002429DD">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2429DD" w:rsidRPr="00F0337F" w:rsidRDefault="002429DD" w:rsidP="002429D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47CC3ACC" w14:textId="77777777" w:rsidR="002429DD" w:rsidRPr="00A1236D" w:rsidRDefault="002429DD" w:rsidP="002429D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14:textId="1211B97E" w:rsidR="002429DD" w:rsidRPr="002429DD" w:rsidRDefault="002429DD" w:rsidP="002429DD">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6</w:t>
            </w:r>
          </w:p>
        </w:tc>
        <w:tc>
          <w:tcPr>
            <w:tcW w:w="4320" w:type="dxa"/>
          </w:tcPr>
          <w:p w14:paraId="7B9F0A4D" w14:textId="4187CEB4" w:rsidR="002429DD" w:rsidRDefault="002429DD" w:rsidP="002429DD">
            <w:pPr>
              <w:spacing w:beforeLines="40" w:before="96" w:afterLines="40" w:after="96" w:line="24" w:lineRule="atLeast"/>
              <w:rPr>
                <w:rFonts w:eastAsia="Times New Roman"/>
                <w:sz w:val="18"/>
                <w:szCs w:val="18"/>
                <w:lang w:val="en-GB" w:eastAsia="en-GB"/>
              </w:rPr>
            </w:pPr>
            <w:r w:rsidRPr="002429DD">
              <w:rPr>
                <w:rFonts w:eastAsia="Times New Roman"/>
                <w:sz w:val="18"/>
                <w:szCs w:val="18"/>
                <w:lang w:val="en-GB" w:eastAsia="en-GB"/>
              </w:rPr>
              <w:t>Following Bonferroni adjustment for multiple comparisons, 5 CpG sites across 3 genes were identified (Figure 2A).</w:t>
            </w:r>
          </w:p>
        </w:tc>
      </w:tr>
      <w:tr w:rsidR="002429DD" w:rsidRPr="00B853C6" w14:paraId="62E6DFEA" w14:textId="107C6F5B" w:rsidTr="003D447D">
        <w:tc>
          <w:tcPr>
            <w:tcW w:w="587" w:type="dxa"/>
            <w:shd w:val="clear" w:color="auto" w:fill="EEEEEE"/>
          </w:tcPr>
          <w:p w14:paraId="57CB2789" w14:textId="77777777" w:rsidR="002429DD" w:rsidRPr="00F0337F" w:rsidRDefault="002429DD" w:rsidP="002429D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22" w:type="dxa"/>
            <w:shd w:val="clear" w:color="auto" w:fill="EEEEEE"/>
          </w:tcPr>
          <w:p w14:paraId="27B891DB" w14:textId="77777777" w:rsidR="002429DD" w:rsidRPr="00F0337F" w:rsidRDefault="002429DD" w:rsidP="002429DD">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2429DD" w:rsidRPr="00A1236D" w:rsidRDefault="002429DD" w:rsidP="002429DD">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2429DD" w:rsidRPr="00A1236D" w:rsidRDefault="002429DD" w:rsidP="002429DD">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2429DD" w:rsidRDefault="002429DD" w:rsidP="002429DD">
            <w:pPr>
              <w:spacing w:beforeLines="40" w:before="96" w:afterLines="40" w:after="96" w:line="24" w:lineRule="atLeast"/>
              <w:rPr>
                <w:rFonts w:eastAsia="Cambria"/>
                <w:sz w:val="18"/>
                <w:szCs w:val="18"/>
                <w:lang w:val="en-GB" w:eastAsia="en-US"/>
              </w:rPr>
            </w:pPr>
          </w:p>
        </w:tc>
      </w:tr>
      <w:tr w:rsidR="002429DD" w:rsidRPr="00B853C6" w14:paraId="48EE0AFA" w14:textId="55C0BF1C" w:rsidTr="003D447D">
        <w:tc>
          <w:tcPr>
            <w:tcW w:w="587" w:type="dxa"/>
            <w:shd w:val="clear" w:color="auto" w:fill="auto"/>
          </w:tcPr>
          <w:p w14:paraId="4E29121D" w14:textId="77777777" w:rsidR="002429DD" w:rsidRPr="00F0337F" w:rsidRDefault="002429DD" w:rsidP="002429DD">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2429DD" w:rsidRPr="00F0337F" w:rsidRDefault="002429DD" w:rsidP="002429D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1A97B456" w14:textId="77777777" w:rsidR="002429DD" w:rsidRPr="00A1236D" w:rsidRDefault="002429DD" w:rsidP="002429D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720" w:type="dxa"/>
          </w:tcPr>
          <w:p w14:paraId="6E2D56F0" w14:textId="791D6642" w:rsidR="002429DD" w:rsidRPr="00A1236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N/A</w:t>
            </w:r>
          </w:p>
        </w:tc>
        <w:tc>
          <w:tcPr>
            <w:tcW w:w="4320" w:type="dxa"/>
          </w:tcPr>
          <w:p w14:paraId="5E7081D1" w14:textId="77E8E79C" w:rsidR="002429D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2429DD" w:rsidRPr="00B853C6" w14:paraId="7BDA55CD" w14:textId="6465618D" w:rsidTr="003D447D">
        <w:tc>
          <w:tcPr>
            <w:tcW w:w="587" w:type="dxa"/>
            <w:shd w:val="clear" w:color="auto" w:fill="EEEEEE"/>
          </w:tcPr>
          <w:p w14:paraId="6F27FA73" w14:textId="77777777" w:rsidR="002429DD" w:rsidRPr="00F0337F" w:rsidRDefault="002429DD" w:rsidP="002429DD">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2429DD" w:rsidRPr="00F0337F" w:rsidRDefault="002429DD" w:rsidP="002429D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2429DD" w:rsidRPr="00A1236D" w:rsidRDefault="002429DD" w:rsidP="002429D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720" w:type="dxa"/>
            <w:shd w:val="clear" w:color="auto" w:fill="EEEEEE"/>
          </w:tcPr>
          <w:p w14:paraId="2D6E39C6" w14:textId="6D407602" w:rsidR="002429DD" w:rsidRPr="00A1236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N/A</w:t>
            </w:r>
          </w:p>
        </w:tc>
        <w:tc>
          <w:tcPr>
            <w:tcW w:w="4320" w:type="dxa"/>
            <w:shd w:val="clear" w:color="auto" w:fill="EEEEEE"/>
          </w:tcPr>
          <w:p w14:paraId="205C4ED8" w14:textId="5CFC2C20" w:rsidR="002429D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2429DD" w:rsidRPr="00B853C6" w14:paraId="23F1C43D" w14:textId="6396118D" w:rsidTr="003D447D">
        <w:tc>
          <w:tcPr>
            <w:tcW w:w="587" w:type="dxa"/>
            <w:shd w:val="clear" w:color="auto" w:fill="auto"/>
          </w:tcPr>
          <w:p w14:paraId="021A9BB4" w14:textId="77777777" w:rsidR="002429DD" w:rsidRPr="00F0337F" w:rsidRDefault="002429DD" w:rsidP="002429D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22" w:type="dxa"/>
            <w:shd w:val="clear" w:color="auto" w:fill="auto"/>
          </w:tcPr>
          <w:p w14:paraId="51D3F02D" w14:textId="77777777" w:rsidR="002429DD" w:rsidRPr="00F0337F" w:rsidRDefault="002429DD" w:rsidP="002429D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2429DD" w:rsidRPr="00A1236D" w:rsidRDefault="002429DD" w:rsidP="002429DD">
            <w:pPr>
              <w:spacing w:beforeLines="40" w:before="96" w:afterLines="40" w:after="96" w:line="24" w:lineRule="atLeast"/>
              <w:rPr>
                <w:rFonts w:eastAsia="Cambria"/>
                <w:sz w:val="18"/>
                <w:szCs w:val="18"/>
                <w:lang w:val="en-GB" w:eastAsia="en-US"/>
              </w:rPr>
            </w:pPr>
          </w:p>
        </w:tc>
        <w:tc>
          <w:tcPr>
            <w:tcW w:w="720" w:type="dxa"/>
          </w:tcPr>
          <w:p w14:paraId="50481D19" w14:textId="77777777" w:rsidR="002429DD" w:rsidRPr="00A1236D" w:rsidRDefault="002429DD" w:rsidP="002429DD">
            <w:pPr>
              <w:spacing w:beforeLines="40" w:before="96" w:afterLines="40" w:after="96" w:line="24" w:lineRule="atLeast"/>
              <w:rPr>
                <w:rFonts w:eastAsia="Cambria"/>
                <w:sz w:val="18"/>
                <w:szCs w:val="18"/>
                <w:lang w:val="en-GB" w:eastAsia="en-US"/>
              </w:rPr>
            </w:pPr>
          </w:p>
        </w:tc>
        <w:tc>
          <w:tcPr>
            <w:tcW w:w="4320" w:type="dxa"/>
          </w:tcPr>
          <w:p w14:paraId="0F2C43F0" w14:textId="77777777" w:rsidR="002429DD" w:rsidRDefault="002429DD" w:rsidP="002429DD">
            <w:pPr>
              <w:spacing w:beforeLines="40" w:before="96" w:afterLines="40" w:after="96" w:line="24" w:lineRule="atLeast"/>
              <w:rPr>
                <w:rFonts w:eastAsia="Cambria"/>
                <w:sz w:val="18"/>
                <w:szCs w:val="18"/>
                <w:lang w:val="en-GB" w:eastAsia="en-US"/>
              </w:rPr>
            </w:pPr>
          </w:p>
        </w:tc>
      </w:tr>
      <w:tr w:rsidR="002429DD" w:rsidRPr="00B853C6" w14:paraId="1ABE2F1D" w14:textId="316B0F58" w:rsidTr="003D447D">
        <w:tc>
          <w:tcPr>
            <w:tcW w:w="587" w:type="dxa"/>
            <w:shd w:val="clear" w:color="auto" w:fill="EEEEEE"/>
          </w:tcPr>
          <w:p w14:paraId="0D022F9B" w14:textId="77777777" w:rsidR="002429DD" w:rsidRPr="00F0337F" w:rsidRDefault="002429DD" w:rsidP="002429DD">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2429DD" w:rsidRPr="00F0337F" w:rsidRDefault="002429DD" w:rsidP="002429D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2429DD" w:rsidRPr="00A1236D" w:rsidRDefault="002429DD" w:rsidP="002429D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12ACDEDE" w:rsidR="002429DD" w:rsidRPr="00A1236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N/A</w:t>
            </w:r>
          </w:p>
        </w:tc>
        <w:tc>
          <w:tcPr>
            <w:tcW w:w="4320" w:type="dxa"/>
            <w:shd w:val="clear" w:color="auto" w:fill="EEEEEE"/>
          </w:tcPr>
          <w:p w14:paraId="73386906" w14:textId="0CEEB3DB" w:rsidR="002429D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2429DD" w:rsidRPr="00B853C6" w14:paraId="3696A9F1" w14:textId="63B96DDA" w:rsidTr="003D447D">
        <w:tc>
          <w:tcPr>
            <w:tcW w:w="587" w:type="dxa"/>
            <w:shd w:val="clear" w:color="auto" w:fill="auto"/>
          </w:tcPr>
          <w:p w14:paraId="0D2234E5" w14:textId="77777777" w:rsidR="002429DD" w:rsidRPr="00F0337F" w:rsidRDefault="002429DD" w:rsidP="002429DD">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2429DD" w:rsidRPr="00F0337F" w:rsidRDefault="002429DD" w:rsidP="002429D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111E54D" w14:textId="77777777" w:rsidR="002429DD" w:rsidRPr="00A1236D" w:rsidRDefault="002429DD" w:rsidP="002429D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720" w:type="dxa"/>
          </w:tcPr>
          <w:p w14:paraId="447F5BF5" w14:textId="63BC2629" w:rsidR="002429DD" w:rsidRPr="00A1236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N/A</w:t>
            </w:r>
          </w:p>
        </w:tc>
        <w:tc>
          <w:tcPr>
            <w:tcW w:w="4320" w:type="dxa"/>
          </w:tcPr>
          <w:p w14:paraId="5BB83735" w14:textId="4410E9BB" w:rsidR="002429D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2429DD" w:rsidRPr="00B853C6" w14:paraId="1650BAB8" w14:textId="79D11DE7" w:rsidTr="003D447D">
        <w:tc>
          <w:tcPr>
            <w:tcW w:w="587" w:type="dxa"/>
            <w:shd w:val="clear" w:color="auto" w:fill="EEEEEE"/>
          </w:tcPr>
          <w:p w14:paraId="4D025CC4" w14:textId="77777777" w:rsidR="002429DD" w:rsidRPr="00F0337F" w:rsidRDefault="002429DD" w:rsidP="002429DD">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2429DD" w:rsidRPr="00F0337F" w:rsidRDefault="002429DD" w:rsidP="002429D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2429DD" w:rsidRPr="00A1236D" w:rsidRDefault="002429DD" w:rsidP="002429DD">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35DA4261" w:rsidR="002429DD" w:rsidRPr="00A1236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N/A</w:t>
            </w:r>
          </w:p>
        </w:tc>
        <w:tc>
          <w:tcPr>
            <w:tcW w:w="4320" w:type="dxa"/>
            <w:shd w:val="clear" w:color="auto" w:fill="EEEEEE"/>
          </w:tcPr>
          <w:p w14:paraId="66751F07" w14:textId="11316612" w:rsidR="002429D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2429DD" w:rsidRPr="00B853C6" w14:paraId="2034ACF7" w14:textId="19A8CB33" w:rsidTr="003D447D">
        <w:tc>
          <w:tcPr>
            <w:tcW w:w="587" w:type="dxa"/>
            <w:shd w:val="clear" w:color="auto" w:fill="auto"/>
          </w:tcPr>
          <w:p w14:paraId="3217ECED" w14:textId="77777777" w:rsidR="002429DD" w:rsidRPr="00F0337F" w:rsidRDefault="002429DD" w:rsidP="002429DD">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2429DD" w:rsidRPr="00F0337F" w:rsidRDefault="002429DD" w:rsidP="002429D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A13AF31" w14:textId="77777777" w:rsidR="002429DD" w:rsidRPr="00A1236D" w:rsidRDefault="002429DD" w:rsidP="002429D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720" w:type="dxa"/>
          </w:tcPr>
          <w:p w14:paraId="528F9F4C" w14:textId="7266519A" w:rsidR="002429DD" w:rsidRPr="00A1236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N/A</w:t>
            </w:r>
          </w:p>
        </w:tc>
        <w:tc>
          <w:tcPr>
            <w:tcW w:w="4320" w:type="dxa"/>
          </w:tcPr>
          <w:p w14:paraId="7B882C5B" w14:textId="5A5574B5" w:rsidR="002429D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2429DD" w:rsidRPr="00B853C6" w14:paraId="3E7CFBFC" w14:textId="3F99A047" w:rsidTr="003D447D">
        <w:tc>
          <w:tcPr>
            <w:tcW w:w="587" w:type="dxa"/>
            <w:tcBorders>
              <w:bottom w:val="single" w:sz="6" w:space="0" w:color="7F7F7F"/>
            </w:tcBorders>
            <w:shd w:val="clear" w:color="auto" w:fill="EEEEEE"/>
          </w:tcPr>
          <w:p w14:paraId="1FDC421F" w14:textId="77777777" w:rsidR="002429DD" w:rsidRPr="00F0337F" w:rsidRDefault="002429DD" w:rsidP="002429DD">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2429DD" w:rsidRPr="00F0337F" w:rsidRDefault="002429DD" w:rsidP="002429D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2429DD" w:rsidRPr="00A1236D" w:rsidRDefault="002429DD" w:rsidP="002429DD">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3F1477FC" w:rsidR="002429DD" w:rsidRPr="00A1236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N/A</w:t>
            </w:r>
          </w:p>
        </w:tc>
        <w:tc>
          <w:tcPr>
            <w:tcW w:w="4320" w:type="dxa"/>
            <w:tcBorders>
              <w:bottom w:val="single" w:sz="6" w:space="0" w:color="7F7F7F"/>
            </w:tcBorders>
            <w:shd w:val="clear" w:color="auto" w:fill="EEEEEE"/>
          </w:tcPr>
          <w:p w14:paraId="03A6AB93" w14:textId="0F4BD88A" w:rsidR="002429DD" w:rsidRDefault="002429DD" w:rsidP="002429D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SMR methods was used.</w:t>
            </w:r>
          </w:p>
        </w:tc>
      </w:tr>
      <w:tr w:rsidR="002429DD" w:rsidRPr="00B853C6" w14:paraId="5B7D2773" w14:textId="7D8D257A" w:rsidTr="003D447D">
        <w:tc>
          <w:tcPr>
            <w:tcW w:w="587" w:type="dxa"/>
            <w:tcBorders>
              <w:top w:val="single" w:sz="6" w:space="0" w:color="7F7F7F"/>
            </w:tcBorders>
            <w:shd w:val="clear" w:color="auto" w:fill="auto"/>
          </w:tcPr>
          <w:p w14:paraId="5BDBDA65" w14:textId="77777777" w:rsidR="002429DD" w:rsidRPr="00F0337F" w:rsidRDefault="002429DD" w:rsidP="002429DD">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2429DD" w:rsidRPr="00F0337F" w:rsidRDefault="002429DD" w:rsidP="002429DD">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2429DD" w:rsidRPr="00A1236D" w:rsidRDefault="002429DD" w:rsidP="002429DD">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2429DD" w:rsidRPr="00A1236D" w:rsidRDefault="002429DD" w:rsidP="002429DD">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2429DD" w:rsidRDefault="002429DD" w:rsidP="002429DD">
            <w:pPr>
              <w:spacing w:beforeLines="40" w:before="96" w:afterLines="40" w:after="96" w:line="24" w:lineRule="atLeast"/>
              <w:rPr>
                <w:rFonts w:eastAsia="Cambria"/>
                <w:sz w:val="18"/>
                <w:szCs w:val="18"/>
                <w:lang w:val="en-GB" w:eastAsia="en-US"/>
              </w:rPr>
            </w:pPr>
          </w:p>
        </w:tc>
      </w:tr>
      <w:tr w:rsidR="002429DD" w:rsidRPr="00B853C6" w14:paraId="1800AF05" w14:textId="4BEA2748" w:rsidTr="003D447D">
        <w:tc>
          <w:tcPr>
            <w:tcW w:w="587" w:type="dxa"/>
            <w:shd w:val="clear" w:color="auto" w:fill="EEEEEE"/>
          </w:tcPr>
          <w:p w14:paraId="6B5F5286" w14:textId="77777777" w:rsidR="002429DD" w:rsidRPr="00F0337F" w:rsidRDefault="002429DD" w:rsidP="002429D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22" w:type="dxa"/>
            <w:shd w:val="clear" w:color="auto" w:fill="EEEEEE"/>
          </w:tcPr>
          <w:p w14:paraId="42EDC029" w14:textId="77777777" w:rsidR="002429DD" w:rsidRPr="00F0337F" w:rsidRDefault="002429DD" w:rsidP="002429D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2429DD" w:rsidRPr="00A1236D" w:rsidRDefault="002429DD" w:rsidP="002429DD">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720" w:type="dxa"/>
            <w:shd w:val="clear" w:color="auto" w:fill="EEEEEE"/>
          </w:tcPr>
          <w:p w14:paraId="2C7117BF" w14:textId="148C5D63" w:rsidR="002429DD" w:rsidRPr="002429DD" w:rsidRDefault="002429DD" w:rsidP="002429DD">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w:t>
            </w:r>
          </w:p>
        </w:tc>
        <w:tc>
          <w:tcPr>
            <w:tcW w:w="4320" w:type="dxa"/>
            <w:shd w:val="clear" w:color="auto" w:fill="EEEEEE"/>
          </w:tcPr>
          <w:p w14:paraId="70F1DDE7" w14:textId="7F3A5F53" w:rsidR="002429DD" w:rsidRDefault="002429DD" w:rsidP="002429DD">
            <w:pPr>
              <w:spacing w:beforeLines="40" w:before="96" w:afterLines="40" w:after="96" w:line="24" w:lineRule="atLeast"/>
              <w:rPr>
                <w:rFonts w:eastAsia="Times New Roman"/>
                <w:sz w:val="18"/>
                <w:szCs w:val="18"/>
                <w:lang w:val="en-GB" w:eastAsia="en-GB"/>
              </w:rPr>
            </w:pPr>
            <w:r w:rsidRPr="002429DD">
              <w:rPr>
                <w:rFonts w:eastAsia="Times New Roman"/>
                <w:sz w:val="18"/>
                <w:szCs w:val="18"/>
                <w:lang w:val="en-GB" w:eastAsia="en-GB"/>
              </w:rPr>
              <w:t xml:space="preserve">In our investigation into LUAD, a significant connection emerged between metabolic gene regulation and disease risk, highlighting the gene CHRNA3 as a pivotal element. Notably, two methylation sites on CHRNA3—cg04882995 and cg24506363—exhibited a marked increase in LUAD risk, with compelling colocalization evidence underscoring their potential role in the disease's pathogenesis. The expression analyses of genes FLOT1 and HYKK also revealed a moderate elevation in risk, further substantiated by robust colocalization data. In contrast, the protein levels of PCYOX1, SFTPB, and POGLUT3 presented a protective association against </w:t>
            </w:r>
            <w:r w:rsidRPr="002429DD">
              <w:rPr>
                <w:rFonts w:eastAsia="Times New Roman"/>
                <w:sz w:val="18"/>
                <w:szCs w:val="18"/>
                <w:lang w:val="en-GB" w:eastAsia="en-GB"/>
              </w:rPr>
              <w:lastRenderedPageBreak/>
              <w:t>LUAD. These pivotal findings, particularly the significant methylation sites on CHRNA3 and the differential expression and protein quantifications of FLOT1, HYKK, and POGLUT3, pave the way for a deeper understanding of LUAD's etiology and present promising targets for early detection and therapeutic intervention.</w:t>
            </w:r>
          </w:p>
        </w:tc>
      </w:tr>
      <w:tr w:rsidR="002429DD" w:rsidRPr="00B853C6" w14:paraId="06BFAFA4" w14:textId="151FB6CE" w:rsidTr="003D447D">
        <w:tc>
          <w:tcPr>
            <w:tcW w:w="587" w:type="dxa"/>
            <w:shd w:val="clear" w:color="auto" w:fill="auto"/>
          </w:tcPr>
          <w:p w14:paraId="6D471CC5" w14:textId="77777777" w:rsidR="002429DD" w:rsidRPr="00F0337F" w:rsidRDefault="002429DD" w:rsidP="002429D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15</w:t>
            </w:r>
          </w:p>
        </w:tc>
        <w:tc>
          <w:tcPr>
            <w:tcW w:w="1822" w:type="dxa"/>
            <w:shd w:val="clear" w:color="auto" w:fill="auto"/>
          </w:tcPr>
          <w:p w14:paraId="5C27961E" w14:textId="77777777" w:rsidR="002429DD" w:rsidRPr="00F0337F" w:rsidRDefault="002429DD" w:rsidP="002429D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shd w:val="clear" w:color="auto" w:fill="auto"/>
          </w:tcPr>
          <w:p w14:paraId="75B6F41B" w14:textId="77777777" w:rsidR="002429DD" w:rsidRPr="00A1236D" w:rsidRDefault="002429DD" w:rsidP="002429DD">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720" w:type="dxa"/>
          </w:tcPr>
          <w:p w14:paraId="201D4281" w14:textId="5148384A" w:rsidR="002429DD" w:rsidRPr="002429DD" w:rsidRDefault="002429DD" w:rsidP="002429DD">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10</w:t>
            </w:r>
          </w:p>
        </w:tc>
        <w:tc>
          <w:tcPr>
            <w:tcW w:w="4320" w:type="dxa"/>
          </w:tcPr>
          <w:p w14:paraId="7CB4BA33" w14:textId="2D75E85E" w:rsidR="002429DD" w:rsidRDefault="002429DD" w:rsidP="002429DD">
            <w:pPr>
              <w:spacing w:beforeLines="40" w:before="96" w:afterLines="40" w:after="96" w:line="24" w:lineRule="atLeast"/>
              <w:rPr>
                <w:rFonts w:eastAsia="Times New Roman"/>
                <w:sz w:val="18"/>
                <w:szCs w:val="18"/>
                <w:lang w:val="en-GB" w:eastAsia="en-GB"/>
              </w:rPr>
            </w:pPr>
            <w:r w:rsidRPr="002429DD">
              <w:rPr>
                <w:rFonts w:eastAsia="Times New Roman"/>
                <w:sz w:val="18"/>
                <w:szCs w:val="18"/>
                <w:lang w:val="en-GB" w:eastAsia="en-GB"/>
              </w:rPr>
              <w:t>However, there are limitations to consider. The scope of metabolic-related proteins in our pQTL dataset was not comprehensive, potentially omitting significant proteins affecting LUAD risk. Additionally, interpreting colocalization probabilities (PPH4) demands caution, as low PPH4 values, especially when accompanied by low PPH3, might reflect insufficient statistical power rather than a definitive lack of colocalization. These aspects highlight areas for further research to deepen our understanding of LUAD's complex etiology.</w:t>
            </w:r>
          </w:p>
        </w:tc>
      </w:tr>
      <w:tr w:rsidR="002429DD" w:rsidRPr="00B853C6" w14:paraId="71F8B8B5" w14:textId="34C247AC" w:rsidTr="003D447D">
        <w:tc>
          <w:tcPr>
            <w:tcW w:w="587" w:type="dxa"/>
            <w:shd w:val="clear" w:color="auto" w:fill="EEEEEE"/>
          </w:tcPr>
          <w:p w14:paraId="02C1D590" w14:textId="77777777" w:rsidR="002429DD" w:rsidRPr="00F0337F" w:rsidRDefault="002429DD" w:rsidP="002429D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22" w:type="dxa"/>
            <w:shd w:val="clear" w:color="auto" w:fill="EEEEEE"/>
          </w:tcPr>
          <w:p w14:paraId="612AA484" w14:textId="77777777" w:rsidR="002429DD" w:rsidRPr="00F0337F" w:rsidRDefault="002429DD" w:rsidP="002429D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2429DD" w:rsidRPr="00A1236D" w:rsidRDefault="002429DD" w:rsidP="002429DD">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2429DD" w:rsidRPr="00A1236D" w:rsidRDefault="002429DD" w:rsidP="002429DD">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2429DD" w:rsidRDefault="002429DD" w:rsidP="002429DD">
            <w:pPr>
              <w:spacing w:beforeLines="40" w:before="96" w:afterLines="40" w:after="96" w:line="24" w:lineRule="atLeast"/>
              <w:rPr>
                <w:rFonts w:eastAsia="Cambria"/>
                <w:sz w:val="18"/>
                <w:szCs w:val="18"/>
                <w:lang w:val="en-GB" w:eastAsia="en-US"/>
              </w:rPr>
            </w:pPr>
          </w:p>
        </w:tc>
      </w:tr>
      <w:tr w:rsidR="002429DD" w:rsidRPr="00B853C6" w14:paraId="62E6D51A" w14:textId="140D03A2" w:rsidTr="003D447D">
        <w:tc>
          <w:tcPr>
            <w:tcW w:w="587" w:type="dxa"/>
            <w:shd w:val="clear" w:color="auto" w:fill="auto"/>
          </w:tcPr>
          <w:p w14:paraId="6DD2F448" w14:textId="77777777" w:rsidR="002429DD" w:rsidRPr="00F0337F" w:rsidRDefault="002429DD" w:rsidP="002429DD">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2429DD" w:rsidRPr="00F0337F" w:rsidRDefault="002429DD" w:rsidP="002429D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7EDF9868" w14:textId="096ED659" w:rsidR="002429DD" w:rsidRPr="00A1236D" w:rsidRDefault="002429DD" w:rsidP="002429D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and in comparison </w:t>
            </w:r>
            <w:r>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720" w:type="dxa"/>
          </w:tcPr>
          <w:p w14:paraId="565CC165" w14:textId="6CACE2D3" w:rsidR="002429DD" w:rsidRPr="002429DD" w:rsidRDefault="002429DD" w:rsidP="002429DD">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4320" w:type="dxa"/>
          </w:tcPr>
          <w:p w14:paraId="5251245C" w14:textId="79E1F625" w:rsidR="002429DD" w:rsidRDefault="002429DD" w:rsidP="002429DD">
            <w:pPr>
              <w:spacing w:beforeLines="40" w:before="96" w:afterLines="40" w:after="96" w:line="24" w:lineRule="atLeast"/>
              <w:rPr>
                <w:rFonts w:eastAsia="Times New Roman"/>
                <w:sz w:val="18"/>
                <w:szCs w:val="18"/>
                <w:lang w:val="en-GB" w:eastAsia="en-GB"/>
              </w:rPr>
            </w:pPr>
            <w:r w:rsidRPr="002429DD">
              <w:rPr>
                <w:rFonts w:eastAsia="Times New Roman"/>
                <w:sz w:val="18"/>
                <w:szCs w:val="18"/>
                <w:lang w:val="en-GB" w:eastAsia="en-GB"/>
              </w:rPr>
              <w:t>Our study focuses on the genes FLOT1 and HYKK, which have shown a substantial relationship with LUAD risk, highlighting their potential involvement in LUAD development and progression.</w:t>
            </w:r>
          </w:p>
        </w:tc>
      </w:tr>
      <w:tr w:rsidR="002429DD" w:rsidRPr="00B853C6" w14:paraId="156B69E5" w14:textId="453FC5BE" w:rsidTr="003D447D">
        <w:tc>
          <w:tcPr>
            <w:tcW w:w="587" w:type="dxa"/>
            <w:shd w:val="clear" w:color="auto" w:fill="EEEEEE"/>
          </w:tcPr>
          <w:p w14:paraId="4C8A2215" w14:textId="77777777" w:rsidR="002429DD" w:rsidRPr="00F0337F" w:rsidRDefault="002429DD" w:rsidP="002429DD">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2429DD" w:rsidRPr="00F0337F" w:rsidRDefault="002429DD" w:rsidP="002429D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2429DD" w:rsidRPr="00A1236D" w:rsidRDefault="002429DD" w:rsidP="002429DD">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720" w:type="dxa"/>
            <w:shd w:val="clear" w:color="auto" w:fill="EEEEEE"/>
          </w:tcPr>
          <w:p w14:paraId="2FA4AA4D" w14:textId="7DBA4CB7" w:rsidR="002429DD" w:rsidRPr="002429DD" w:rsidRDefault="002429DD" w:rsidP="002429DD">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10</w:t>
            </w:r>
          </w:p>
        </w:tc>
        <w:tc>
          <w:tcPr>
            <w:tcW w:w="4320" w:type="dxa"/>
            <w:shd w:val="clear" w:color="auto" w:fill="EEEEEE"/>
          </w:tcPr>
          <w:p w14:paraId="3A91F000" w14:textId="239D1296" w:rsidR="002429DD" w:rsidRDefault="002429DD" w:rsidP="002429DD">
            <w:pPr>
              <w:spacing w:beforeLines="40" w:before="96" w:afterLines="40" w:after="96" w:line="24" w:lineRule="atLeast"/>
              <w:rPr>
                <w:rFonts w:eastAsia="Times New Roman"/>
                <w:sz w:val="18"/>
                <w:szCs w:val="18"/>
                <w:lang w:val="en-GB" w:eastAsia="en-GB"/>
              </w:rPr>
            </w:pPr>
            <w:r w:rsidRPr="002429DD">
              <w:rPr>
                <w:rFonts w:eastAsia="Times New Roman"/>
                <w:sz w:val="18"/>
                <w:szCs w:val="18"/>
                <w:lang w:val="en-GB" w:eastAsia="en-GB"/>
              </w:rPr>
              <w:t>The findings of our study suggest that POGLUT3 may exert its protective role in LUAD through the modulation of these critical signaling cascades. The negative association with LUAD risk could be indicative of a suppression of tumorigenic signaling pathways or the enhancement of tumor-suppressive mechanisms. Further research into POGLUT3's specific targets and the biochemical consequences of its activity could illuminate novel therapeutic approaches that exploit its protective effects against LUAD.</w:t>
            </w:r>
          </w:p>
        </w:tc>
      </w:tr>
      <w:tr w:rsidR="002429DD" w:rsidRPr="00B853C6" w14:paraId="203390A0" w14:textId="367D17C4" w:rsidTr="003D447D">
        <w:tc>
          <w:tcPr>
            <w:tcW w:w="587" w:type="dxa"/>
            <w:shd w:val="clear" w:color="auto" w:fill="auto"/>
          </w:tcPr>
          <w:p w14:paraId="54CA3A27" w14:textId="77777777" w:rsidR="002429DD" w:rsidRPr="00F0337F" w:rsidRDefault="002429DD" w:rsidP="002429DD">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2429DD" w:rsidRPr="00F0337F" w:rsidRDefault="002429DD" w:rsidP="002429D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B6A8315" w14:textId="77777777" w:rsidR="002429DD" w:rsidRPr="00A1236D" w:rsidRDefault="002429DD" w:rsidP="002429DD">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720" w:type="dxa"/>
          </w:tcPr>
          <w:p w14:paraId="32FCF028" w14:textId="2C4CAF0F" w:rsidR="002429DD" w:rsidRPr="002429DD" w:rsidRDefault="002429DD" w:rsidP="002429DD">
            <w:pPr>
              <w:tabs>
                <w:tab w:val="left" w:pos="1350"/>
              </w:tabs>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10</w:t>
            </w:r>
          </w:p>
        </w:tc>
        <w:tc>
          <w:tcPr>
            <w:tcW w:w="4320" w:type="dxa"/>
          </w:tcPr>
          <w:p w14:paraId="78058AE6" w14:textId="05FB6425" w:rsidR="002429DD" w:rsidRPr="002429DD" w:rsidRDefault="002429DD" w:rsidP="002429DD">
            <w:pPr>
              <w:spacing w:beforeLines="50" w:before="120" w:afterLines="50" w:after="120"/>
              <w:rPr>
                <w:rFonts w:ascii="Times New Roman" w:eastAsiaTheme="minorEastAsia" w:hAnsi="Times New Roman" w:cs="Times New Roman" w:hint="eastAsia"/>
                <w:lang w:eastAsia="zh-CN"/>
              </w:rPr>
            </w:pPr>
            <w:r w:rsidRPr="001E49E6">
              <w:rPr>
                <w:rFonts w:ascii="Times New Roman" w:hAnsi="Times New Roman" w:cs="Times New Roman" w:hint="eastAsia"/>
              </w:rPr>
              <w:t>In conclusion, t</w:t>
            </w:r>
            <w:r w:rsidRPr="001E49E6">
              <w:rPr>
                <w:rFonts w:ascii="Times New Roman" w:hAnsi="Times New Roman" w:cs="Times New Roman"/>
              </w:rPr>
              <w:t xml:space="preserve">his MR study highlights the causal relationships between metabolic gene methylation, expression, and protein abundance with LUAD, underscoring the pivotal role of metabolic genes in LUAD's pathogenesis. These insights enrich our understanding of LUAD and identify potential targets for therapeutic intervention. </w:t>
            </w:r>
          </w:p>
        </w:tc>
      </w:tr>
      <w:tr w:rsidR="002429DD" w:rsidRPr="00B853C6" w14:paraId="71FDAFC1" w14:textId="00A47F15" w:rsidTr="003D447D">
        <w:tc>
          <w:tcPr>
            <w:tcW w:w="587" w:type="dxa"/>
            <w:tcBorders>
              <w:bottom w:val="single" w:sz="6" w:space="0" w:color="7F7F7F"/>
            </w:tcBorders>
            <w:shd w:val="clear" w:color="auto" w:fill="EEEEEE"/>
          </w:tcPr>
          <w:p w14:paraId="7540155A" w14:textId="77777777" w:rsidR="002429DD" w:rsidRPr="00F0337F" w:rsidRDefault="002429DD" w:rsidP="002429D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2429DD" w:rsidRPr="00F0337F" w:rsidRDefault="002429DD" w:rsidP="002429D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2429DD" w:rsidRPr="00A1236D" w:rsidRDefault="002429DD" w:rsidP="002429D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0F2E3C8B" w:rsidR="002429DD" w:rsidRPr="002429DD" w:rsidRDefault="002429DD" w:rsidP="002429DD">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10</w:t>
            </w:r>
          </w:p>
        </w:tc>
        <w:tc>
          <w:tcPr>
            <w:tcW w:w="4320" w:type="dxa"/>
            <w:tcBorders>
              <w:bottom w:val="single" w:sz="6" w:space="0" w:color="7F7F7F"/>
            </w:tcBorders>
            <w:shd w:val="clear" w:color="auto" w:fill="EEEEEE"/>
          </w:tcPr>
          <w:p w14:paraId="7BD55F5C" w14:textId="77777777" w:rsidR="002429DD" w:rsidRPr="001E49E6" w:rsidRDefault="002429DD" w:rsidP="002429DD">
            <w:pPr>
              <w:spacing w:beforeLines="50" w:before="120" w:afterLines="50" w:after="120"/>
              <w:rPr>
                <w:rFonts w:ascii="Times New Roman" w:hAnsi="Times New Roman" w:cs="Times New Roman"/>
              </w:rPr>
            </w:pPr>
            <w:r w:rsidRPr="001E49E6">
              <w:rPr>
                <w:rFonts w:ascii="Times New Roman" w:hAnsi="Times New Roman" w:cs="Times New Roman" w:hint="eastAsia"/>
              </w:rPr>
              <w:t>In conclusion, t</w:t>
            </w:r>
            <w:r w:rsidRPr="001E49E6">
              <w:rPr>
                <w:rFonts w:ascii="Times New Roman" w:hAnsi="Times New Roman" w:cs="Times New Roman"/>
              </w:rPr>
              <w:t xml:space="preserve">his MR study highlights the causal relationships between metabolic gene methylation, expression, and protein abundance with LUAD, underscoring the pivotal role of metabolic genes in LUAD's pathogenesis. </w:t>
            </w:r>
            <w:r w:rsidRPr="001E49E6">
              <w:rPr>
                <w:rFonts w:ascii="Times New Roman" w:hAnsi="Times New Roman" w:cs="Times New Roman"/>
              </w:rPr>
              <w:lastRenderedPageBreak/>
              <w:t xml:space="preserve">These insights enrich our understanding of LUAD and identify potential targets for therapeutic intervention. </w:t>
            </w:r>
          </w:p>
          <w:p w14:paraId="41ABF5A9" w14:textId="77777777" w:rsidR="002429DD" w:rsidRPr="002429DD" w:rsidRDefault="002429DD" w:rsidP="002429DD">
            <w:pPr>
              <w:spacing w:beforeLines="40" w:before="96" w:afterLines="40" w:after="96" w:line="24" w:lineRule="atLeast"/>
              <w:rPr>
                <w:rFonts w:eastAsia="Times New Roman"/>
                <w:sz w:val="18"/>
                <w:szCs w:val="18"/>
                <w:lang w:eastAsia="en-GB"/>
              </w:rPr>
            </w:pPr>
          </w:p>
        </w:tc>
      </w:tr>
      <w:tr w:rsidR="002429DD" w:rsidRPr="00B853C6" w14:paraId="57884E75" w14:textId="6FD41AE6" w:rsidTr="003D447D">
        <w:tc>
          <w:tcPr>
            <w:tcW w:w="587" w:type="dxa"/>
            <w:tcBorders>
              <w:top w:val="single" w:sz="6" w:space="0" w:color="7F7F7F"/>
            </w:tcBorders>
            <w:shd w:val="clear" w:color="auto" w:fill="auto"/>
          </w:tcPr>
          <w:p w14:paraId="2C4C694A" w14:textId="77777777" w:rsidR="002429DD" w:rsidRPr="00F0337F" w:rsidRDefault="002429DD" w:rsidP="002429DD">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2429DD" w:rsidRPr="00F0337F" w:rsidRDefault="002429DD" w:rsidP="002429D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2429DD" w:rsidRPr="00F0337F" w:rsidRDefault="002429DD" w:rsidP="002429DD">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2429DD" w:rsidRPr="00F0337F" w:rsidRDefault="002429DD" w:rsidP="002429DD">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2429DD" w:rsidRDefault="002429DD" w:rsidP="002429DD">
            <w:pPr>
              <w:spacing w:beforeLines="40" w:before="96" w:afterLines="40" w:after="96" w:line="24" w:lineRule="atLeast"/>
              <w:rPr>
                <w:rFonts w:eastAsia="Cambria"/>
                <w:sz w:val="18"/>
                <w:szCs w:val="18"/>
                <w:lang w:val="en-GB" w:eastAsia="en-US"/>
              </w:rPr>
            </w:pPr>
          </w:p>
        </w:tc>
      </w:tr>
      <w:tr w:rsidR="002429DD" w:rsidRPr="00B853C6" w14:paraId="0014C6D1" w14:textId="2FC4D004" w:rsidTr="003D447D">
        <w:tc>
          <w:tcPr>
            <w:tcW w:w="587" w:type="dxa"/>
            <w:shd w:val="clear" w:color="auto" w:fill="EEEEEE"/>
          </w:tcPr>
          <w:p w14:paraId="2336D08C" w14:textId="77777777" w:rsidR="002429DD" w:rsidRPr="00F0337F" w:rsidRDefault="002429DD" w:rsidP="002429D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22" w:type="dxa"/>
            <w:shd w:val="clear" w:color="auto" w:fill="EEEEEE"/>
          </w:tcPr>
          <w:p w14:paraId="08EB4FDF" w14:textId="77777777" w:rsidR="002429DD" w:rsidRPr="00F0337F" w:rsidRDefault="002429DD" w:rsidP="002429DD">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2429DD" w:rsidRPr="00F0337F" w:rsidRDefault="002429DD" w:rsidP="002429DD">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2DF3BFDA" w:rsidR="002429DD" w:rsidRPr="002429DD" w:rsidRDefault="002429DD" w:rsidP="002429DD">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p>
        </w:tc>
        <w:tc>
          <w:tcPr>
            <w:tcW w:w="4320" w:type="dxa"/>
            <w:shd w:val="clear" w:color="auto" w:fill="EEEEEE"/>
          </w:tcPr>
          <w:p w14:paraId="2C6CE5FF" w14:textId="01CB1393" w:rsidR="002429DD" w:rsidRPr="002429DD" w:rsidRDefault="002429DD" w:rsidP="002429DD">
            <w:pPr>
              <w:spacing w:beforeLines="40" w:before="96" w:afterLines="40" w:after="96" w:line="24" w:lineRule="atLeast"/>
              <w:rPr>
                <w:rFonts w:eastAsia="Times New Roman"/>
                <w:sz w:val="18"/>
                <w:szCs w:val="18"/>
                <w:lang w:eastAsia="en-GB"/>
              </w:rPr>
            </w:pPr>
            <w:r w:rsidRPr="002429DD">
              <w:rPr>
                <w:rFonts w:eastAsia="Times New Roman"/>
                <w:sz w:val="18"/>
                <w:szCs w:val="18"/>
                <w:lang w:eastAsia="en-GB"/>
              </w:rPr>
              <w:t>This study was supported by The Medical Engineering Cross research fund of Shanghai Jiaotong University "Star of Jiaotong University" program (24X010301595).</w:t>
            </w:r>
          </w:p>
        </w:tc>
      </w:tr>
      <w:tr w:rsidR="002429DD" w:rsidRPr="00B853C6" w14:paraId="1B22CB41" w14:textId="102364C9" w:rsidTr="003D447D">
        <w:tc>
          <w:tcPr>
            <w:tcW w:w="587" w:type="dxa"/>
            <w:shd w:val="clear" w:color="auto" w:fill="auto"/>
          </w:tcPr>
          <w:p w14:paraId="381BF2BA" w14:textId="77777777" w:rsidR="002429DD" w:rsidRPr="00F0337F" w:rsidRDefault="002429DD" w:rsidP="002429D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22" w:type="dxa"/>
            <w:shd w:val="clear" w:color="auto" w:fill="auto"/>
          </w:tcPr>
          <w:p w14:paraId="233BA942" w14:textId="77777777" w:rsidR="002429DD" w:rsidRPr="00F0337F" w:rsidRDefault="002429DD" w:rsidP="002429D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shd w:val="clear" w:color="auto" w:fill="auto"/>
          </w:tcPr>
          <w:p w14:paraId="42D9085E" w14:textId="77777777" w:rsidR="002429DD" w:rsidRPr="00F0337F" w:rsidRDefault="002429DD" w:rsidP="002429DD">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720" w:type="dxa"/>
          </w:tcPr>
          <w:p w14:paraId="5725EE6D" w14:textId="63AEEE47" w:rsidR="002429DD" w:rsidRPr="002429DD" w:rsidRDefault="002429DD" w:rsidP="002429DD">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12</w:t>
            </w:r>
          </w:p>
        </w:tc>
        <w:tc>
          <w:tcPr>
            <w:tcW w:w="4320" w:type="dxa"/>
          </w:tcPr>
          <w:p w14:paraId="38DE3AA7" w14:textId="6002DB62" w:rsidR="002429DD" w:rsidRDefault="002429DD" w:rsidP="002429DD">
            <w:pPr>
              <w:spacing w:beforeLines="40" w:before="96" w:afterLines="40" w:after="96" w:line="24" w:lineRule="atLeast"/>
              <w:rPr>
                <w:rFonts w:eastAsia="Times New Roman"/>
                <w:sz w:val="18"/>
                <w:szCs w:val="18"/>
                <w:lang w:val="en-GB" w:eastAsia="en-GB"/>
              </w:rPr>
            </w:pPr>
            <w:r w:rsidRPr="002429DD">
              <w:rPr>
                <w:rFonts w:eastAsia="Times New Roman"/>
                <w:sz w:val="18"/>
                <w:szCs w:val="18"/>
                <w:lang w:val="en-GB" w:eastAsia="en-GB"/>
              </w:rPr>
              <w:t>Summary data used for this study can be accessed through the following links: mQTL dataset by McRae et al. at PubMed ID 30514905; eQTL dataset from the eQTLGen Consortium at https://www.eqtlgen.org/cis-eqtls.html; Tissue-specific eQTL data from The Genotype-Tissue Expression project at https://gtexportal.org/home/datasets; pQTL dataset by Ferkingstad et al. at PubMed ID 34857953; Lung adenocarcinoma data from the Transdisciplinary Research Into Cancer of the Lung (TRICL) at https://gwas.mrcieu.ac.uk/datasets/ieu-a-984/ and The FinnGen study at https://storage.googleapis.com/finngen-public-data-r10/summary_stats/finngen_R10_C3_NSCLC_ADENO_EXALLC.gz.</w:t>
            </w:r>
          </w:p>
        </w:tc>
      </w:tr>
      <w:tr w:rsidR="002429DD" w:rsidRPr="00B853C6" w14:paraId="1BFE6A86" w14:textId="26747AA0" w:rsidTr="003D447D">
        <w:tc>
          <w:tcPr>
            <w:tcW w:w="587" w:type="dxa"/>
            <w:tcBorders>
              <w:bottom w:val="single" w:sz="6" w:space="0" w:color="7F7F7F"/>
            </w:tcBorders>
            <w:shd w:val="clear" w:color="auto" w:fill="EEEEEE"/>
          </w:tcPr>
          <w:p w14:paraId="20DC2C92" w14:textId="77777777" w:rsidR="002429DD" w:rsidRPr="00F0337F" w:rsidRDefault="002429DD" w:rsidP="002429D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2429DD" w:rsidRPr="00F0337F" w:rsidRDefault="002429DD" w:rsidP="002429D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2429DD" w:rsidRPr="00F0337F" w:rsidRDefault="002429DD" w:rsidP="002429DD">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5853CD4B" w:rsidR="002429DD" w:rsidRPr="002429DD" w:rsidRDefault="002429DD" w:rsidP="002429DD">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p>
        </w:tc>
        <w:tc>
          <w:tcPr>
            <w:tcW w:w="4320" w:type="dxa"/>
            <w:tcBorders>
              <w:bottom w:val="single" w:sz="6" w:space="0" w:color="7F7F7F"/>
            </w:tcBorders>
            <w:shd w:val="clear" w:color="auto" w:fill="EEEEEE"/>
          </w:tcPr>
          <w:p w14:paraId="5D9123A4" w14:textId="0E77486A" w:rsidR="002429DD" w:rsidRDefault="002429DD" w:rsidP="002429DD">
            <w:pPr>
              <w:spacing w:beforeLines="40" w:before="96" w:afterLines="40" w:after="96" w:line="24" w:lineRule="atLeast"/>
              <w:rPr>
                <w:rFonts w:eastAsia="Times New Roman"/>
                <w:sz w:val="18"/>
                <w:szCs w:val="18"/>
                <w:lang w:val="en-GB" w:eastAsia="en-GB"/>
              </w:rPr>
            </w:pPr>
            <w:r w:rsidRPr="002429DD">
              <w:rPr>
                <w:rFonts w:eastAsia="Times New Roman"/>
                <w:sz w:val="18"/>
                <w:szCs w:val="18"/>
                <w:lang w:val="en-GB" w:eastAsia="en-GB"/>
              </w:rPr>
              <w:t>The authors declare that they have no competing interests.</w:t>
            </w:r>
          </w:p>
        </w:tc>
      </w:tr>
    </w:tbl>
    <w:p w14:paraId="386115B2" w14:textId="17D6D8D3" w:rsidR="00000000" w:rsidRPr="009854A9" w:rsidRDefault="00D65199" w:rsidP="005520ED">
      <w:pPr>
        <w:spacing w:before="240" w:after="240"/>
        <w:rPr>
          <w:sz w:val="19"/>
          <w:szCs w:val="19"/>
        </w:rPr>
      </w:pPr>
      <w:r w:rsidRPr="009854A9">
        <w:rPr>
          <w:sz w:val="19"/>
          <w:szCs w:val="19"/>
        </w:rPr>
        <w:t>This checklist is copyrighted by the Equator Network under the Creative Commons Attribution 3.0 Unported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p>
    <w:sectPr w:rsidR="00804498"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723C4" w14:textId="77777777" w:rsidR="00204075" w:rsidRDefault="00204075">
      <w:pPr>
        <w:spacing w:line="240" w:lineRule="auto"/>
      </w:pPr>
      <w:r>
        <w:separator/>
      </w:r>
    </w:p>
  </w:endnote>
  <w:endnote w:type="continuationSeparator" w:id="0">
    <w:p w14:paraId="121CB213" w14:textId="77777777" w:rsidR="00204075" w:rsidRDefault="002040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4A166" w14:textId="77777777" w:rsidR="00000000" w:rsidRDefault="00000000" w:rsidP="00A365E5">
    <w:pPr>
      <w:pStyle w:val="a3"/>
      <w:framePr w:wrap="none" w:vAnchor="text" w:hAnchor="margin" w:xAlign="right" w:y="1"/>
      <w:rPr>
        <w:rStyle w:val="a5"/>
      </w:rPr>
    </w:pPr>
  </w:p>
  <w:p w14:paraId="40A0897E" w14:textId="77777777" w:rsidR="00000000" w:rsidRDefault="00000000"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B7B5E" w14:textId="0AA16358" w:rsidR="00000000"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000000" w:rsidRDefault="00000000"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FA7113" w14:textId="77777777" w:rsidR="00204075" w:rsidRDefault="00204075">
      <w:pPr>
        <w:spacing w:line="240" w:lineRule="auto"/>
      </w:pPr>
      <w:r>
        <w:separator/>
      </w:r>
    </w:p>
  </w:footnote>
  <w:footnote w:type="continuationSeparator" w:id="0">
    <w:p w14:paraId="3953707C" w14:textId="77777777" w:rsidR="00204075" w:rsidRDefault="0020407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A4CE8"/>
    <w:rsid w:val="00204075"/>
    <w:rsid w:val="002429DD"/>
    <w:rsid w:val="002663E6"/>
    <w:rsid w:val="003D447D"/>
    <w:rsid w:val="003D47DD"/>
    <w:rsid w:val="004B5CBB"/>
    <w:rsid w:val="004E11D4"/>
    <w:rsid w:val="00514462"/>
    <w:rsid w:val="005520ED"/>
    <w:rsid w:val="005A0D0D"/>
    <w:rsid w:val="00670841"/>
    <w:rsid w:val="00685D31"/>
    <w:rsid w:val="006912BF"/>
    <w:rsid w:val="006A41D0"/>
    <w:rsid w:val="006B08D5"/>
    <w:rsid w:val="006E6857"/>
    <w:rsid w:val="00804498"/>
    <w:rsid w:val="00914C56"/>
    <w:rsid w:val="00950729"/>
    <w:rsid w:val="009854A9"/>
    <w:rsid w:val="009E033F"/>
    <w:rsid w:val="00BB6328"/>
    <w:rsid w:val="00D65199"/>
    <w:rsid w:val="00D8098C"/>
    <w:rsid w:val="00DF7693"/>
    <w:rsid w:val="00ED48A3"/>
    <w:rsid w:val="00EF4B9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3.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F20111-77FD-4F18-8E31-D737874646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4425</Words>
  <Characters>25229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29595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擎 王</cp:lastModifiedBy>
  <cp:revision>3</cp:revision>
  <cp:lastPrinted>2021-09-28T07:08:00Z</cp:lastPrinted>
  <dcterms:created xsi:type="dcterms:W3CDTF">2022-04-07T08:09:00Z</dcterms:created>
  <dcterms:modified xsi:type="dcterms:W3CDTF">2024-07-10T23:41:00Z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