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73017" w14:textId="449FDA2F" w:rsidR="00B700B5" w:rsidRPr="00464E78" w:rsidRDefault="00B700B5"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Detailed methodology of model construction</w:t>
      </w:r>
      <w:r w:rsidR="001550C5" w:rsidRPr="00464E78">
        <w:rPr>
          <w:rFonts w:ascii="Times New Roman" w:eastAsia="宋体" w:hAnsi="Times New Roman" w:cs="Times New Roman"/>
          <w:b/>
          <w:bCs/>
          <w:sz w:val="24"/>
          <w:szCs w:val="24"/>
        </w:rPr>
        <w:t xml:space="preserve"> and validation</w:t>
      </w:r>
    </w:p>
    <w:p w14:paraId="67887902" w14:textId="151F5D9E" w:rsidR="00BF54D9" w:rsidRPr="00464E78" w:rsidRDefault="00BF54D9"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Cox Regression Model</w:t>
      </w:r>
    </w:p>
    <w:p w14:paraId="79973F3A" w14:textId="1D587ACE"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 xml:space="preserve">The Cox regression model can be expressed by the </w:t>
      </w:r>
      <w:r w:rsidRPr="00464E78">
        <w:rPr>
          <w:rFonts w:ascii="Times New Roman" w:eastAsia="宋体" w:hAnsi="Times New Roman" w:cs="Times New Roman"/>
          <w:i/>
          <w:iCs/>
          <w:sz w:val="24"/>
          <w:szCs w:val="24"/>
        </w:rPr>
        <w:t>hazard function</w:t>
      </w:r>
      <w:r w:rsidRPr="00464E78">
        <w:rPr>
          <w:rFonts w:ascii="Times New Roman" w:eastAsia="宋体" w:hAnsi="Times New Roman" w:cs="Times New Roman"/>
          <w:sz w:val="24"/>
          <w:szCs w:val="24"/>
        </w:rPr>
        <w:t xml:space="preserve"> denoted by </w:t>
      </w:r>
      <w:r w:rsidRPr="00464E78">
        <w:rPr>
          <w:rFonts w:ascii="Times New Roman" w:eastAsia="宋体" w:hAnsi="Times New Roman" w:cs="Times New Roman"/>
          <w:i/>
          <w:iCs/>
          <w:sz w:val="24"/>
          <w:szCs w:val="24"/>
        </w:rPr>
        <w:t>h (t)</w:t>
      </w:r>
      <w:r w:rsidRPr="00464E78">
        <w:rPr>
          <w:rFonts w:ascii="Times New Roman" w:eastAsia="宋体" w:hAnsi="Times New Roman" w:cs="Times New Roman"/>
          <w:sz w:val="24"/>
          <w:szCs w:val="24"/>
        </w:rPr>
        <w:t>, which can be defined as formula</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&lt;EndNote&gt;&lt;Cite&gt;&lt;Author&gt;Andersen&lt;/Author&gt;&lt;Year&gt;1982&lt;/Year&gt;&lt;RecNum&gt;2299&lt;/RecNum&gt;&lt;DisplayText&gt;&lt;style face="superscript"&gt;1&lt;/style&gt;&lt;/DisplayText&gt;&lt;record&gt;&lt;rec-number&gt;2299&lt;/rec-number&gt;&lt;foreign-keys&gt;&lt;key app="EN" db-id="srrwaxseaexppeeeatr52v5vxzfxeer2vrr0" timestamp="1703487135"&gt;2299&lt;/key&gt;&lt;/foreign-keys&gt;&lt;ref-type name="Journal Article"&gt;17&lt;/ref-type&gt;&lt;contributors&gt;&lt;authors&gt;&lt;author&gt;Andersen, P. K.&lt;/author&gt;&lt;author&gt;Gill, R. D.&lt;/author&gt;&lt;/authors&gt;&lt;/contributors&gt;&lt;titles&gt;&lt;title&gt;Cox&amp;apos;s Regression Model for Counting Processes: A Large Sample Study&lt;/title&gt;&lt;secondary-title&gt;The Annals of Statistics&lt;/secondary-title&gt;&lt;/titles&gt;&lt;periodical&gt;&lt;full-title&gt;The Annals of Statistics&lt;/full-title&gt;&lt;/periodical&gt;&lt;pages&gt;1100-1120, 21&lt;/pages&gt;&lt;volume&gt;10&lt;/volume&gt;&lt;number&gt;4&lt;/number&gt;&lt;dates&gt;&lt;year&gt;1982&lt;/year&gt;&lt;/dates&gt;&lt;urls&gt;&lt;related-urls&gt;&lt;url&gt;https://doi.org/10.1214/aos/1176345976&lt;/url&gt;&lt;/related-urls&gt;&lt;/urls&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1</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3A619DCA" w14:textId="77777777" w:rsidR="00BF54D9" w:rsidRPr="00464E78" w:rsidRDefault="00BF54D9" w:rsidP="00BF54D9">
      <w:pPr>
        <w:spacing w:line="360" w:lineRule="auto"/>
        <w:rPr>
          <w:rFonts w:ascii="Times New Roman" w:eastAsia="宋体" w:hAnsi="Times New Roman" w:cs="Times New Roman"/>
          <w:sz w:val="24"/>
          <w:szCs w:val="24"/>
        </w:rPr>
      </w:pPr>
      <m:oMathPara>
        <m:oMath>
          <m:r>
            <w:rPr>
              <w:rFonts w:ascii="Cambria Math" w:eastAsia="宋体" w:hAnsi="Cambria Math" w:cs="Times New Roman"/>
              <w:sz w:val="24"/>
              <w:szCs w:val="24"/>
            </w:rPr>
            <m:t>h</m:t>
          </m:r>
          <m:d>
            <m:dPr>
              <m:ctrlPr>
                <w:rPr>
                  <w:rFonts w:ascii="Cambria Math" w:eastAsia="宋体" w:hAnsi="Cambria Math" w:cs="Times New Roman"/>
                  <w:i/>
                  <w:sz w:val="24"/>
                  <w:szCs w:val="24"/>
                </w:rPr>
              </m:ctrlPr>
            </m:dPr>
            <m:e>
              <m:r>
                <w:rPr>
                  <w:rFonts w:ascii="Cambria Math" w:eastAsia="宋体" w:hAnsi="Cambria Math" w:cs="Times New Roman"/>
                  <w:sz w:val="24"/>
                  <w:szCs w:val="24"/>
                </w:rPr>
                <m:t>t|x</m:t>
              </m:r>
            </m:e>
          </m:d>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h</m:t>
              </m:r>
            </m:e>
            <m:sub>
              <m:r>
                <w:rPr>
                  <w:rFonts w:ascii="Cambria Math" w:eastAsia="宋体" w:hAnsi="Cambria Math" w:cs="Times New Roman"/>
                  <w:sz w:val="24"/>
                  <w:szCs w:val="24"/>
                </w:rPr>
                <m:t>0</m:t>
              </m:r>
            </m:sub>
          </m:sSub>
          <m:r>
            <w:rPr>
              <w:rFonts w:ascii="Cambria Math" w:eastAsia="宋体" w:hAnsi="Cambria Math" w:cs="Times New Roman"/>
              <w:sz w:val="24"/>
              <w:szCs w:val="24"/>
            </w:rPr>
            <m:t>(t)</m:t>
          </m:r>
          <m:r>
            <m:rPr>
              <m:sty m:val="p"/>
            </m:rPr>
            <w:rPr>
              <w:rFonts w:ascii="Cambria Math" w:eastAsia="宋体" w:hAnsi="Cambria Math" w:cs="Times New Roman"/>
              <w:sz w:val="24"/>
              <w:szCs w:val="24"/>
            </w:rPr>
            <m:t>exp⁡</m:t>
          </m:r>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1</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1</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2</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2</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k</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k</m:t>
              </m:r>
            </m:sub>
          </m:sSub>
          <m:r>
            <w:rPr>
              <w:rFonts w:ascii="Cambria Math" w:eastAsia="宋体" w:hAnsi="Cambria Math" w:cs="Times New Roman"/>
              <w:sz w:val="24"/>
              <w:szCs w:val="24"/>
            </w:rPr>
            <m:t>)</m:t>
          </m:r>
        </m:oMath>
      </m:oMathPara>
    </w:p>
    <w:p w14:paraId="4DEF22D4" w14:textId="77777777"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 xml:space="preserve">where </w:t>
      </w:r>
      <w:r w:rsidRPr="00464E78">
        <w:rPr>
          <w:rFonts w:ascii="Times New Roman" w:eastAsia="宋体" w:hAnsi="Times New Roman" w:cs="Times New Roman"/>
          <w:i/>
          <w:iCs/>
          <w:sz w:val="24"/>
          <w:szCs w:val="24"/>
        </w:rPr>
        <w:t xml:space="preserve">t </w:t>
      </w:r>
      <w:r w:rsidRPr="00464E78">
        <w:rPr>
          <w:rFonts w:ascii="Times New Roman" w:eastAsia="宋体" w:hAnsi="Times New Roman" w:cs="Times New Roman"/>
          <w:sz w:val="24"/>
          <w:szCs w:val="24"/>
        </w:rPr>
        <w:t xml:space="preserve">represents the survival time, </w:t>
      </w:r>
      <w:r w:rsidRPr="00464E78">
        <w:rPr>
          <w:rFonts w:ascii="Times New Roman" w:eastAsia="宋体" w:hAnsi="Times New Roman" w:cs="Times New Roman"/>
          <w:i/>
          <w:iCs/>
          <w:sz w:val="24"/>
          <w:szCs w:val="24"/>
        </w:rPr>
        <w:t>h</w:t>
      </w:r>
      <w:r w:rsidRPr="00464E78">
        <w:rPr>
          <w:rFonts w:ascii="Times New Roman" w:eastAsia="宋体" w:hAnsi="Times New Roman" w:cs="Times New Roman"/>
          <w:i/>
          <w:iCs/>
          <w:sz w:val="24"/>
          <w:szCs w:val="24"/>
          <w:vertAlign w:val="subscript"/>
        </w:rPr>
        <w:t>0</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is the baseline survival function when all of the predictors are equal to zero. The coefficients (</w:t>
      </w:r>
      <w:r w:rsidRPr="00464E78">
        <w:rPr>
          <w:rFonts w:ascii="Times New Roman" w:eastAsia="宋体" w:hAnsi="Times New Roman" w:cs="Times New Roman"/>
          <w:i/>
          <w:iCs/>
          <w:sz w:val="24"/>
          <w:szCs w:val="24"/>
        </w:rPr>
        <w:t>α</w:t>
      </w:r>
      <w:r w:rsidRPr="00464E78">
        <w:rPr>
          <w:rFonts w:ascii="Times New Roman" w:eastAsia="宋体" w:hAnsi="Times New Roman" w:cs="Times New Roman"/>
          <w:sz w:val="24"/>
          <w:szCs w:val="24"/>
          <w:vertAlign w:val="subscript"/>
        </w:rPr>
        <w:t>1</w:t>
      </w:r>
      <w:r w:rsidRPr="00464E78">
        <w:rPr>
          <w:rFonts w:ascii="Times New Roman" w:eastAsia="宋体" w:hAnsi="Times New Roman" w:cs="Times New Roman"/>
          <w:sz w:val="24"/>
          <w:szCs w:val="24"/>
        </w:rPr>
        <w:t xml:space="preserve">, </w:t>
      </w:r>
      <w:r w:rsidRPr="00464E78">
        <w:rPr>
          <w:rFonts w:ascii="Times New Roman" w:eastAsia="宋体" w:hAnsi="Times New Roman" w:cs="Times New Roman"/>
          <w:i/>
          <w:iCs/>
          <w:sz w:val="24"/>
          <w:szCs w:val="24"/>
        </w:rPr>
        <w:t>α</w:t>
      </w:r>
      <w:r w:rsidRPr="00464E78">
        <w:rPr>
          <w:rFonts w:ascii="Times New Roman" w:eastAsia="宋体" w:hAnsi="Times New Roman" w:cs="Times New Roman"/>
          <w:sz w:val="24"/>
          <w:szCs w:val="24"/>
          <w:vertAlign w:val="subscript"/>
        </w:rPr>
        <w:t>2</w:t>
      </w:r>
      <w:r w:rsidRPr="00464E78">
        <w:rPr>
          <w:rFonts w:ascii="Times New Roman" w:eastAsia="宋体" w:hAnsi="Times New Roman" w:cs="Times New Roman"/>
          <w:sz w:val="24"/>
          <w:szCs w:val="24"/>
        </w:rPr>
        <w:t xml:space="preserve">, ... , </w:t>
      </w:r>
      <w:r w:rsidRPr="00464E78">
        <w:rPr>
          <w:rFonts w:ascii="Times New Roman" w:eastAsia="宋体" w:hAnsi="Times New Roman" w:cs="Times New Roman"/>
          <w:i/>
          <w:iCs/>
          <w:sz w:val="24"/>
          <w:szCs w:val="24"/>
        </w:rPr>
        <w:t>α</w:t>
      </w:r>
      <w:r w:rsidRPr="00464E78">
        <w:rPr>
          <w:rFonts w:ascii="Times New Roman" w:eastAsia="宋体" w:hAnsi="Times New Roman" w:cs="Times New Roman"/>
          <w:sz w:val="24"/>
          <w:szCs w:val="24"/>
          <w:vertAlign w:val="subscript"/>
        </w:rPr>
        <w:t>k</w:t>
      </w:r>
      <w:r w:rsidRPr="00464E78">
        <w:rPr>
          <w:rFonts w:ascii="Times New Roman" w:eastAsia="宋体" w:hAnsi="Times New Roman" w:cs="Times New Roman"/>
          <w:sz w:val="24"/>
          <w:szCs w:val="24"/>
        </w:rPr>
        <w:t>) measure the effect size of predictors (</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1</w:t>
      </w:r>
      <w:r w:rsidRPr="00464E78">
        <w:rPr>
          <w:rFonts w:ascii="Times New Roman" w:eastAsia="宋体" w:hAnsi="Times New Roman" w:cs="Times New Roman"/>
          <w:sz w:val="24"/>
          <w:szCs w:val="24"/>
        </w:rPr>
        <w:t xml:space="preserve">, </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2</w:t>
      </w:r>
      <w:r w:rsidRPr="00464E78">
        <w:rPr>
          <w:rFonts w:ascii="Times New Roman" w:eastAsia="宋体" w:hAnsi="Times New Roman" w:cs="Times New Roman"/>
          <w:sz w:val="24"/>
          <w:szCs w:val="24"/>
        </w:rPr>
        <w:t xml:space="preserve">, … , </w:t>
      </w:r>
      <w:proofErr w:type="spellStart"/>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k</w:t>
      </w:r>
      <w:proofErr w:type="spellEnd"/>
      <w:r w:rsidRPr="00464E78">
        <w:rPr>
          <w:rFonts w:ascii="Times New Roman" w:eastAsia="宋体" w:hAnsi="Times New Roman" w:cs="Times New Roman"/>
          <w:sz w:val="24"/>
          <w:szCs w:val="24"/>
        </w:rPr>
        <w:t>).</w:t>
      </w:r>
    </w:p>
    <w:p w14:paraId="6A17EDB0" w14:textId="77777777" w:rsidR="00BF54D9" w:rsidRPr="00464E78" w:rsidRDefault="00BF54D9"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Flexible Parametric Survival Model</w:t>
      </w:r>
    </w:p>
    <w:p w14:paraId="33066E80" w14:textId="1249C44A"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 xml:space="preserve">Compared with traditional models such as the Cox proportional hazards model, the flexible parametric survival model assumes a constant hazard ratio over time, which allows for more flexibility in modeling the baseline </w:t>
      </w:r>
      <w:r w:rsidRPr="00464E78">
        <w:rPr>
          <w:rFonts w:ascii="Times New Roman" w:eastAsia="宋体" w:hAnsi="Times New Roman" w:cs="Times New Roman"/>
          <w:i/>
          <w:iCs/>
          <w:sz w:val="24"/>
          <w:szCs w:val="24"/>
        </w:rPr>
        <w:t>hazard function</w:t>
      </w:r>
      <w:r w:rsidRPr="00464E78">
        <w:rPr>
          <w:rFonts w:ascii="Times New Roman" w:eastAsia="宋体" w:hAnsi="Times New Roman" w:cs="Times New Roman"/>
          <w:sz w:val="24"/>
          <w:szCs w:val="24"/>
        </w:rPr>
        <w:t>.</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applied flexible parametric survival model in the study is the Royston-Parmar model. This model is based on restricted cubic splines, which can be defined as formula</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&lt;EndNote&gt;&lt;Cite&gt;&lt;Author&gt;Lambert&lt;/Author&gt;&lt;Year&gt;2009&lt;/Year&gt;&lt;RecNum&gt;2298&lt;/RecNum&gt;&lt;DisplayText&gt;&lt;style face="superscript"&gt;2&lt;/style&gt;&lt;/DisplayText&gt;&lt;record&gt;&lt;rec-number&gt;2298&lt;/rec-number&gt;&lt;foreign-keys&gt;&lt;key app="EN" db-id="srrwaxseaexppeeeatr52v5vxzfxeer2vrr0" timestamp="1703487052"&gt;2298&lt;/key&gt;&lt;/foreign-keys&gt;&lt;ref-type name="Journal Article"&gt;17&lt;/ref-type&gt;&lt;contributors&gt;&lt;authors&gt;&lt;author&gt;Lambert, Paul C.&lt;/author&gt;&lt;author&gt;Royston, Patrick&lt;/author&gt;&lt;/authors&gt;&lt;/contributors&gt;&lt;titles&gt;&lt;title&gt;Further Development of Flexible Parametric Models for Survival Analysis&lt;/title&gt;&lt;secondary-title&gt;The Stata Journal&lt;/secondary-title&gt;&lt;/titles&gt;&lt;periodical&gt;&lt;full-title&gt;The Stata Journal&lt;/full-title&gt;&lt;/periodical&gt;&lt;pages&gt;265-290&lt;/pages&gt;&lt;volume&gt;9&lt;/volume&gt;&lt;number&gt;2&lt;/number&gt;&lt;keywords&gt;&lt;keyword&gt;st0165,stpm2,survival analysis,relative survival,time-dependent effects&lt;/keyword&gt;&lt;/keywords&gt;&lt;dates&gt;&lt;year&gt;2009&lt;/year&gt;&lt;/dates&gt;&lt;urls&gt;&lt;related-urls&gt;&lt;url&gt;https://journals.sagepub.com/doi/abs/10.1177/1536867X0900900206&lt;/url&gt;&lt;/related-urls&gt;&lt;/urls&gt;&lt;electronic-resource-num&gt;10.1177/1536867x0900900206&lt;/electronic-resource-num&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2</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18C9FE1E" w14:textId="77777777" w:rsidR="00BF54D9" w:rsidRPr="00464E78" w:rsidRDefault="00BF54D9" w:rsidP="00BF54D9">
      <w:pPr>
        <w:spacing w:line="360" w:lineRule="auto"/>
        <w:rPr>
          <w:rFonts w:ascii="Times New Roman" w:eastAsia="宋体" w:hAnsi="Times New Roman" w:cs="Times New Roman"/>
          <w:sz w:val="24"/>
          <w:szCs w:val="24"/>
        </w:rPr>
      </w:pPr>
      <m:oMathPara>
        <m:oMath>
          <m:r>
            <w:rPr>
              <w:rFonts w:ascii="Cambria Math" w:eastAsia="宋体" w:hAnsi="Cambria Math" w:cs="Times New Roman"/>
              <w:sz w:val="24"/>
              <w:szCs w:val="24"/>
            </w:rPr>
            <m:t>h</m:t>
          </m:r>
          <m:d>
            <m:dPr>
              <m:ctrlPr>
                <w:rPr>
                  <w:rFonts w:ascii="Cambria Math" w:eastAsia="宋体" w:hAnsi="Cambria Math" w:cs="Times New Roman"/>
                  <w:i/>
                  <w:sz w:val="24"/>
                  <w:szCs w:val="24"/>
                </w:rPr>
              </m:ctrlPr>
            </m:dPr>
            <m:e>
              <m:r>
                <w:rPr>
                  <w:rFonts w:ascii="Cambria Math" w:eastAsia="宋体" w:hAnsi="Cambria Math" w:cs="Times New Roman"/>
                  <w:sz w:val="24"/>
                  <w:szCs w:val="24"/>
                </w:rPr>
                <m:t>t</m:t>
              </m:r>
            </m:e>
            <m:e>
              <m:r>
                <w:rPr>
                  <w:rFonts w:ascii="Cambria Math" w:eastAsia="宋体" w:hAnsi="Cambria Math" w:cs="Times New Roman"/>
                  <w:sz w:val="24"/>
                  <w:szCs w:val="24"/>
                </w:rPr>
                <m:t>x</m:t>
              </m:r>
            </m:e>
          </m:d>
          <m:r>
            <w:rPr>
              <w:rFonts w:ascii="Cambria Math" w:eastAsia="宋体" w:hAnsi="Cambria Math" w:cs="Times New Roman"/>
              <w:sz w:val="24"/>
              <w:szCs w:val="24"/>
            </w:rPr>
            <m:t>=</m:t>
          </m:r>
          <m:sSup>
            <m:sSupPr>
              <m:ctrlPr>
                <w:rPr>
                  <w:rFonts w:ascii="Cambria Math" w:eastAsia="宋体" w:hAnsi="Cambria Math" w:cs="Times New Roman"/>
                  <w:i/>
                  <w:sz w:val="24"/>
                  <w:szCs w:val="24"/>
                </w:rPr>
              </m:ctrlPr>
            </m:sSupPr>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h</m:t>
                  </m:r>
                </m:e>
                <m:sub>
                  <m:r>
                    <w:rPr>
                      <w:rFonts w:ascii="Cambria Math" w:eastAsia="宋体" w:hAnsi="Cambria Math" w:cs="Times New Roman"/>
                      <w:sz w:val="24"/>
                      <w:szCs w:val="24"/>
                    </w:rPr>
                    <m:t>0</m:t>
                  </m:r>
                </m:sub>
              </m:sSub>
              <m:d>
                <m:dPr>
                  <m:ctrlPr>
                    <w:rPr>
                      <w:rFonts w:ascii="Cambria Math" w:eastAsia="宋体" w:hAnsi="Cambria Math" w:cs="Times New Roman"/>
                      <w:i/>
                      <w:sz w:val="24"/>
                      <w:szCs w:val="24"/>
                    </w:rPr>
                  </m:ctrlPr>
                </m:dPr>
                <m:e>
                  <m:r>
                    <w:rPr>
                      <w:rFonts w:ascii="Cambria Math" w:eastAsia="宋体" w:hAnsi="Cambria Math" w:cs="Times New Roman"/>
                      <w:sz w:val="24"/>
                      <w:szCs w:val="24"/>
                    </w:rPr>
                    <m:t>t</m:t>
                  </m:r>
                </m:e>
              </m:d>
            </m:e>
            <m:sup>
              <m:r>
                <w:rPr>
                  <w:rFonts w:ascii="Cambria Math" w:eastAsia="宋体" w:hAnsi="Cambria Math" w:cs="Times New Roman"/>
                  <w:sz w:val="24"/>
                  <w:szCs w:val="24"/>
                </w:rPr>
                <m:t>exp</m:t>
              </m:r>
              <m:r>
                <m:rPr>
                  <m:sty m:val="p"/>
                </m:rPr>
                <w:rPr>
                  <w:rFonts w:ascii="Cambria Math" w:eastAsia="宋体" w:hAnsi="Cambria Math" w:cs="Times New Roman"/>
                  <w:sz w:val="24"/>
                  <w:szCs w:val="24"/>
                </w:rPr>
                <m:t>⁡</m:t>
              </m:r>
              <m:d>
                <m:dPr>
                  <m:ctrlPr>
                    <w:rPr>
                      <w:rFonts w:ascii="Cambria Math" w:eastAsia="宋体" w:hAnsi="Cambria Math" w:cs="Times New Roman"/>
                      <w:i/>
                      <w:sz w:val="24"/>
                      <w:szCs w:val="24"/>
                    </w:rPr>
                  </m:ctrlPr>
                </m:dPr>
                <m:e>
                  <m:r>
                    <w:rPr>
                      <w:rFonts w:ascii="Cambria Math" w:eastAsia="宋体" w:hAnsi="Cambria Math" w:cs="Times New Roman"/>
                      <w:sz w:val="24"/>
                      <w:szCs w:val="24"/>
                    </w:rPr>
                    <m:t>βf(x)</m:t>
                  </m:r>
                </m:e>
              </m:d>
            </m:sup>
          </m:sSup>
        </m:oMath>
      </m:oMathPara>
    </w:p>
    <w:p w14:paraId="182681AB" w14:textId="77777777" w:rsidR="00BF54D9" w:rsidRPr="00464E78" w:rsidRDefault="00BF54D9" w:rsidP="00BF54D9">
      <w:pPr>
        <w:spacing w:line="360" w:lineRule="auto"/>
        <w:rPr>
          <w:rFonts w:ascii="Times New Roman" w:hAnsi="Times New Roman" w:cs="Times New Roman"/>
          <w:sz w:val="24"/>
          <w:szCs w:val="24"/>
        </w:rPr>
      </w:pPr>
      <w:r w:rsidRPr="00464E78">
        <w:rPr>
          <w:rFonts w:ascii="Times New Roman" w:eastAsia="宋体" w:hAnsi="Times New Roman" w:cs="Times New Roman"/>
          <w:sz w:val="24"/>
          <w:szCs w:val="24"/>
        </w:rPr>
        <w:t xml:space="preserve">where </w:t>
      </w:r>
      <w:r w:rsidRPr="00464E78">
        <w:rPr>
          <w:rFonts w:ascii="Times New Roman" w:eastAsia="宋体" w:hAnsi="Times New Roman" w:cs="Times New Roman"/>
          <w:i/>
          <w:iCs/>
          <w:sz w:val="24"/>
          <w:szCs w:val="24"/>
        </w:rPr>
        <w:t xml:space="preserve">h </w:t>
      </w:r>
      <w:r w:rsidRPr="00464E78">
        <w:rPr>
          <w:rFonts w:ascii="Times New Roman" w:eastAsia="宋体" w:hAnsi="Times New Roman" w:cs="Times New Roman"/>
          <w:sz w:val="24"/>
          <w:szCs w:val="24"/>
        </w:rPr>
        <w:t>(</w:t>
      </w:r>
      <w:proofErr w:type="spellStart"/>
      <w:r w:rsidRPr="00464E78">
        <w:rPr>
          <w:rFonts w:ascii="Times New Roman" w:eastAsia="宋体" w:hAnsi="Times New Roman" w:cs="Times New Roman"/>
          <w:i/>
          <w:iCs/>
          <w:sz w:val="24"/>
          <w:szCs w:val="24"/>
        </w:rPr>
        <w:t>t|x</w:t>
      </w:r>
      <w:proofErr w:type="spellEnd"/>
      <w:r w:rsidRPr="00464E78">
        <w:rPr>
          <w:rFonts w:ascii="Times New Roman" w:eastAsia="宋体" w:hAnsi="Times New Roman" w:cs="Times New Roman"/>
          <w:sz w:val="24"/>
          <w:szCs w:val="24"/>
        </w:rPr>
        <w:t>)</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 xml:space="preserve">is the survival function at time </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given the covariates </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rPr>
        <w:t xml:space="preserve">. The </w:t>
      </w:r>
      <w:r w:rsidRPr="00464E78">
        <w:rPr>
          <w:rFonts w:ascii="Times New Roman" w:eastAsia="宋体" w:hAnsi="Times New Roman" w:cs="Times New Roman"/>
          <w:i/>
          <w:iCs/>
          <w:sz w:val="24"/>
          <w:szCs w:val="24"/>
        </w:rPr>
        <w:t>h</w:t>
      </w:r>
      <w:r w:rsidRPr="00464E78">
        <w:rPr>
          <w:rFonts w:ascii="Times New Roman" w:eastAsia="宋体" w:hAnsi="Times New Roman" w:cs="Times New Roman"/>
          <w:sz w:val="24"/>
          <w:szCs w:val="24"/>
          <w:vertAlign w:val="subscript"/>
        </w:rPr>
        <w:t>0</w:t>
      </w:r>
      <w:r w:rsidRPr="00464E78">
        <w:rPr>
          <w:rFonts w:ascii="Times New Roman" w:eastAsia="宋体" w:hAnsi="Times New Roman" w:cs="Times New Roman"/>
          <w:sz w:val="24"/>
          <w:szCs w:val="24"/>
        </w:rPr>
        <w:t>(</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is the baseline survival function, and it is modeled using restricted cubic splines.</w:t>
      </w:r>
      <w:r w:rsidRPr="00464E78">
        <w:rPr>
          <w:rFonts w:ascii="Times New Roman" w:hAnsi="Times New Roman" w:cs="Times New Roman"/>
          <w:sz w:val="24"/>
          <w:szCs w:val="24"/>
        </w:rPr>
        <w:t xml:space="preserve"> The </w:t>
      </w:r>
      <w:r w:rsidRPr="00464E78">
        <w:rPr>
          <w:rFonts w:ascii="Times New Roman" w:hAnsi="Times New Roman" w:cs="Times New Roman"/>
          <w:i/>
          <w:iCs/>
          <w:sz w:val="24"/>
          <w:szCs w:val="24"/>
        </w:rPr>
        <w:t>exp</w:t>
      </w:r>
      <w:r w:rsidRPr="00464E78">
        <w:rPr>
          <w:rFonts w:ascii="Times New Roman" w:hAnsi="Times New Roman" w:cs="Times New Roman"/>
          <w:sz w:val="24"/>
          <w:szCs w:val="24"/>
        </w:rPr>
        <w:t>(</w:t>
      </w:r>
      <w:r w:rsidRPr="00464E78">
        <w:rPr>
          <w:rFonts w:ascii="Times New Roman" w:hAnsi="Times New Roman" w:cs="Times New Roman"/>
          <w:i/>
          <w:iCs/>
          <w:sz w:val="24"/>
          <w:szCs w:val="24"/>
        </w:rPr>
        <w:t>β*f</w:t>
      </w:r>
      <w:r w:rsidRPr="00464E78">
        <w:rPr>
          <w:rFonts w:ascii="Times New Roman" w:hAnsi="Times New Roman" w:cs="Times New Roman"/>
          <w:sz w:val="24"/>
          <w:szCs w:val="24"/>
        </w:rPr>
        <w:t>(</w:t>
      </w:r>
      <w:r w:rsidRPr="00464E78">
        <w:rPr>
          <w:rFonts w:ascii="Times New Roman" w:hAnsi="Times New Roman" w:cs="Times New Roman"/>
          <w:i/>
          <w:iCs/>
          <w:sz w:val="24"/>
          <w:szCs w:val="24"/>
        </w:rPr>
        <w:t>x</w:t>
      </w:r>
      <w:r w:rsidRPr="00464E78">
        <w:rPr>
          <w:rFonts w:ascii="Times New Roman" w:hAnsi="Times New Roman" w:cs="Times New Roman"/>
          <w:sz w:val="24"/>
          <w:szCs w:val="24"/>
        </w:rPr>
        <w:t xml:space="preserve">)) represents the relative risk associated with the covariates </w:t>
      </w:r>
      <w:r w:rsidRPr="00464E78">
        <w:rPr>
          <w:rFonts w:ascii="Times New Roman" w:hAnsi="Times New Roman" w:cs="Times New Roman"/>
          <w:i/>
          <w:iCs/>
          <w:sz w:val="24"/>
          <w:szCs w:val="24"/>
        </w:rPr>
        <w:t>x</w:t>
      </w:r>
      <w:r w:rsidRPr="00464E78">
        <w:rPr>
          <w:rFonts w:ascii="Times New Roman" w:hAnsi="Times New Roman" w:cs="Times New Roman"/>
          <w:sz w:val="24"/>
          <w:szCs w:val="24"/>
        </w:rPr>
        <w:t xml:space="preserve">. The </w:t>
      </w:r>
      <w:r w:rsidRPr="00464E78">
        <w:rPr>
          <w:rFonts w:ascii="Times New Roman" w:hAnsi="Times New Roman" w:cs="Times New Roman"/>
          <w:i/>
          <w:iCs/>
          <w:sz w:val="24"/>
          <w:szCs w:val="24"/>
        </w:rPr>
        <w:t>β</w:t>
      </w:r>
      <w:r w:rsidRPr="00464E78">
        <w:rPr>
          <w:rFonts w:ascii="Times New Roman" w:hAnsi="Times New Roman" w:cs="Times New Roman"/>
          <w:sz w:val="24"/>
          <w:szCs w:val="24"/>
        </w:rPr>
        <w:t xml:space="preserve"> is a vector of regression coefficients associated with the covariates </w:t>
      </w:r>
      <w:r w:rsidRPr="00464E78">
        <w:rPr>
          <w:rFonts w:ascii="Times New Roman" w:hAnsi="Times New Roman" w:cs="Times New Roman"/>
          <w:i/>
          <w:iCs/>
          <w:sz w:val="24"/>
          <w:szCs w:val="24"/>
        </w:rPr>
        <w:t>x</w:t>
      </w:r>
      <w:r w:rsidRPr="00464E78">
        <w:rPr>
          <w:rFonts w:ascii="Times New Roman" w:hAnsi="Times New Roman" w:cs="Times New Roman"/>
          <w:sz w:val="24"/>
          <w:szCs w:val="24"/>
        </w:rPr>
        <w:t xml:space="preserve">. The </w:t>
      </w:r>
      <w:r w:rsidRPr="00464E78">
        <w:rPr>
          <w:rFonts w:ascii="Times New Roman" w:hAnsi="Times New Roman" w:cs="Times New Roman"/>
          <w:i/>
          <w:iCs/>
          <w:sz w:val="24"/>
          <w:szCs w:val="24"/>
        </w:rPr>
        <w:t>f</w:t>
      </w:r>
      <w:r w:rsidRPr="00464E78">
        <w:rPr>
          <w:rFonts w:ascii="Times New Roman" w:hAnsi="Times New Roman" w:cs="Times New Roman"/>
          <w:sz w:val="24"/>
          <w:szCs w:val="24"/>
        </w:rPr>
        <w:t>(</w:t>
      </w:r>
      <w:r w:rsidRPr="00464E78">
        <w:rPr>
          <w:rFonts w:ascii="Times New Roman" w:hAnsi="Times New Roman" w:cs="Times New Roman"/>
          <w:i/>
          <w:iCs/>
          <w:sz w:val="24"/>
          <w:szCs w:val="24"/>
        </w:rPr>
        <w:t>x</w:t>
      </w:r>
      <w:r w:rsidRPr="00464E78">
        <w:rPr>
          <w:rFonts w:ascii="Times New Roman" w:hAnsi="Times New Roman" w:cs="Times New Roman"/>
          <w:sz w:val="24"/>
          <w:szCs w:val="24"/>
        </w:rPr>
        <w:t xml:space="preserve">) is a vector of flexible parametric functions, typically representing the effect of covariates modeled using restricted cubic splines or other flexible basis functions. </w:t>
      </w:r>
      <w:r w:rsidRPr="00464E78">
        <w:rPr>
          <w:rFonts w:ascii="Times New Roman" w:eastAsia="宋体" w:hAnsi="Times New Roman" w:cs="Times New Roman"/>
          <w:sz w:val="24"/>
          <w:szCs w:val="24"/>
        </w:rPr>
        <w:t>The use of restricted cubic splines allows the model to capture complex and non-linear relationships between the covariates and the hazard function. The number and placement of knots in the splines are parameters that need to be determined during the model fitting process.</w:t>
      </w:r>
      <w:r w:rsidRPr="00464E78">
        <w:rPr>
          <w:rFonts w:ascii="Times New Roman" w:hAnsi="Times New Roman" w:cs="Times New Roman"/>
          <w:sz w:val="24"/>
          <w:szCs w:val="24"/>
        </w:rPr>
        <w:t xml:space="preserve"> </w:t>
      </w:r>
    </w:p>
    <w:p w14:paraId="18493C83" w14:textId="77777777" w:rsidR="00BF54D9" w:rsidRPr="00464E78" w:rsidRDefault="00BF54D9"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Survival Random Forest</w:t>
      </w:r>
    </w:p>
    <w:p w14:paraId="4CA33AB1" w14:textId="6EC9A6CB"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The primary goal of SRF is to predict the survival function or hazard function for different groups of individuals based on a set of predictor variables.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 xml:space="preserve">Similar to traditional random forest, SRF builds an ensemble of decision trees. However, in the context of survival analysis, each tree considers both observed event times and </w:t>
      </w:r>
      <w:r w:rsidRPr="00464E78">
        <w:rPr>
          <w:rFonts w:ascii="Times New Roman" w:eastAsia="宋体" w:hAnsi="Times New Roman" w:cs="Times New Roman"/>
          <w:sz w:val="24"/>
          <w:szCs w:val="24"/>
        </w:rPr>
        <w:lastRenderedPageBreak/>
        <w:t>censored times during the construction process.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At each node of a tree, the algorithm selects a subset of variables and chooses the best split based on criteria specific to survival analysis, such as log-rank statistics or other survival-specific measures.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final prediction for a new instance is obtained by aggregating predictions from all the trees in the forest. In survival analysis, this often involves computing the cumulative hazard function or survival function based on individual tree predictions.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Similar to traditional random forests, SRF can provide measures of variable importance, indicating the contribution of each variable to the overall predictive performance.</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SRF is an ensemble method, which is not as straightforward as for some other statistical models. For a single decision tree in the SRF, the hazard function can be conceptualized as</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&lt;EndNote&gt;&lt;Cite&gt;&lt;Author&gt;Ishwaran&lt;/Author&gt;&lt;Year&gt;2008&lt;/Year&gt;&lt;RecNum&gt;2300&lt;/RecNum&gt;&lt;DisplayText&gt;&lt;style face="superscript"&gt;3&lt;/style&gt;&lt;/DisplayText&gt;&lt;record&gt;&lt;rec-number&gt;2300&lt;/rec-number&gt;&lt;foreign-keys&gt;&lt;key app="EN" db-id="srrwaxseaexppeeeatr52v5vxzfxeer2vrr0" timestamp="1703487290"&gt;2300&lt;/key&gt;&lt;/foreign-keys&gt;&lt;ref-type name="Journal Article"&gt;17&lt;/ref-type&gt;&lt;contributors&gt;&lt;authors&gt;&lt;author&gt;Ishwaran, Hemant&lt;/author&gt;&lt;author&gt;Kogalur, Udaya B.&lt;/author&gt;&lt;author&gt;Blackstone, Eugene H.&lt;/author&gt;&lt;author&gt;Lauer, Michael S.&lt;/author&gt;&lt;/authors&gt;&lt;/contributors&gt;&lt;titles&gt;&lt;title&gt;Random survival forests&lt;/title&gt;&lt;secondary-title&gt;The Annals of Applied Statistics&lt;/secondary-title&gt;&lt;/titles&gt;&lt;periodical&gt;&lt;full-title&gt;The Annals of Applied Statistics&lt;/full-title&gt;&lt;/periodical&gt;&lt;pages&gt;841-860, 20&lt;/pages&gt;&lt;volume&gt;2&lt;/volume&gt;&lt;number&gt;3&lt;/number&gt;&lt;dates&gt;&lt;year&gt;2008&lt;/year&gt;&lt;/dates&gt;&lt;urls&gt;&lt;related-urls&gt;&lt;url&gt;https://doi.org/10.1214/08-AOAS169&lt;/url&gt;&lt;/related-urls&gt;&lt;/urls&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3</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2D0F6E9F" w14:textId="77777777" w:rsidR="00BF54D9" w:rsidRPr="00464E78" w:rsidRDefault="00BF54D9" w:rsidP="00BF54D9">
      <w:pPr>
        <w:spacing w:line="360" w:lineRule="auto"/>
        <w:rPr>
          <w:rFonts w:ascii="Times New Roman" w:eastAsia="宋体" w:hAnsi="Times New Roman" w:cs="Times New Roman"/>
          <w:sz w:val="24"/>
          <w:szCs w:val="24"/>
        </w:rPr>
      </w:pPr>
      <m:oMathPara>
        <m:oMath>
          <m:r>
            <w:rPr>
              <w:rFonts w:ascii="Cambria Math" w:eastAsia="宋体" w:hAnsi="Cambria Math" w:cs="Times New Roman"/>
              <w:sz w:val="24"/>
              <w:szCs w:val="24"/>
            </w:rPr>
            <m:t>h</m:t>
          </m:r>
          <m:d>
            <m:dPr>
              <m:ctrlPr>
                <w:rPr>
                  <w:rFonts w:ascii="Cambria Math" w:eastAsia="宋体" w:hAnsi="Cambria Math" w:cs="Times New Roman"/>
                  <w:i/>
                  <w:sz w:val="24"/>
                  <w:szCs w:val="24"/>
                </w:rPr>
              </m:ctrlPr>
            </m:dPr>
            <m:e>
              <m:r>
                <w:rPr>
                  <w:rFonts w:ascii="Cambria Math" w:eastAsia="宋体" w:hAnsi="Cambria Math" w:cs="Times New Roman"/>
                  <w:sz w:val="24"/>
                  <w:szCs w:val="24"/>
                </w:rPr>
                <m:t>t|x</m:t>
              </m:r>
            </m:e>
          </m:d>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h</m:t>
              </m:r>
            </m:e>
            <m:sub>
              <m:r>
                <w:rPr>
                  <w:rFonts w:ascii="Cambria Math" w:eastAsia="宋体" w:hAnsi="Cambria Math" w:cs="Times New Roman"/>
                  <w:sz w:val="24"/>
                  <w:szCs w:val="24"/>
                </w:rPr>
                <m:t>0</m:t>
              </m:r>
            </m:sub>
          </m:sSub>
          <m:r>
            <w:rPr>
              <w:rFonts w:ascii="Cambria Math" w:eastAsia="宋体" w:hAnsi="Cambria Math" w:cs="Times New Roman"/>
              <w:sz w:val="24"/>
              <w:szCs w:val="24"/>
            </w:rPr>
            <m:t>(t)exp</m:t>
          </m:r>
          <m:r>
            <m:rPr>
              <m:sty m:val="p"/>
            </m:rPr>
            <w:rPr>
              <w:rFonts w:ascii="Cambria Math" w:eastAsia="宋体" w:hAnsi="Cambria Math" w:cs="Times New Roman"/>
              <w:sz w:val="24"/>
              <w:szCs w:val="24"/>
            </w:rPr>
            <m:t>⁡</m:t>
          </m:r>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1</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1</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2</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2</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k</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k</m:t>
              </m:r>
            </m:sub>
          </m:sSub>
          <m:r>
            <w:rPr>
              <w:rFonts w:ascii="Cambria Math" w:eastAsia="宋体" w:hAnsi="Cambria Math" w:cs="Times New Roman"/>
              <w:sz w:val="24"/>
              <w:szCs w:val="24"/>
            </w:rPr>
            <m:t>)</m:t>
          </m:r>
        </m:oMath>
      </m:oMathPara>
    </w:p>
    <w:p w14:paraId="441386D4" w14:textId="77777777"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 xml:space="preserve">where </w:t>
      </w:r>
      <w:r w:rsidRPr="00464E78">
        <w:rPr>
          <w:rFonts w:ascii="Times New Roman" w:eastAsia="宋体" w:hAnsi="Times New Roman" w:cs="Times New Roman"/>
          <w:i/>
          <w:iCs/>
          <w:sz w:val="24"/>
          <w:szCs w:val="24"/>
        </w:rPr>
        <w:t xml:space="preserve">h </w:t>
      </w:r>
      <w:r w:rsidRPr="00464E78">
        <w:rPr>
          <w:rFonts w:ascii="Times New Roman" w:eastAsia="宋体" w:hAnsi="Times New Roman" w:cs="Times New Roman"/>
          <w:sz w:val="24"/>
          <w:szCs w:val="24"/>
        </w:rPr>
        <w:t>(</w:t>
      </w:r>
      <w:proofErr w:type="spellStart"/>
      <w:r w:rsidRPr="00464E78">
        <w:rPr>
          <w:rFonts w:ascii="Times New Roman" w:eastAsia="宋体" w:hAnsi="Times New Roman" w:cs="Times New Roman"/>
          <w:i/>
          <w:iCs/>
          <w:sz w:val="24"/>
          <w:szCs w:val="24"/>
        </w:rPr>
        <w:t>t|x</w:t>
      </w:r>
      <w:proofErr w:type="spellEnd"/>
      <w:r w:rsidRPr="00464E78">
        <w:rPr>
          <w:rFonts w:ascii="Times New Roman" w:eastAsia="宋体" w:hAnsi="Times New Roman" w:cs="Times New Roman"/>
          <w:sz w:val="24"/>
          <w:szCs w:val="24"/>
        </w:rPr>
        <w:t>)</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 xml:space="preserve">is the survival function at time </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given the covariates </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rPr>
        <w:t xml:space="preserve">. The </w:t>
      </w:r>
      <w:r w:rsidRPr="00464E78">
        <w:rPr>
          <w:rFonts w:ascii="Times New Roman" w:eastAsia="宋体" w:hAnsi="Times New Roman" w:cs="Times New Roman"/>
          <w:i/>
          <w:iCs/>
          <w:sz w:val="24"/>
          <w:szCs w:val="24"/>
        </w:rPr>
        <w:t>h</w:t>
      </w:r>
      <w:r w:rsidRPr="00464E78">
        <w:rPr>
          <w:rFonts w:ascii="Times New Roman" w:eastAsia="宋体" w:hAnsi="Times New Roman" w:cs="Times New Roman"/>
          <w:i/>
          <w:iCs/>
          <w:sz w:val="24"/>
          <w:szCs w:val="24"/>
          <w:vertAlign w:val="subscript"/>
        </w:rPr>
        <w:t>0</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is the baseline survival function, The </w:t>
      </w:r>
      <w:r w:rsidRPr="00464E78">
        <w:rPr>
          <w:rFonts w:ascii="Times New Roman" w:eastAsia="宋体" w:hAnsi="Times New Roman" w:cs="Times New Roman"/>
          <w:i/>
          <w:iCs/>
          <w:sz w:val="24"/>
          <w:szCs w:val="24"/>
        </w:rPr>
        <w:t>α</w:t>
      </w:r>
      <w:r w:rsidRPr="00464E78">
        <w:rPr>
          <w:rFonts w:ascii="Times New Roman" w:eastAsia="宋体" w:hAnsi="Times New Roman" w:cs="Times New Roman"/>
          <w:sz w:val="24"/>
          <w:szCs w:val="24"/>
          <w:vertAlign w:val="subscript"/>
        </w:rPr>
        <w:t>1</w:t>
      </w:r>
      <w:r w:rsidRPr="00464E78">
        <w:rPr>
          <w:rFonts w:ascii="Times New Roman" w:eastAsia="宋体" w:hAnsi="Times New Roman" w:cs="Times New Roman"/>
          <w:sz w:val="24"/>
          <w:szCs w:val="24"/>
        </w:rPr>
        <w:t xml:space="preserve">, </w:t>
      </w:r>
      <w:r w:rsidRPr="00464E78">
        <w:rPr>
          <w:rFonts w:ascii="Times New Roman" w:eastAsia="宋体" w:hAnsi="Times New Roman" w:cs="Times New Roman"/>
          <w:i/>
          <w:iCs/>
          <w:sz w:val="24"/>
          <w:szCs w:val="24"/>
        </w:rPr>
        <w:t>α</w:t>
      </w:r>
      <w:r w:rsidRPr="00464E78">
        <w:rPr>
          <w:rFonts w:ascii="Times New Roman" w:eastAsia="宋体" w:hAnsi="Times New Roman" w:cs="Times New Roman"/>
          <w:sz w:val="24"/>
          <w:szCs w:val="24"/>
          <w:vertAlign w:val="subscript"/>
        </w:rPr>
        <w:t>2</w:t>
      </w:r>
      <w:r w:rsidRPr="00464E78">
        <w:rPr>
          <w:rFonts w:ascii="Times New Roman" w:eastAsia="宋体" w:hAnsi="Times New Roman" w:cs="Times New Roman"/>
          <w:sz w:val="24"/>
          <w:szCs w:val="24"/>
        </w:rPr>
        <w:t xml:space="preserve">, ... , </w:t>
      </w:r>
      <w:r w:rsidRPr="00464E78">
        <w:rPr>
          <w:rFonts w:ascii="Times New Roman" w:eastAsia="宋体" w:hAnsi="Times New Roman" w:cs="Times New Roman"/>
          <w:i/>
          <w:iCs/>
          <w:sz w:val="24"/>
          <w:szCs w:val="24"/>
        </w:rPr>
        <w:t>α</w:t>
      </w:r>
      <w:r w:rsidRPr="00464E78">
        <w:rPr>
          <w:rFonts w:ascii="Times New Roman" w:eastAsia="宋体" w:hAnsi="Times New Roman" w:cs="Times New Roman"/>
          <w:sz w:val="24"/>
          <w:szCs w:val="24"/>
          <w:vertAlign w:val="subscript"/>
        </w:rPr>
        <w:t>k</w:t>
      </w:r>
      <w:r w:rsidRPr="00464E78">
        <w:rPr>
          <w:rFonts w:ascii="Times New Roman" w:eastAsia="宋体" w:hAnsi="Times New Roman" w:cs="Times New Roman"/>
          <w:sz w:val="24"/>
          <w:szCs w:val="24"/>
        </w:rPr>
        <w:t xml:space="preserve"> are regression coefficients for covariates </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1</w:t>
      </w:r>
      <w:r w:rsidRPr="00464E78">
        <w:rPr>
          <w:rFonts w:ascii="Times New Roman" w:eastAsia="宋体" w:hAnsi="Times New Roman" w:cs="Times New Roman"/>
          <w:sz w:val="24"/>
          <w:szCs w:val="24"/>
        </w:rPr>
        <w:t xml:space="preserve">, </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2</w:t>
      </w:r>
      <w:r w:rsidRPr="00464E78">
        <w:rPr>
          <w:rFonts w:ascii="Times New Roman" w:eastAsia="宋体" w:hAnsi="Times New Roman" w:cs="Times New Roman"/>
          <w:sz w:val="24"/>
          <w:szCs w:val="24"/>
        </w:rPr>
        <w:t xml:space="preserve">, … , </w:t>
      </w:r>
      <w:proofErr w:type="spellStart"/>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k</w:t>
      </w:r>
      <w:proofErr w:type="spellEnd"/>
      <w:r w:rsidRPr="00464E78">
        <w:rPr>
          <w:rFonts w:ascii="Times New Roman" w:eastAsia="宋体" w:hAnsi="Times New Roman" w:cs="Times New Roman"/>
          <w:sz w:val="24"/>
          <w:szCs w:val="24"/>
        </w:rPr>
        <w:t>.</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Variable importance measures can be computed to understand the contribution of each covariate to the overall model. These measures are often based on the reduction in the splitting criterion (e.g., log-rank statistic) when a variable is used for a split.</w:t>
      </w:r>
    </w:p>
    <w:p w14:paraId="3C284E47" w14:textId="77777777" w:rsidR="00BF54D9" w:rsidRPr="00464E78" w:rsidRDefault="00BF54D9"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 xml:space="preserve">Survival Conditional Inference Tree </w:t>
      </w:r>
    </w:p>
    <w:p w14:paraId="714FDCC5" w14:textId="140BDF2E"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The SCIT is a decision tree-based model designed for survival analysis.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SCIT uses a recursive partitioning process to split the dataset into subgroups based on the values of the covariates. Each split is determined using a conditional inference test (e.g., log-rank test) to assess the statistical significance of the survival differences between the resulting groups.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tree-building process continues until a stopping criterion is met such as a minimum node size, a maximum tree depth, or a lack of significant improvement in survival differences.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In summary, SCIT incorporates conditional inference tests to make splits based on the statistical significance of survival differences among groups defined by the covariates.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general formula for a single tree in SCIT can be represented as</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&lt;EndNote&gt;&lt;Cite&gt;&lt;Author&gt;Hothorn&lt;/Author&gt;&lt;Year&gt;2006&lt;/Year&gt;&lt;RecNum&gt;2301&lt;/RecNum&gt;&lt;DisplayText&gt;&lt;style face="superscript"&gt;4&lt;/style&gt;&lt;/DisplayText&gt;&lt;record&gt;&lt;rec-number&gt;2301&lt;/rec-number&gt;&lt;foreign-keys&gt;&lt;key app="EN" db-id="srrwaxseaexppeeeatr52v5vxzfxeer2vrr0" timestamp="1703487432"&gt;2301&lt;/key&gt;&lt;/foreign-keys&gt;&lt;ref-type name="Journal Article"&gt;17&lt;/ref-type&gt;&lt;contributors&gt;&lt;authors&gt;&lt;author&gt;Hothorn, Torsten&lt;/author&gt;&lt;author&gt;Hornik, Kurt&lt;/author&gt;&lt;author&gt;Zeileis, Achim&lt;/author&gt;&lt;/authors&gt;&lt;/contributors&gt;&lt;titles&gt;&lt;title&gt;Unbiased Recursive Partitioning: A Conditional Inference Framework&lt;/title&gt;&lt;secondary-title&gt;Journal of Computational and Graphical Statistics&lt;/secondary-title&gt;&lt;/titles&gt;&lt;periodical&gt;&lt;full-title&gt;Journal of Computational and Graphical Statistics&lt;/full-title&gt;&lt;/periodical&gt;&lt;pages&gt;651-674&lt;/pages&gt;&lt;volume&gt;15&lt;/volume&gt;&lt;number&gt;3&lt;/number&gt;&lt;dates&gt;&lt;year&gt;2006&lt;/year&gt;&lt;pub-dates&gt;&lt;date&gt;2006/09/01&lt;/date&gt;&lt;/pub-dates&gt;&lt;/dates&gt;&lt;publisher&gt;Taylor &amp;amp; Francis&lt;/publisher&gt;&lt;isbn&gt;1061-8600&lt;/isbn&gt;&lt;urls&gt;&lt;related-urls&gt;&lt;url&gt;https://doi.org/10.1198/106186006X133933&lt;/url&gt;&lt;/related-urls&gt;&lt;/urls&gt;&lt;electronic-resource-num&gt;10.1198/106186006X133933&lt;/electronic-resource-num&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4</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1FD56FBF" w14:textId="77777777" w:rsidR="00BF54D9" w:rsidRPr="00464E78" w:rsidRDefault="00BF54D9" w:rsidP="00BF54D9">
      <w:pPr>
        <w:spacing w:line="360" w:lineRule="auto"/>
        <w:rPr>
          <w:rFonts w:ascii="Times New Roman" w:eastAsia="宋体" w:hAnsi="Times New Roman" w:cs="Times New Roman"/>
          <w:sz w:val="24"/>
          <w:szCs w:val="24"/>
        </w:rPr>
      </w:pPr>
      <w:bookmarkStart w:id="0" w:name="_Hlk152745248"/>
      <m:oMathPara>
        <m:oMath>
          <m:r>
            <w:rPr>
              <w:rFonts w:ascii="Cambria Math" w:eastAsia="宋体" w:hAnsi="Cambria Math" w:cs="Times New Roman"/>
              <w:sz w:val="24"/>
              <w:szCs w:val="24"/>
            </w:rPr>
            <w:lastRenderedPageBreak/>
            <m:t>λ</m:t>
          </m:r>
          <m:d>
            <m:dPr>
              <m:ctrlPr>
                <w:rPr>
                  <w:rFonts w:ascii="Cambria Math" w:eastAsia="宋体" w:hAnsi="Cambria Math" w:cs="Times New Roman"/>
                  <w:i/>
                  <w:sz w:val="24"/>
                  <w:szCs w:val="24"/>
                </w:rPr>
              </m:ctrlPr>
            </m:dPr>
            <m:e>
              <m:r>
                <w:rPr>
                  <w:rFonts w:ascii="Cambria Math" w:eastAsia="宋体" w:hAnsi="Cambria Math" w:cs="Times New Roman"/>
                  <w:sz w:val="24"/>
                  <w:szCs w:val="24"/>
                </w:rPr>
                <m:t>t</m:t>
              </m:r>
            </m:e>
            <m:e>
              <m:r>
                <w:rPr>
                  <w:rFonts w:ascii="Cambria Math" w:eastAsia="宋体" w:hAnsi="Cambria Math" w:cs="Times New Roman"/>
                  <w:sz w:val="24"/>
                  <w:szCs w:val="24"/>
                </w:rPr>
                <m:t>x</m:t>
              </m:r>
            </m:e>
          </m:d>
          <w:bookmarkEnd w:id="0"/>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λ</m:t>
              </m:r>
            </m:e>
            <m:sub>
              <m:r>
                <w:rPr>
                  <w:rFonts w:ascii="Cambria Math" w:eastAsia="宋体" w:hAnsi="Cambria Math" w:cs="Times New Roman"/>
                  <w:sz w:val="24"/>
                  <w:szCs w:val="24"/>
                </w:rPr>
                <m:t>0</m:t>
              </m:r>
            </m:sub>
          </m:sSub>
          <m:d>
            <m:dPr>
              <m:ctrlPr>
                <w:rPr>
                  <w:rFonts w:ascii="Cambria Math" w:eastAsia="宋体" w:hAnsi="Cambria Math" w:cs="Times New Roman"/>
                  <w:i/>
                  <w:sz w:val="24"/>
                  <w:szCs w:val="24"/>
                </w:rPr>
              </m:ctrlPr>
            </m:dPr>
            <m:e>
              <m:r>
                <w:rPr>
                  <w:rFonts w:ascii="Cambria Math" w:eastAsia="宋体" w:hAnsi="Cambria Math" w:cs="Times New Roman"/>
                  <w:sz w:val="24"/>
                  <w:szCs w:val="24"/>
                </w:rPr>
                <m:t>t</m:t>
              </m:r>
            </m:e>
          </m:d>
          <m:r>
            <w:rPr>
              <w:rFonts w:ascii="Cambria Math" w:eastAsia="宋体" w:hAnsi="Cambria Math" w:cs="Times New Roman"/>
              <w:sz w:val="24"/>
              <w:szCs w:val="24"/>
            </w:rPr>
            <m:t>exp</m:t>
          </m:r>
          <m:d>
            <m:dPr>
              <m:ctrlPr>
                <w:rPr>
                  <w:rFonts w:ascii="Cambria Math" w:eastAsia="宋体" w:hAnsi="Cambria Math" w:cs="Times New Roman"/>
                  <w:sz w:val="24"/>
                  <w:szCs w:val="24"/>
                </w:rPr>
              </m:ctrlPr>
            </m:dPr>
            <m:e>
              <m:nary>
                <m:naryPr>
                  <m:chr m:val="∑"/>
                  <m:limLoc m:val="subSup"/>
                  <m:ctrlPr>
                    <w:rPr>
                      <w:rFonts w:ascii="Cambria Math" w:eastAsia="宋体" w:hAnsi="Cambria Math" w:cs="Times New Roman"/>
                      <w:i/>
                      <w:sz w:val="24"/>
                      <w:szCs w:val="24"/>
                    </w:rPr>
                  </m:ctrlPr>
                </m:naryPr>
                <m:sub>
                  <m:r>
                    <w:rPr>
                      <w:rFonts w:ascii="Cambria Math" w:eastAsia="宋体" w:hAnsi="Cambria Math" w:cs="Times New Roman"/>
                      <w:sz w:val="24"/>
                      <w:szCs w:val="24"/>
                    </w:rPr>
                    <m:t>j=1</m:t>
                  </m:r>
                </m:sub>
                <m:sup>
                  <m:r>
                    <w:rPr>
                      <w:rFonts w:ascii="Cambria Math" w:eastAsia="宋体" w:hAnsi="Cambria Math" w:cs="Times New Roman"/>
                      <w:sz w:val="24"/>
                      <w:szCs w:val="24"/>
                    </w:rPr>
                    <m:t>J</m:t>
                  </m:r>
                </m:sup>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β</m:t>
                      </m:r>
                    </m:e>
                    <m:sub>
                      <m:r>
                        <w:rPr>
                          <w:rFonts w:ascii="Cambria Math" w:eastAsia="宋体" w:hAnsi="Cambria Math" w:cs="Times New Roman"/>
                          <w:sz w:val="24"/>
                          <w:szCs w:val="24"/>
                        </w:rPr>
                        <m:t>j</m:t>
                      </m:r>
                    </m:sub>
                  </m:sSub>
                  <m:r>
                    <w:rPr>
                      <w:rFonts w:ascii="Cambria Math" w:eastAsia="宋体" w:hAnsi="Cambria Math" w:cs="Times New Roman"/>
                      <w:sz w:val="24"/>
                      <w:szCs w:val="24"/>
                    </w:rPr>
                    <m:t>*I</m:t>
                  </m:r>
                  <m:d>
                    <m:dPr>
                      <m:ctrlPr>
                        <w:rPr>
                          <w:rFonts w:ascii="Cambria Math" w:eastAsia="宋体" w:hAnsi="Cambria Math" w:cs="Times New Roman"/>
                          <w:i/>
                          <w:sz w:val="24"/>
                          <w:szCs w:val="24"/>
                        </w:rPr>
                      </m:ctrlPr>
                    </m:dPr>
                    <m:e>
                      <m:r>
                        <w:rPr>
                          <w:rFonts w:ascii="Cambria Math" w:eastAsia="宋体" w:hAnsi="Cambria Math" w:cs="Times New Roman"/>
                          <w:sz w:val="24"/>
                          <w:szCs w:val="24"/>
                        </w:rPr>
                        <m:t>xϵ</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R</m:t>
                          </m:r>
                        </m:e>
                        <m:sub>
                          <m:r>
                            <w:rPr>
                              <w:rFonts w:ascii="Cambria Math" w:eastAsia="宋体" w:hAnsi="Cambria Math" w:cs="Times New Roman"/>
                              <w:sz w:val="24"/>
                              <w:szCs w:val="24"/>
                            </w:rPr>
                            <m:t>j</m:t>
                          </m:r>
                        </m:sub>
                      </m:sSub>
                    </m:e>
                  </m:d>
                </m:e>
              </m:nary>
            </m:e>
          </m:d>
        </m:oMath>
      </m:oMathPara>
    </w:p>
    <w:p w14:paraId="5A2CC7BB" w14:textId="77777777"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Where</w:t>
      </w:r>
      <w:r w:rsidRPr="00464E78">
        <w:rPr>
          <w:rFonts w:ascii="Times New Roman" w:eastAsia="宋体" w:hAnsi="Times New Roman" w:cs="Times New Roman"/>
          <w:i/>
          <w:iCs/>
          <w:sz w:val="24"/>
          <w:szCs w:val="24"/>
        </w:rPr>
        <w:t xml:space="preserve"> λ </w:t>
      </w:r>
      <w:r w:rsidRPr="00464E78">
        <w:rPr>
          <w:rFonts w:ascii="Times New Roman" w:eastAsia="宋体" w:hAnsi="Times New Roman" w:cs="Times New Roman"/>
          <w:sz w:val="24"/>
          <w:szCs w:val="24"/>
        </w:rPr>
        <w:t>(</w:t>
      </w:r>
      <w:proofErr w:type="spellStart"/>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w:t>
      </w:r>
      <w:r w:rsidRPr="00464E78">
        <w:rPr>
          <w:rFonts w:ascii="Times New Roman" w:eastAsia="宋体" w:hAnsi="Times New Roman" w:cs="Times New Roman"/>
          <w:i/>
          <w:iCs/>
          <w:sz w:val="24"/>
          <w:szCs w:val="24"/>
        </w:rPr>
        <w:t>x</w:t>
      </w:r>
      <w:proofErr w:type="spellEnd"/>
      <w:r w:rsidRPr="00464E78">
        <w:rPr>
          <w:rFonts w:ascii="Times New Roman" w:eastAsia="宋体" w:hAnsi="Times New Roman" w:cs="Times New Roman"/>
          <w:sz w:val="24"/>
          <w:szCs w:val="24"/>
        </w:rPr>
        <w:t xml:space="preserve">) is the survival function at time </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given the covariates </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rPr>
        <w:t xml:space="preserve">, and </w:t>
      </w:r>
      <w:proofErr w:type="gramStart"/>
      <w:r w:rsidRPr="00464E78">
        <w:rPr>
          <w:rFonts w:ascii="Times New Roman" w:eastAsia="宋体" w:hAnsi="Times New Roman" w:cs="Times New Roman"/>
          <w:sz w:val="24"/>
          <w:szCs w:val="24"/>
        </w:rPr>
        <w:t>The</w:t>
      </w:r>
      <w:proofErr w:type="gramEnd"/>
      <w:r w:rsidRPr="00464E78">
        <w:rPr>
          <w:rFonts w:ascii="Times New Roman" w:eastAsia="宋体" w:hAnsi="Times New Roman" w:cs="Times New Roman"/>
          <w:sz w:val="24"/>
          <w:szCs w:val="24"/>
        </w:rPr>
        <w:t xml:space="preserve"> </w:t>
      </w:r>
      <w:r w:rsidRPr="00464E78">
        <w:rPr>
          <w:rFonts w:ascii="Times New Roman" w:eastAsia="宋体" w:hAnsi="Times New Roman" w:cs="Times New Roman"/>
          <w:i/>
          <w:iCs/>
          <w:sz w:val="24"/>
          <w:szCs w:val="24"/>
        </w:rPr>
        <w:t>λ</w:t>
      </w:r>
      <w:r w:rsidRPr="00464E78">
        <w:rPr>
          <w:rFonts w:ascii="Times New Roman" w:eastAsia="宋体" w:hAnsi="Times New Roman" w:cs="Times New Roman"/>
          <w:sz w:val="24"/>
          <w:szCs w:val="24"/>
          <w:vertAlign w:val="subscript"/>
        </w:rPr>
        <w:t>0</w:t>
      </w:r>
      <w:r w:rsidRPr="00464E78">
        <w:rPr>
          <w:rFonts w:ascii="Times New Roman" w:eastAsia="宋体" w:hAnsi="Times New Roman" w:cs="Times New Roman"/>
          <w:sz w:val="24"/>
          <w:szCs w:val="24"/>
        </w:rPr>
        <w:t>(</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is the baseline survival function. The J represents the number of terminal nodes (leaves) in the tree.</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 xml:space="preserve">The </w:t>
      </w:r>
      <w:r w:rsidRPr="00464E78">
        <w:rPr>
          <w:rFonts w:ascii="Times New Roman" w:eastAsia="宋体" w:hAnsi="Times New Roman" w:cs="Times New Roman"/>
          <w:i/>
          <w:iCs/>
          <w:sz w:val="24"/>
          <w:szCs w:val="24"/>
        </w:rPr>
        <w:t>β</w:t>
      </w:r>
      <w:r w:rsidRPr="00464E78">
        <w:rPr>
          <w:rFonts w:ascii="Times New Roman" w:eastAsia="宋体" w:hAnsi="Times New Roman" w:cs="Times New Roman"/>
          <w:i/>
          <w:iCs/>
          <w:sz w:val="24"/>
          <w:szCs w:val="24"/>
          <w:vertAlign w:val="subscript"/>
        </w:rPr>
        <w:t>j</w:t>
      </w:r>
      <w:r w:rsidRPr="00464E78">
        <w:rPr>
          <w:rFonts w:ascii="Times New Roman" w:eastAsia="宋体" w:hAnsi="Times New Roman" w:cs="Times New Roman"/>
          <w:i/>
          <w:iCs/>
          <w:sz w:val="24"/>
          <w:szCs w:val="24"/>
        </w:rPr>
        <w:t xml:space="preserve"> </w:t>
      </w:r>
      <w:r w:rsidRPr="00464E78">
        <w:rPr>
          <w:rFonts w:ascii="Times New Roman" w:eastAsia="宋体" w:hAnsi="Times New Roman" w:cs="Times New Roman"/>
          <w:sz w:val="24"/>
          <w:szCs w:val="24"/>
        </w:rPr>
        <w:t>is the coefficient associated with the</w:t>
      </w:r>
      <w:r w:rsidRPr="00464E78">
        <w:rPr>
          <w:rFonts w:ascii="Times New Roman" w:eastAsia="宋体" w:hAnsi="Times New Roman" w:cs="Times New Roman"/>
          <w:i/>
          <w:iCs/>
          <w:sz w:val="24"/>
          <w:szCs w:val="24"/>
        </w:rPr>
        <w:t xml:space="preserve"> j</w:t>
      </w:r>
      <w:r w:rsidRPr="00464E78">
        <w:rPr>
          <w:rFonts w:ascii="Times New Roman" w:eastAsia="宋体" w:hAnsi="Times New Roman" w:cs="Times New Roman"/>
          <w:sz w:val="24"/>
          <w:szCs w:val="24"/>
        </w:rPr>
        <w:t>-</w:t>
      </w:r>
      <w:proofErr w:type="spellStart"/>
      <w:r w:rsidRPr="00464E78">
        <w:rPr>
          <w:rFonts w:ascii="Times New Roman" w:eastAsia="宋体" w:hAnsi="Times New Roman" w:cs="Times New Roman"/>
          <w:sz w:val="24"/>
          <w:szCs w:val="24"/>
        </w:rPr>
        <w:t>th</w:t>
      </w:r>
      <w:proofErr w:type="spellEnd"/>
      <w:r w:rsidRPr="00464E78">
        <w:rPr>
          <w:rFonts w:ascii="Times New Roman" w:eastAsia="宋体" w:hAnsi="Times New Roman" w:cs="Times New Roman"/>
          <w:sz w:val="24"/>
          <w:szCs w:val="24"/>
        </w:rPr>
        <w:t xml:space="preserve"> leaf.</w:t>
      </w:r>
      <w:r w:rsidRPr="00464E78">
        <w:rPr>
          <w:rFonts w:ascii="Times New Roman" w:hAnsi="Times New Roman" w:cs="Times New Roman"/>
          <w:sz w:val="24"/>
          <w:szCs w:val="24"/>
        </w:rPr>
        <w:t xml:space="preserve"> The </w:t>
      </w:r>
      <w:r w:rsidRPr="00464E78">
        <w:rPr>
          <w:rFonts w:ascii="Times New Roman" w:hAnsi="Times New Roman" w:cs="Times New Roman"/>
          <w:i/>
          <w:iCs/>
          <w:sz w:val="24"/>
          <w:szCs w:val="24"/>
        </w:rPr>
        <w:t xml:space="preserve">I </w:t>
      </w:r>
      <w:r w:rsidRPr="00464E78">
        <w:rPr>
          <w:rFonts w:ascii="Times New Roman" w:hAnsi="Times New Roman" w:cs="Times New Roman"/>
          <w:sz w:val="24"/>
          <w:szCs w:val="24"/>
        </w:rPr>
        <w:t>(</w:t>
      </w:r>
      <w:r w:rsidRPr="00464E78">
        <w:rPr>
          <w:rFonts w:ascii="Times New Roman" w:hAnsi="Times New Roman" w:cs="Times New Roman"/>
          <w:i/>
          <w:iCs/>
          <w:sz w:val="24"/>
          <w:szCs w:val="24"/>
        </w:rPr>
        <w:t xml:space="preserve">x </w:t>
      </w:r>
      <w:r w:rsidRPr="00464E78">
        <w:rPr>
          <w:rFonts w:ascii="Times New Roman" w:hAnsi="Times New Roman" w:cs="Times New Roman"/>
          <w:sz w:val="24"/>
          <w:szCs w:val="24"/>
        </w:rPr>
        <w:t>ϵ</w:t>
      </w:r>
      <w:proofErr w:type="spellStart"/>
      <w:r w:rsidRPr="00464E78">
        <w:rPr>
          <w:rFonts w:ascii="Times New Roman" w:hAnsi="Times New Roman" w:cs="Times New Roman"/>
          <w:i/>
          <w:iCs/>
          <w:sz w:val="24"/>
          <w:szCs w:val="24"/>
        </w:rPr>
        <w:t>R</w:t>
      </w:r>
      <w:r w:rsidRPr="00464E78">
        <w:rPr>
          <w:rFonts w:ascii="Times New Roman" w:hAnsi="Times New Roman" w:cs="Times New Roman"/>
          <w:i/>
          <w:iCs/>
          <w:sz w:val="24"/>
          <w:szCs w:val="24"/>
          <w:vertAlign w:val="subscript"/>
        </w:rPr>
        <w:t>j</w:t>
      </w:r>
      <w:proofErr w:type="spellEnd"/>
      <w:r w:rsidRPr="00464E78">
        <w:rPr>
          <w:rFonts w:ascii="Times New Roman" w:hAnsi="Times New Roman" w:cs="Times New Roman"/>
          <w:sz w:val="24"/>
          <w:szCs w:val="24"/>
        </w:rPr>
        <w:t xml:space="preserve">) </w:t>
      </w:r>
      <w:proofErr w:type="gramStart"/>
      <w:r w:rsidRPr="00464E78">
        <w:rPr>
          <w:rFonts w:ascii="Times New Roman" w:hAnsi="Times New Roman" w:cs="Times New Roman"/>
          <w:sz w:val="24"/>
          <w:szCs w:val="24"/>
        </w:rPr>
        <w:t>is</w:t>
      </w:r>
      <w:proofErr w:type="gramEnd"/>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indicator function, equal to 1 if x is in the j-</w:t>
      </w:r>
      <w:proofErr w:type="spellStart"/>
      <w:r w:rsidRPr="00464E78">
        <w:rPr>
          <w:rFonts w:ascii="Times New Roman" w:eastAsia="宋体" w:hAnsi="Times New Roman" w:cs="Times New Roman"/>
          <w:sz w:val="24"/>
          <w:szCs w:val="24"/>
        </w:rPr>
        <w:t>th</w:t>
      </w:r>
      <w:proofErr w:type="spellEnd"/>
      <w:r w:rsidRPr="00464E78">
        <w:rPr>
          <w:rFonts w:ascii="Times New Roman" w:eastAsia="宋体" w:hAnsi="Times New Roman" w:cs="Times New Roman"/>
          <w:sz w:val="24"/>
          <w:szCs w:val="24"/>
        </w:rPr>
        <w:t xml:space="preserve"> leaf, 0 otherwise.</w:t>
      </w:r>
    </w:p>
    <w:p w14:paraId="02F72681" w14:textId="77777777" w:rsidR="00BF54D9" w:rsidRPr="00464E78" w:rsidRDefault="00BF54D9"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 xml:space="preserve">Survival Conditional Random Forest </w:t>
      </w:r>
    </w:p>
    <w:p w14:paraId="5E8CE6F9" w14:textId="792571DC" w:rsidR="00BF54D9" w:rsidRPr="00464E78" w:rsidRDefault="00BF54D9"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sz w:val="24"/>
          <w:szCs w:val="24"/>
        </w:rPr>
        <w:t>SCRF extends the idea of SCIT to an ensemble approach, combining multiple survival trees into a Random Forest for improved accuracy and robustness.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formula for a single tree in SCRF is similar to SCIT. The SCRF model involves aggregating predictions across multiple trees.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formula for SCRF involves aggregating predictions from multiple survival trees, each trained on a subset of the data with replacement, and the final prediction involves averaging (for regression tasks) or voting (for classification tasks)</w:t>
      </w:r>
      <w:r w:rsidRPr="00464E78">
        <w:rPr>
          <w:rFonts w:ascii="Times New Roman" w:eastAsia="宋体" w:hAnsi="Times New Roman" w:cs="Times New Roman"/>
          <w:sz w:val="24"/>
          <w:szCs w:val="24"/>
        </w:rPr>
        <w:fldChar w:fldCharType="begin">
          <w:fldData xml:space="preserve">PEVuZE5vdGU+PENpdGU+PEF1dGhvcj5XcmlnaHQ8L0F1dGhvcj48WWVhcj4yMDE3PC9ZZWFyPjxS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</w:fldData>
        </w:fldChar>
      </w:r>
      <w:r w:rsidRPr="00464E78">
        <w:rPr>
          <w:rFonts w:ascii="Times New Roman" w:eastAsia="宋体" w:hAnsi="Times New Roman" w:cs="Times New Roman"/>
          <w:sz w:val="24"/>
          <w:szCs w:val="24"/>
        </w:rPr>
        <w:instrText xml:space="preserve"> ADDIN EN.CITE </w:instrText>
      </w:r>
      <w:r w:rsidRPr="00464E78">
        <w:rPr>
          <w:rFonts w:ascii="Times New Roman" w:eastAsia="宋体" w:hAnsi="Times New Roman" w:cs="Times New Roman"/>
          <w:sz w:val="24"/>
          <w:szCs w:val="24"/>
        </w:rPr>
        <w:fldChar w:fldCharType="begin">
          <w:fldData xml:space="preserve">PEVuZE5vdGU+PENpdGU+PEF1dGhvcj5XcmlnaHQ8L0F1dGhvcj48WWVhcj4yMDE3PC9ZZWFyPjxS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</w:fldData>
        </w:fldChar>
      </w:r>
      <w:r w:rsidRPr="00464E78">
        <w:rPr>
          <w:rFonts w:ascii="Times New Roman" w:eastAsia="宋体" w:hAnsi="Times New Roman" w:cs="Times New Roman"/>
          <w:sz w:val="24"/>
          <w:szCs w:val="24"/>
        </w:rPr>
        <w:instrText xml:space="preserve"> ADDIN EN.CITE.DATA </w:instrText>
      </w:r>
      <w:r w:rsidRPr="00464E78">
        <w:rPr>
          <w:rFonts w:ascii="Times New Roman" w:eastAsia="宋体" w:hAnsi="Times New Roman" w:cs="Times New Roman"/>
          <w:sz w:val="24"/>
          <w:szCs w:val="24"/>
        </w:rPr>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5</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5E85BC91" w14:textId="77777777" w:rsidR="00BF54D9" w:rsidRPr="00464E78" w:rsidRDefault="00BF54D9"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 xml:space="preserve">Accelerated Oblique Random Survival Forest </w:t>
      </w:r>
    </w:p>
    <w:p w14:paraId="4B9FFCEA" w14:textId="6C5A1156"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The accelerated failure time (AFT) model is a parametric survival model that characterizes the relationship between covariates and survival time.</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AFT model is particularly useful when the assumption of proportional hazards in the Cox model is not met. The AFT model directly models the logarithm of survival time as a linear function of covariates, allowing for more flexibility. RSF are an extension of traditional survival analysis methods to handle complex data and high-dimensional covariate spaces. AORSF is a further extension that incorporates oblique tree splits, allowing for more complex relationships between predictors.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formula for an AORSF would involve an ensemble of trees, each contributing to the overall prediction, which can be conceptualized as follows</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&lt;EndNote&gt;&lt;Cite&gt;&lt;Author&gt;Jaeger&lt;/Author&gt;&lt;RecNum&gt;2304&lt;/RecNum&gt;&lt;DisplayText&gt;&lt;style face="superscript"&gt;6&lt;/style&gt;&lt;/DisplayText&gt;&lt;record&gt;&lt;rec-number&gt;2304&lt;/rec-number&gt;&lt;foreign-keys&gt;&lt;key app="EN" db-id="srrwaxseaexppeeeatr52v5vxzfxeer2vrr0" timestamp="1703487648"&gt;2304&lt;/key&gt;&lt;/foreign-keys&gt;&lt;ref-type name="Journal Article"&gt;17&lt;/ref-type&gt;&lt;contributors&gt;&lt;authors&gt;&lt;author&gt;Jaeger, Byron C.&lt;/author&gt;&lt;author&gt;Welden, Sawyer&lt;/author&gt;&lt;author&gt;Lenoir, Kristin&lt;/author&gt;&lt;author&gt;Speiser, Jaime L.&lt;/author&gt;&lt;author&gt;Segar, Matthew W.&lt;/author&gt;&lt;author&gt;Pandey, Ambarish&lt;/author&gt;&lt;author&gt;Pajewski, Nicholas M.&lt;/author&gt;&lt;/authors&gt;&lt;/contributors&gt;&lt;titles&gt;&lt;title&gt;Accelerated and Interpretable Oblique Random Survival Forests&lt;/title&gt;&lt;secondary-title&gt;Journal of Computational and Graphical Statistics&lt;/secondary-title&gt;&lt;/titles&gt;&lt;periodical&gt;&lt;full-title&gt;Journal of Computational and Graphical Statistics&lt;/full-title&gt;&lt;/periodical&gt;&lt;pages&gt;1-16&lt;/pages&gt;&lt;dates&gt;&lt;/dates&gt;&lt;publisher&gt;Taylor &amp;amp; Francis&lt;/publisher&gt;&lt;isbn&gt;1061-8600&lt;/isbn&gt;&lt;urls&gt;&lt;related-urls&gt;&lt;url&gt;https://doi.org/10.1080/10618600.2023.2231048&lt;/url&gt;&lt;/related-urls&gt;&lt;/urls&gt;&lt;electronic-resource-num&gt;10.1080/10618600.2023.2231048&lt;/electronic-resource-num&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6</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53B6689C" w14:textId="77777777" w:rsidR="00BF54D9" w:rsidRPr="00464E78" w:rsidRDefault="00BF54D9" w:rsidP="00BF54D9">
      <w:pPr>
        <w:spacing w:line="360" w:lineRule="auto"/>
        <w:rPr>
          <w:rFonts w:ascii="Times New Roman" w:eastAsia="宋体" w:hAnsi="Times New Roman" w:cs="Times New Roman"/>
          <w:sz w:val="24"/>
          <w:szCs w:val="24"/>
        </w:rPr>
      </w:pPr>
      <m:oMathPara>
        <m:oMath>
          <m:r>
            <w:rPr>
              <w:rFonts w:ascii="Cambria Math" w:eastAsia="宋体" w:hAnsi="Cambria Math" w:cs="Times New Roman"/>
              <w:sz w:val="24"/>
              <w:szCs w:val="24"/>
            </w:rPr>
            <m:t>S(t|x)=</m:t>
          </m:r>
          <m:sSup>
            <m:sSupPr>
              <m:ctrlPr>
                <w:rPr>
                  <w:rFonts w:ascii="Cambria Math" w:eastAsia="宋体" w:hAnsi="Cambria Math" w:cs="Times New Roman"/>
                  <w:i/>
                  <w:sz w:val="24"/>
                  <w:szCs w:val="24"/>
                </w:rPr>
              </m:ctrlPr>
            </m:sSupPr>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S</m:t>
                  </m:r>
                </m:e>
                <m:sub>
                  <m:r>
                    <w:rPr>
                      <w:rFonts w:ascii="Cambria Math" w:eastAsia="宋体" w:hAnsi="Cambria Math" w:cs="Times New Roman"/>
                      <w:sz w:val="24"/>
                      <w:szCs w:val="24"/>
                    </w:rPr>
                    <m:t>0</m:t>
                  </m:r>
                </m:sub>
              </m:sSub>
              <m:d>
                <m:dPr>
                  <m:ctrlPr>
                    <w:rPr>
                      <w:rFonts w:ascii="Cambria Math" w:eastAsia="宋体" w:hAnsi="Cambria Math" w:cs="Times New Roman"/>
                      <w:i/>
                      <w:sz w:val="24"/>
                      <w:szCs w:val="24"/>
                    </w:rPr>
                  </m:ctrlPr>
                </m:dPr>
                <m:e>
                  <m:r>
                    <w:rPr>
                      <w:rFonts w:ascii="Cambria Math" w:eastAsia="宋体" w:hAnsi="Cambria Math" w:cs="Times New Roman"/>
                      <w:sz w:val="24"/>
                      <w:szCs w:val="24"/>
                    </w:rPr>
                    <m:t>t</m:t>
                  </m:r>
                </m:e>
              </m:d>
            </m:e>
            <m:sup>
              <m:r>
                <w:rPr>
                  <w:rFonts w:ascii="Cambria Math" w:eastAsia="宋体" w:hAnsi="Cambria Math" w:cs="Times New Roman"/>
                  <w:sz w:val="24"/>
                  <w:szCs w:val="24"/>
                </w:rPr>
                <m:t>exp</m:t>
              </m:r>
              <m:d>
                <m:dPr>
                  <m:ctrlPr>
                    <w:rPr>
                      <w:rFonts w:ascii="Cambria Math" w:eastAsia="宋体" w:hAnsi="Cambria Math" w:cs="Times New Roman"/>
                      <w:i/>
                      <w:sz w:val="24"/>
                      <w:szCs w:val="24"/>
                    </w:rPr>
                  </m:ctrlPr>
                </m:dPr>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0</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1</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1</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2</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2</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α</m:t>
                      </m:r>
                    </m:e>
                    <m:sub>
                      <m:r>
                        <w:rPr>
                          <w:rFonts w:ascii="Cambria Math" w:eastAsia="宋体" w:hAnsi="Cambria Math" w:cs="Times New Roman"/>
                          <w:sz w:val="24"/>
                          <w:szCs w:val="24"/>
                        </w:rPr>
                        <m:t>k</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k</m:t>
                      </m:r>
                    </m:sub>
                  </m:sSub>
                </m:e>
              </m:d>
            </m:sup>
          </m:sSup>
        </m:oMath>
      </m:oMathPara>
    </w:p>
    <w:p w14:paraId="17D80D14" w14:textId="77777777"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 xml:space="preserve">Where </w:t>
      </w:r>
      <w:r w:rsidRPr="00464E78">
        <w:rPr>
          <w:rFonts w:ascii="Times New Roman" w:eastAsia="宋体" w:hAnsi="Times New Roman" w:cs="Times New Roman"/>
          <w:i/>
          <w:iCs/>
          <w:sz w:val="24"/>
          <w:szCs w:val="24"/>
        </w:rPr>
        <w:t>S</w:t>
      </w:r>
      <w:r w:rsidRPr="00464E78">
        <w:rPr>
          <w:rFonts w:ascii="Times New Roman" w:eastAsia="宋体" w:hAnsi="Times New Roman" w:cs="Times New Roman"/>
          <w:sz w:val="24"/>
          <w:szCs w:val="24"/>
        </w:rPr>
        <w:t>(</w:t>
      </w:r>
      <w:proofErr w:type="spellStart"/>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w:t>
      </w:r>
      <w:r w:rsidRPr="00464E78">
        <w:rPr>
          <w:rFonts w:ascii="Times New Roman" w:eastAsia="宋体" w:hAnsi="Times New Roman" w:cs="Times New Roman"/>
          <w:i/>
          <w:iCs/>
          <w:sz w:val="24"/>
          <w:szCs w:val="24"/>
        </w:rPr>
        <w:t>x</w:t>
      </w:r>
      <w:proofErr w:type="spellEnd"/>
      <w:r w:rsidRPr="00464E78">
        <w:rPr>
          <w:rFonts w:ascii="Times New Roman" w:eastAsia="宋体" w:hAnsi="Times New Roman" w:cs="Times New Roman"/>
          <w:sz w:val="24"/>
          <w:szCs w:val="24"/>
        </w:rPr>
        <w:t xml:space="preserve">) is the survival function at time </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for an individual with covariates </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rPr>
        <w:t>.</w:t>
      </w:r>
      <w:r w:rsidRPr="00464E78">
        <w:rPr>
          <w:rFonts w:ascii="Times New Roman" w:hAnsi="Times New Roman" w:cs="Times New Roman"/>
          <w:sz w:val="24"/>
          <w:szCs w:val="24"/>
        </w:rPr>
        <w:t xml:space="preserve"> </w:t>
      </w:r>
      <w:r w:rsidRPr="00464E78">
        <w:rPr>
          <w:rFonts w:ascii="Times New Roman" w:eastAsia="宋体" w:hAnsi="Times New Roman" w:cs="Times New Roman"/>
          <w:i/>
          <w:iCs/>
          <w:sz w:val="24"/>
          <w:szCs w:val="24"/>
        </w:rPr>
        <w:t>S</w:t>
      </w:r>
      <w:r w:rsidRPr="00464E78">
        <w:rPr>
          <w:rFonts w:ascii="Times New Roman" w:eastAsia="宋体" w:hAnsi="Times New Roman" w:cs="Times New Roman"/>
          <w:sz w:val="24"/>
          <w:szCs w:val="24"/>
          <w:vertAlign w:val="subscript"/>
        </w:rPr>
        <w:t>0</w:t>
      </w:r>
      <w:r w:rsidRPr="00464E78">
        <w:rPr>
          <w:rFonts w:ascii="Times New Roman" w:eastAsia="宋体" w:hAnsi="Times New Roman" w:cs="Times New Roman"/>
          <w:sz w:val="24"/>
          <w:szCs w:val="24"/>
        </w:rPr>
        <w:t>(</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is the baseline survival function, representing the survival probability when all covariates are zero. The </w:t>
      </w:r>
      <w:r w:rsidRPr="00464E78">
        <w:rPr>
          <w:rFonts w:ascii="Times New Roman" w:eastAsia="宋体" w:hAnsi="Times New Roman" w:cs="Times New Roman"/>
          <w:i/>
          <w:iCs/>
          <w:sz w:val="24"/>
          <w:szCs w:val="24"/>
        </w:rPr>
        <w:t>exp</w:t>
      </w:r>
      <w:r w:rsidRPr="00464E78">
        <w:rPr>
          <w:rFonts w:ascii="Times New Roman" w:eastAsia="宋体" w:hAnsi="Times New Roman" w:cs="Times New Roman"/>
          <w:sz w:val="24"/>
          <w:szCs w:val="24"/>
        </w:rPr>
        <w:t>(α</w:t>
      </w:r>
      <w:r w:rsidRPr="00464E78">
        <w:rPr>
          <w:rFonts w:ascii="Times New Roman" w:eastAsia="宋体" w:hAnsi="Times New Roman" w:cs="Times New Roman"/>
          <w:sz w:val="24"/>
          <w:szCs w:val="24"/>
          <w:vertAlign w:val="subscript"/>
        </w:rPr>
        <w:t>0</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0</w:t>
      </w:r>
      <w:r w:rsidRPr="00464E78">
        <w:rPr>
          <w:rFonts w:ascii="Times New Roman" w:eastAsia="宋体" w:hAnsi="Times New Roman" w:cs="Times New Roman"/>
          <w:sz w:val="24"/>
          <w:szCs w:val="24"/>
        </w:rPr>
        <w:t>+α</w:t>
      </w:r>
      <w:r w:rsidRPr="00464E78">
        <w:rPr>
          <w:rFonts w:ascii="Times New Roman" w:eastAsia="宋体" w:hAnsi="Times New Roman" w:cs="Times New Roman"/>
          <w:sz w:val="24"/>
          <w:szCs w:val="24"/>
          <w:vertAlign w:val="subscript"/>
        </w:rPr>
        <w:t>1</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1</w:t>
      </w:r>
      <w:r w:rsidRPr="00464E78">
        <w:rPr>
          <w:rFonts w:ascii="Times New Roman" w:eastAsia="宋体" w:hAnsi="Times New Roman" w:cs="Times New Roman"/>
          <w:sz w:val="24"/>
          <w:szCs w:val="24"/>
        </w:rPr>
        <w:t>+α</w:t>
      </w:r>
      <w:r w:rsidRPr="00464E78">
        <w:rPr>
          <w:rFonts w:ascii="Times New Roman" w:eastAsia="宋体" w:hAnsi="Times New Roman" w:cs="Times New Roman"/>
          <w:sz w:val="24"/>
          <w:szCs w:val="24"/>
          <w:vertAlign w:val="subscript"/>
        </w:rPr>
        <w:t>2</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rPr>
        <w:t>+α</w:t>
      </w:r>
      <w:proofErr w:type="spellStart"/>
      <w:r w:rsidRPr="00464E78">
        <w:rPr>
          <w:rFonts w:ascii="Times New Roman" w:eastAsia="宋体" w:hAnsi="Times New Roman" w:cs="Times New Roman"/>
          <w:sz w:val="24"/>
          <w:szCs w:val="24"/>
          <w:vertAlign w:val="subscript"/>
        </w:rPr>
        <w:t>k</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k</w:t>
      </w:r>
      <w:proofErr w:type="spellEnd"/>
      <w:r w:rsidRPr="00464E78">
        <w:rPr>
          <w:rFonts w:ascii="Times New Roman" w:eastAsia="宋体" w:hAnsi="Times New Roman" w:cs="Times New Roman"/>
          <w:sz w:val="24"/>
          <w:szCs w:val="24"/>
        </w:rPr>
        <w:t>)</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 xml:space="preserve">represents the acceleration factor, where </w:t>
      </w:r>
      <w:r w:rsidRPr="00464E78">
        <w:rPr>
          <w:rFonts w:ascii="Times New Roman" w:eastAsia="宋体" w:hAnsi="Times New Roman" w:cs="Times New Roman"/>
          <w:i/>
          <w:iCs/>
          <w:sz w:val="24"/>
          <w:szCs w:val="24"/>
        </w:rPr>
        <w:t>α</w:t>
      </w:r>
      <w:r w:rsidRPr="00464E78">
        <w:rPr>
          <w:rFonts w:ascii="Times New Roman" w:eastAsia="宋体" w:hAnsi="Times New Roman" w:cs="Times New Roman"/>
          <w:sz w:val="24"/>
          <w:szCs w:val="24"/>
          <w:vertAlign w:val="subscript"/>
        </w:rPr>
        <w:t>1</w:t>
      </w:r>
      <w:r w:rsidRPr="00464E78">
        <w:rPr>
          <w:rFonts w:ascii="Times New Roman" w:eastAsia="宋体" w:hAnsi="Times New Roman" w:cs="Times New Roman"/>
          <w:sz w:val="24"/>
          <w:szCs w:val="24"/>
        </w:rPr>
        <w:t xml:space="preserve">, </w:t>
      </w:r>
      <w:r w:rsidRPr="00464E78">
        <w:rPr>
          <w:rFonts w:ascii="Times New Roman" w:eastAsia="宋体" w:hAnsi="Times New Roman" w:cs="Times New Roman"/>
          <w:i/>
          <w:iCs/>
          <w:sz w:val="24"/>
          <w:szCs w:val="24"/>
        </w:rPr>
        <w:t>α</w:t>
      </w:r>
      <w:r w:rsidRPr="00464E78">
        <w:rPr>
          <w:rFonts w:ascii="Times New Roman" w:eastAsia="宋体" w:hAnsi="Times New Roman" w:cs="Times New Roman"/>
          <w:sz w:val="24"/>
          <w:szCs w:val="24"/>
          <w:vertAlign w:val="subscript"/>
        </w:rPr>
        <w:t>2</w:t>
      </w:r>
      <w:r w:rsidRPr="00464E78">
        <w:rPr>
          <w:rFonts w:ascii="Times New Roman" w:eastAsia="宋体" w:hAnsi="Times New Roman" w:cs="Times New Roman"/>
          <w:sz w:val="24"/>
          <w:szCs w:val="24"/>
        </w:rPr>
        <w:t xml:space="preserve">, ... , </w:t>
      </w:r>
      <w:r w:rsidRPr="00464E78">
        <w:rPr>
          <w:rFonts w:ascii="Times New Roman" w:eastAsia="宋体" w:hAnsi="Times New Roman" w:cs="Times New Roman"/>
          <w:i/>
          <w:iCs/>
          <w:sz w:val="24"/>
          <w:szCs w:val="24"/>
        </w:rPr>
        <w:t>α</w:t>
      </w:r>
      <w:r w:rsidRPr="00464E78">
        <w:rPr>
          <w:rFonts w:ascii="Times New Roman" w:eastAsia="宋体" w:hAnsi="Times New Roman" w:cs="Times New Roman"/>
          <w:sz w:val="24"/>
          <w:szCs w:val="24"/>
          <w:vertAlign w:val="subscript"/>
        </w:rPr>
        <w:t>k</w:t>
      </w:r>
      <w:r w:rsidRPr="00464E78">
        <w:rPr>
          <w:rFonts w:ascii="Times New Roman" w:eastAsia="宋体" w:hAnsi="Times New Roman" w:cs="Times New Roman"/>
          <w:sz w:val="24"/>
          <w:szCs w:val="24"/>
        </w:rPr>
        <w:t xml:space="preserve"> are regression coefficients associated with the covariates </w:t>
      </w:r>
      <w:r w:rsidRPr="00464E78">
        <w:rPr>
          <w:rFonts w:ascii="Times New Roman" w:eastAsia="宋体" w:hAnsi="Times New Roman" w:cs="Times New Roman"/>
          <w:i/>
          <w:iCs/>
          <w:sz w:val="24"/>
          <w:szCs w:val="24"/>
        </w:rPr>
        <w:lastRenderedPageBreak/>
        <w:t>X</w:t>
      </w:r>
      <w:r w:rsidRPr="00464E78">
        <w:rPr>
          <w:rFonts w:ascii="Times New Roman" w:eastAsia="宋体" w:hAnsi="Times New Roman" w:cs="Times New Roman"/>
          <w:sz w:val="24"/>
          <w:szCs w:val="24"/>
          <w:vertAlign w:val="subscript"/>
        </w:rPr>
        <w:t>1</w:t>
      </w:r>
      <w:r w:rsidRPr="00464E78">
        <w:rPr>
          <w:rFonts w:ascii="Times New Roman" w:eastAsia="宋体" w:hAnsi="Times New Roman" w:cs="Times New Roman"/>
          <w:sz w:val="24"/>
          <w:szCs w:val="24"/>
        </w:rPr>
        <w:t xml:space="preserve">, </w:t>
      </w:r>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2</w:t>
      </w:r>
      <w:r w:rsidRPr="00464E78">
        <w:rPr>
          <w:rFonts w:ascii="Times New Roman" w:eastAsia="宋体" w:hAnsi="Times New Roman" w:cs="Times New Roman"/>
          <w:sz w:val="24"/>
          <w:szCs w:val="24"/>
        </w:rPr>
        <w:t xml:space="preserve">, … , </w:t>
      </w:r>
      <w:proofErr w:type="spellStart"/>
      <w:r w:rsidRPr="00464E78">
        <w:rPr>
          <w:rFonts w:ascii="Times New Roman" w:eastAsia="宋体" w:hAnsi="Times New Roman" w:cs="Times New Roman"/>
          <w:i/>
          <w:iCs/>
          <w:sz w:val="24"/>
          <w:szCs w:val="24"/>
        </w:rPr>
        <w:t>X</w:t>
      </w:r>
      <w:r w:rsidRPr="00464E78">
        <w:rPr>
          <w:rFonts w:ascii="Times New Roman" w:eastAsia="宋体" w:hAnsi="Times New Roman" w:cs="Times New Roman"/>
          <w:sz w:val="24"/>
          <w:szCs w:val="24"/>
          <w:vertAlign w:val="subscript"/>
        </w:rPr>
        <w:t>k</w:t>
      </w:r>
      <w:proofErr w:type="spellEnd"/>
      <w:r w:rsidRPr="00464E78">
        <w:rPr>
          <w:rFonts w:ascii="Times New Roman" w:eastAsia="宋体" w:hAnsi="Times New Roman" w:cs="Times New Roman"/>
          <w:sz w:val="24"/>
          <w:szCs w:val="24"/>
        </w:rPr>
        <w:t>. In the context of AORSF, oblique tree splits are introduced to partition the data in a way that allows for different relationships between predictors in different regions of the covariate space. The full formula for the AORSF ensemble involves combining the predictions from multiple trees, each using different subsets of the data and potentially different oblique splits.</w:t>
      </w:r>
    </w:p>
    <w:p w14:paraId="567A7B07" w14:textId="77777777" w:rsidR="00BF54D9" w:rsidRPr="00464E78" w:rsidRDefault="00BF54D9" w:rsidP="00BF54D9">
      <w:pPr>
        <w:spacing w:line="360" w:lineRule="auto"/>
        <w:rPr>
          <w:rFonts w:ascii="Times New Roman" w:eastAsia="宋体" w:hAnsi="Times New Roman" w:cs="Times New Roman"/>
          <w:b/>
          <w:bCs/>
          <w:sz w:val="24"/>
          <w:szCs w:val="24"/>
        </w:rPr>
      </w:pPr>
      <w:proofErr w:type="spellStart"/>
      <w:r w:rsidRPr="00464E78">
        <w:rPr>
          <w:rFonts w:ascii="Times New Roman" w:eastAsia="宋体" w:hAnsi="Times New Roman" w:cs="Times New Roman"/>
          <w:b/>
          <w:bCs/>
          <w:sz w:val="24"/>
          <w:szCs w:val="24"/>
        </w:rPr>
        <w:t>CoxBoost</w:t>
      </w:r>
      <w:proofErr w:type="spellEnd"/>
      <w:r w:rsidRPr="00464E78">
        <w:rPr>
          <w:rFonts w:ascii="Times New Roman" w:eastAsia="宋体" w:hAnsi="Times New Roman" w:cs="Times New Roman"/>
          <w:b/>
          <w:bCs/>
          <w:sz w:val="24"/>
          <w:szCs w:val="24"/>
        </w:rPr>
        <w:t xml:space="preserve"> Survival Analysis</w:t>
      </w:r>
    </w:p>
    <w:p w14:paraId="33CE8F50" w14:textId="22633484" w:rsidR="00BF54D9" w:rsidRPr="00464E78" w:rsidRDefault="00BF54D9" w:rsidP="00BF54D9">
      <w:pPr>
        <w:spacing w:line="360" w:lineRule="auto"/>
        <w:rPr>
          <w:rFonts w:ascii="Times New Roman" w:eastAsia="宋体" w:hAnsi="Times New Roman" w:cs="Times New Roman"/>
          <w:sz w:val="24"/>
          <w:szCs w:val="24"/>
        </w:rPr>
      </w:pPr>
      <w:proofErr w:type="spellStart"/>
      <w:r w:rsidRPr="00464E78">
        <w:rPr>
          <w:rFonts w:ascii="Times New Roman" w:eastAsia="宋体" w:hAnsi="Times New Roman" w:cs="Times New Roman"/>
          <w:sz w:val="24"/>
          <w:szCs w:val="24"/>
        </w:rPr>
        <w:t>CoxBoost</w:t>
      </w:r>
      <w:proofErr w:type="spellEnd"/>
      <w:r w:rsidRPr="00464E78">
        <w:rPr>
          <w:rFonts w:ascii="Times New Roman" w:eastAsia="宋体" w:hAnsi="Times New Roman" w:cs="Times New Roman"/>
          <w:sz w:val="24"/>
          <w:szCs w:val="24"/>
        </w:rPr>
        <w:t xml:space="preserve"> is an approach that combines boosting techniques with the cox proportional regression model for survival analysis.</w:t>
      </w:r>
      <w:r w:rsidRPr="00464E78">
        <w:rPr>
          <w:rFonts w:ascii="Times New Roman" w:hAnsi="Times New Roman" w:cs="Times New Roman"/>
          <w:sz w:val="24"/>
          <w:szCs w:val="24"/>
        </w:rPr>
        <w:t xml:space="preserve"> </w:t>
      </w:r>
      <w:proofErr w:type="spellStart"/>
      <w:r w:rsidRPr="00464E78">
        <w:rPr>
          <w:rFonts w:ascii="Times New Roman" w:eastAsia="宋体" w:hAnsi="Times New Roman" w:cs="Times New Roman"/>
          <w:sz w:val="24"/>
          <w:szCs w:val="24"/>
        </w:rPr>
        <w:t>CoxBoost</w:t>
      </w:r>
      <w:proofErr w:type="spellEnd"/>
      <w:r w:rsidRPr="00464E78">
        <w:rPr>
          <w:rFonts w:ascii="Times New Roman" w:eastAsia="宋体" w:hAnsi="Times New Roman" w:cs="Times New Roman"/>
          <w:sz w:val="24"/>
          <w:szCs w:val="24"/>
        </w:rPr>
        <w:t xml:space="preserve"> enhances the traditional cox model by incorporating boosting. Boosting is an ensemble learning technique that builds a strong predictive model by combining the predictions of multiple weak models, typically decision trees. In the context of </w:t>
      </w:r>
      <w:proofErr w:type="spellStart"/>
      <w:r w:rsidRPr="00464E78">
        <w:rPr>
          <w:rFonts w:ascii="Times New Roman" w:eastAsia="宋体" w:hAnsi="Times New Roman" w:cs="Times New Roman"/>
          <w:sz w:val="24"/>
          <w:szCs w:val="24"/>
        </w:rPr>
        <w:t>CoxBoost</w:t>
      </w:r>
      <w:proofErr w:type="spellEnd"/>
      <w:r w:rsidRPr="00464E78">
        <w:rPr>
          <w:rFonts w:ascii="Times New Roman" w:eastAsia="宋体" w:hAnsi="Times New Roman" w:cs="Times New Roman"/>
          <w:sz w:val="24"/>
          <w:szCs w:val="24"/>
        </w:rPr>
        <w:t>, the weak learners are often simple decision trees. In the process, initial estimate is the cox proportional regression model. Subsequently, decision trees to capture patterns in the residuals (the differences between observed and predicted survival times) were built Iteratively. The predictions of the decision trees were combined to update the overall model and the weights of observations based on the performance of the current model was adjusted, giving more emphasis to observations with larger errors. Finally, the process was repeated for a predefined number of iterations or until a convergence criterion is met</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&lt;EndNote&gt;&lt;Cite&gt;&lt;Author&gt;Tutz&lt;/Author&gt;&lt;Year&gt;2006&lt;/Year&gt;&lt;RecNum&gt;2305&lt;/RecNum&gt;&lt;DisplayText&gt;&lt;style face="superscript"&gt;7&lt;/style&gt;&lt;/DisplayText&gt;&lt;record&gt;&lt;rec-number&gt;2305&lt;/rec-number&gt;&lt;foreign-keys&gt;&lt;key app="EN" db-id="srrwaxseaexppeeeatr52v5vxzfxeer2vrr0" timestamp="1703487736"&gt;2305&lt;/key&gt;&lt;/foreign-keys&gt;&lt;ref-type name="Journal Article"&gt;17&lt;/ref-type&gt;&lt;contributors&gt;&lt;authors&gt;&lt;author&gt;Tutz, G.&lt;/author&gt;&lt;author&gt;Binder, H.&lt;/author&gt;&lt;/authors&gt;&lt;/contributors&gt;&lt;auth-address&gt;Institut für Statistik, Ludwig-Maximilians-Universität München Akademiestr. 1, D-80799 München, Germany. tutz@stat.uni-muenchen.de&lt;/auth-address&gt;&lt;titles&gt;&lt;title&gt;Generalized additive modeling with implicit variable selection by likelihood-based boosting&lt;/title&gt;&lt;secondary-title&gt;Biometrics&lt;/secondary-title&gt;&lt;alt-title&gt;Biometrics&lt;/alt-title&gt;&lt;/titles&gt;&lt;periodical&gt;&lt;full-title&gt;Biometrics&lt;/full-title&gt;&lt;abbr-1&gt;Biometrics&lt;/abbr-1&gt;&lt;/periodical&gt;&lt;alt-periodical&gt;&lt;full-title&gt;Biometrics&lt;/full-title&gt;&lt;abbr-1&gt;Biometrics&lt;/abbr-1&gt;&lt;/alt-periodical&gt;&lt;pages&gt;961-71&lt;/pages&gt;&lt;volume&gt;62&lt;/volume&gt;&lt;number&gt;4&lt;/number&gt;&lt;edition&gt;2006/12/13&lt;/edition&gt;&lt;keywords&gt;&lt;keyword&gt;Biometry&lt;/keyword&gt;&lt;keyword&gt;Data Interpretation, Statistical&lt;/keyword&gt;&lt;keyword&gt;Humans&lt;/keyword&gt;&lt;keyword&gt;Likelihood Functions&lt;/keyword&gt;&lt;keyword&gt;Linear Models&lt;/keyword&gt;&lt;keyword&gt;Mental Disorders/therapy&lt;/keyword&gt;&lt;keyword&gt;*Models, Statistical&lt;/keyword&gt;&lt;keyword&gt;Patient Readmission/statistics &amp;amp; numerical data&lt;/keyword&gt;&lt;keyword&gt;Poisson Distribution&lt;/keyword&gt;&lt;keyword&gt;Regression Analysis&lt;/keyword&gt;&lt;/keywords&gt;&lt;dates&gt;&lt;year&gt;2006&lt;/year&gt;&lt;pub-dates&gt;&lt;date&gt;Dec&lt;/date&gt;&lt;/pub-dates&gt;&lt;/dates&gt;&lt;isbn&gt;0006-341X (Print)&amp;#xD;0006-341x&lt;/isbn&gt;&lt;accession-num&gt;17156269&lt;/accession-num&gt;&lt;urls&gt;&lt;/urls&gt;&lt;electronic-resource-num&gt;10.1111/j.1541-0420.2006.00578.x&lt;/electronic-resource-num&gt;&lt;remote-database-provider&gt;NLM&lt;/remote-database-provider&gt;&lt;language&gt;eng&lt;/language&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7</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 xml:space="preserve">The boosting process allows </w:t>
      </w:r>
      <w:proofErr w:type="spellStart"/>
      <w:r w:rsidRPr="00464E78">
        <w:rPr>
          <w:rFonts w:ascii="Times New Roman" w:eastAsia="宋体" w:hAnsi="Times New Roman" w:cs="Times New Roman"/>
          <w:sz w:val="24"/>
          <w:szCs w:val="24"/>
        </w:rPr>
        <w:t>CoxBoost</w:t>
      </w:r>
      <w:proofErr w:type="spellEnd"/>
      <w:r w:rsidRPr="00464E78">
        <w:rPr>
          <w:rFonts w:ascii="Times New Roman" w:eastAsia="宋体" w:hAnsi="Times New Roman" w:cs="Times New Roman"/>
          <w:sz w:val="24"/>
          <w:szCs w:val="24"/>
        </w:rPr>
        <w:t xml:space="preserve"> to capture complex relationships and interactions in the data, potentially improving predictive accuracy compared to a standalone cox proportional regression model</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&lt;EndNote&gt;&lt;Cite&gt;&lt;Author&gt;Tutz&lt;/Author&gt;&lt;Year&gt;2006&lt;/Year&gt;&lt;RecNum&gt;2305&lt;/RecNum&gt;&lt;DisplayText&gt;&lt;style face="superscript"&gt;7&lt;/style&gt;&lt;/DisplayText&gt;&lt;record&gt;&lt;rec-number&gt;2305&lt;/rec-number&gt;&lt;foreign-keys&gt;&lt;key app="EN" db-id="srrwaxseaexppeeeatr52v5vxzfxeer2vrr0" timestamp="1703487736"&gt;2305&lt;/key&gt;&lt;/foreign-keys&gt;&lt;ref-type name="Journal Article"&gt;17&lt;/ref-type&gt;&lt;contributors&gt;&lt;authors&gt;&lt;author&gt;Tutz, G.&lt;/author&gt;&lt;author&gt;Binder, H.&lt;/author&gt;&lt;/authors&gt;&lt;/contributors&gt;&lt;auth-address&gt;Institut für Statistik, Ludwig-Maximilians-Universität München Akademiestr. 1, D-80799 München, Germany. tutz@stat.uni-muenchen.de&lt;/auth-address&gt;&lt;titles&gt;&lt;title&gt;Generalized additive modeling with implicit variable selection by likelihood-based boosting&lt;/title&gt;&lt;secondary-title&gt;Biometrics&lt;/secondary-title&gt;&lt;alt-title&gt;Biometrics&lt;/alt-title&gt;&lt;/titles&gt;&lt;periodical&gt;&lt;full-title&gt;Biometrics&lt;/full-title&gt;&lt;abbr-1&gt;Biometrics&lt;/abbr-1&gt;&lt;/periodical&gt;&lt;alt-periodical&gt;&lt;full-title&gt;Biometrics&lt;/full-title&gt;&lt;abbr-1&gt;Biometrics&lt;/abbr-1&gt;&lt;/alt-periodical&gt;&lt;pages&gt;961-71&lt;/pages&gt;&lt;volume&gt;62&lt;/volume&gt;&lt;number&gt;4&lt;/number&gt;&lt;edition&gt;2006/12/13&lt;/edition&gt;&lt;keywords&gt;&lt;keyword&gt;Biometry&lt;/keyword&gt;&lt;keyword&gt;Data Interpretation, Statistical&lt;/keyword&gt;&lt;keyword&gt;Humans&lt;/keyword&gt;&lt;keyword&gt;Likelihood Functions&lt;/keyword&gt;&lt;keyword&gt;Linear Models&lt;/keyword&gt;&lt;keyword&gt;Mental Disorders/therapy&lt;/keyword&gt;&lt;keyword&gt;*Models, Statistical&lt;/keyword&gt;&lt;keyword&gt;Patient Readmission/statistics &amp;amp; numerical data&lt;/keyword&gt;&lt;keyword&gt;Poisson Distribution&lt;/keyword&gt;&lt;keyword&gt;Regression Analysis&lt;/keyword&gt;&lt;/keywords&gt;&lt;dates&gt;&lt;year&gt;2006&lt;/year&gt;&lt;pub-dates&gt;&lt;date&gt;Dec&lt;/date&gt;&lt;/pub-dates&gt;&lt;/dates&gt;&lt;isbn&gt;0006-341X (Print)&amp;#xD;0006-341x&lt;/isbn&gt;&lt;accession-num&gt;17156269&lt;/accession-num&gt;&lt;urls&gt;&lt;/urls&gt;&lt;electronic-resource-num&gt;10.1111/j.1541-0420.2006.00578.x&lt;/electronic-resource-num&gt;&lt;remote-database-provider&gt;NLM&lt;/remote-database-provider&gt;&lt;language&gt;eng&lt;/language&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7</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165CCCC0" w14:textId="77777777" w:rsidR="00BF54D9" w:rsidRPr="00464E78" w:rsidRDefault="00BF54D9"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Gradient Boosted Regression Tree</w:t>
      </w:r>
    </w:p>
    <w:p w14:paraId="0127AFAE" w14:textId="729AA107"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Gradient boosted regression tree (GBRT) is a powerful ensemble learning technique used for regression tasks. It combines the strengths of both boosting and decision trees to create a robust predictive model. Initially, the model starts with a simple prediction, usually the mean value of the target variable for regression tasks.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Iteratively, decision trees (weak learners) are added to the ensemble. Each tree is fitted to the negative gradient of the loss function with respect to the current ensemble's predictions.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algorithm performs gradient descent in the function space, adjusting the predictions to minimize the loss function.</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 xml:space="preserve">A shrinkage parameter (learning rate) is introduced to </w:t>
      </w:r>
      <w:r w:rsidRPr="00464E78">
        <w:rPr>
          <w:rFonts w:ascii="Times New Roman" w:eastAsia="宋体" w:hAnsi="Times New Roman" w:cs="Times New Roman"/>
          <w:sz w:val="24"/>
          <w:szCs w:val="24"/>
        </w:rPr>
        <w:lastRenderedPageBreak/>
        <w:t>control the contribution of each tree. Smaller learning rates often lead to better generalization.</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process continues until a predefined number of trees are added, or until a stopping criterion (such as a threshold on the improvement of the loss) is met</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&lt;EndNote&gt;&lt;Cite&gt;&lt;Author&gt;Bühlmann&lt;/Author&gt;&lt;Year&gt;2003&lt;/Year&gt;&lt;RecNum&gt;2306&lt;/RecNum&gt;&lt;DisplayText&gt;&lt;style face="superscript"&gt;8&lt;/style&gt;&lt;/DisplayText&gt;&lt;record&gt;&lt;rec-number&gt;2306&lt;/rec-number&gt;&lt;foreign-keys&gt;&lt;key app="EN" db-id="srrwaxseaexppeeeatr52v5vxzfxeer2vrr0" timestamp="1703487870"&gt;2306&lt;/key&gt;&lt;/foreign-keys&gt;&lt;ref-type name="Journal Article"&gt;17&lt;/ref-type&gt;&lt;contributors&gt;&lt;authors&gt;&lt;author&gt;Bühlmann, Peter&lt;/author&gt;&lt;author&gt;Yu, Bin&lt;/author&gt;&lt;/authors&gt;&lt;/contributors&gt;&lt;titles&gt;&lt;title&gt;Boosting With the L2 Loss&lt;/title&gt;&lt;secondary-title&gt;Journal of the American Statistical Association&lt;/secondary-title&gt;&lt;/titles&gt;&lt;periodical&gt;&lt;full-title&gt;Journal of the American Statistical Association&lt;/full-title&gt;&lt;/periodical&gt;&lt;pages&gt;324-339&lt;/pages&gt;&lt;volume&gt;98&lt;/volume&gt;&lt;number&gt;462&lt;/number&gt;&lt;dates&gt;&lt;year&gt;2003&lt;/year&gt;&lt;pub-dates&gt;&lt;date&gt;2003/06/01&lt;/date&gt;&lt;/pub-dates&gt;&lt;/dates&gt;&lt;publisher&gt;Taylor &amp;amp; Francis&lt;/publisher&gt;&lt;isbn&gt;0162-1459&lt;/isbn&gt;&lt;urls&gt;&lt;related-urls&gt;&lt;url&gt;https://doi.org/10.1198/016214503000125&lt;/url&gt;&lt;/related-urls&gt;&lt;/urls&gt;&lt;electronic-resource-num&gt;10.1198/016214503000125&lt;/electronic-resource-num&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8</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final prediction is the sum of the predictions from all the trees in the ensemble</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&lt;EndNote&gt;&lt;Cite&gt;&lt;Author&gt;Bühlmann&lt;/Author&gt;&lt;Year&gt;2003&lt;/Year&gt;&lt;RecNum&gt;2306&lt;/RecNum&gt;&lt;DisplayText&gt;&lt;style face="superscript"&gt;8&lt;/style&gt;&lt;/DisplayText&gt;&lt;record&gt;&lt;rec-number&gt;2306&lt;/rec-number&gt;&lt;foreign-keys&gt;&lt;key app="EN" db-id="srrwaxseaexppeeeatr52v5vxzfxeer2vrr0" timestamp="1703487870"&gt;2306&lt;/key&gt;&lt;/foreign-keys&gt;&lt;ref-type name="Journal Article"&gt;17&lt;/ref-type&gt;&lt;contributors&gt;&lt;authors&gt;&lt;author&gt;Bühlmann, Peter&lt;/author&gt;&lt;author&gt;Yu, Bin&lt;/author&gt;&lt;/authors&gt;&lt;/contributors&gt;&lt;titles&gt;&lt;title&gt;Boosting With the L2 Loss&lt;/title&gt;&lt;secondary-title&gt;Journal of the American Statistical Association&lt;/secondary-title&gt;&lt;/titles&gt;&lt;periodical&gt;&lt;full-title&gt;Journal of the American Statistical Association&lt;/full-title&gt;&lt;/periodical&gt;&lt;pages&gt;324-339&lt;/pages&gt;&lt;volume&gt;98&lt;/volume&gt;&lt;number&gt;462&lt;/number&gt;&lt;dates&gt;&lt;year&gt;2003&lt;/year&gt;&lt;pub-dates&gt;&lt;date&gt;2003/06/01&lt;/date&gt;&lt;/pub-dates&gt;&lt;/dates&gt;&lt;publisher&gt;Taylor &amp;amp; Francis&lt;/publisher&gt;&lt;isbn&gt;0162-1459&lt;/isbn&gt;&lt;urls&gt;&lt;related-urls&gt;&lt;url&gt;https://doi.org/10.1198/016214503000125&lt;/url&gt;&lt;/related-urls&gt;&lt;/urls&gt;&lt;electronic-resource-num&gt;10.1198/016214503000125&lt;/electronic-resource-num&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8</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6A8B5616" w14:textId="77777777" w:rsidR="00BF54D9" w:rsidRPr="00464E78" w:rsidRDefault="00BF54D9" w:rsidP="00BF54D9">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Gradient Boosting with Component-wise Linear Model</w:t>
      </w:r>
    </w:p>
    <w:p w14:paraId="7E728CD1" w14:textId="154ACDEA" w:rsidR="00BF54D9" w:rsidRPr="00464E78" w:rsidRDefault="00BF54D9" w:rsidP="00BF54D9">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Gradient boosting with component-wise linear model is a variant of the traditional gradient boosting algorithm where the base learners (weak learners) are restricted to be component-wise linear models. Initially, the model starts with a simple model, often the mean value for regression tasks.</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Instead of using decision trees, the weak learners are component-wise linear models. Each feature is associated with a linear model that predicts its contribution to the overall prediction.</w:t>
      </w:r>
      <w:r w:rsidRPr="00464E78">
        <w:rPr>
          <w:rFonts w:ascii="Times New Roman" w:hAnsi="Times New Roman" w:cs="Times New Roman"/>
          <w:sz w:val="24"/>
          <w:szCs w:val="24"/>
        </w:rPr>
        <w:t xml:space="preserve"> T</w:t>
      </w:r>
      <w:r w:rsidRPr="00464E78">
        <w:rPr>
          <w:rFonts w:ascii="Times New Roman" w:eastAsia="宋体" w:hAnsi="Times New Roman" w:cs="Times New Roman"/>
          <w:sz w:val="24"/>
          <w:szCs w:val="24"/>
        </w:rPr>
        <w:t>he algorithm performs gradient descent in the function space, adjusting the coefficients of the linear models to minimize the loss function.</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A shrinkage parameter (learning rate) is introduced to control the contribution of each linear model. Smaller learning rates often lead to better generalization.</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process continues until a predefined number of linear models are added, or until a stopping criterion (such as a threshold on the improvement of the loss) is met.</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The final prediction is the sum of the predictions from all the component-wise linear models in the ensemble</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&lt;EndNote&gt;&lt;Cite&gt;&lt;Author&gt;Bühlmann&lt;/Author&gt;&lt;Year&gt;2007&lt;/Year&gt;&lt;RecNum&gt;2307&lt;/RecNum&gt;&lt;DisplayText&gt;&lt;style face="superscript"&gt;9&lt;/style&gt;&lt;/DisplayText&gt;&lt;record&gt;&lt;rec-number&gt;2307&lt;/rec-number&gt;&lt;foreign-keys&gt;&lt;key app="EN" db-id="srrwaxseaexppeeeatr52v5vxzfxeer2vrr0" timestamp="1703488350"&gt;2307&lt;/key&gt;&lt;/foreign-keys&gt;&lt;ref-type name="Journal Article"&gt;17&lt;/ref-type&gt;&lt;contributors&gt;&lt;authors&gt;&lt;author&gt;Bühlmann, Peter&lt;/author&gt;&lt;author&gt;Hothorn, Torsten&lt;/author&gt;&lt;/authors&gt;&lt;/contributors&gt;&lt;titles&gt;&lt;title&gt;Boosting Algorithms: Regularization, Prediction and Model Fitting&lt;/title&gt;&lt;secondary-title&gt;Statistical Science&lt;/secondary-title&gt;&lt;/titles&gt;&lt;periodical&gt;&lt;full-title&gt;Statistical Science&lt;/full-title&gt;&lt;/periodical&gt;&lt;pages&gt;477-505, 29&lt;/pages&gt;&lt;volume&gt;22&lt;/volume&gt;&lt;number&gt;4&lt;/number&gt;&lt;dates&gt;&lt;year&gt;2007&lt;/year&gt;&lt;/dates&gt;&lt;urls&gt;&lt;related-urls&gt;&lt;url&gt;https://doi.org/10.1214/07-STS242&lt;/url&gt;&lt;/related-urls&gt;&lt;/urls&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9</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249A1E43" w14:textId="77777777" w:rsidR="00E20402" w:rsidRPr="00464E78" w:rsidRDefault="00E20402" w:rsidP="00E20402">
      <w:pPr>
        <w:spacing w:line="360" w:lineRule="auto"/>
        <w:rPr>
          <w:rFonts w:ascii="Times New Roman" w:eastAsia="宋体" w:hAnsi="Times New Roman" w:cs="Times New Roman"/>
          <w:b/>
          <w:bCs/>
          <w:sz w:val="24"/>
          <w:szCs w:val="24"/>
        </w:rPr>
      </w:pPr>
      <w:r w:rsidRPr="00464E78">
        <w:rPr>
          <w:rFonts w:ascii="Times New Roman" w:eastAsia="宋体" w:hAnsi="Times New Roman" w:cs="Times New Roman"/>
          <w:b/>
          <w:bCs/>
          <w:sz w:val="24"/>
          <w:szCs w:val="24"/>
        </w:rPr>
        <w:t xml:space="preserve">Model Validation and Performance Evaluation </w:t>
      </w:r>
    </w:p>
    <w:p w14:paraId="4787BAE5" w14:textId="77777777" w:rsidR="00E20402" w:rsidRPr="00464E78" w:rsidRDefault="00E20402" w:rsidP="00E20402">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t xml:space="preserve">Validations were conducted internally (in development datasets) and externally (in test datasets). The discriminative performance of prediction models was evaluated using an overall </w:t>
      </w:r>
      <w:r w:rsidRPr="00464E78">
        <w:rPr>
          <w:rFonts w:ascii="Times New Roman" w:hAnsi="Times New Roman" w:cs="Times New Roman"/>
          <w:sz w:val="24"/>
          <w:szCs w:val="24"/>
        </w:rPr>
        <w:t>Harrell’s C-index (C-index)</w:t>
      </w:r>
      <w:r w:rsidRPr="00464E78">
        <w:rPr>
          <w:rFonts w:ascii="Times New Roman" w:eastAsia="宋体" w:hAnsi="Times New Roman" w:cs="Times New Roman"/>
          <w:sz w:val="24"/>
          <w:szCs w:val="24"/>
        </w:rPr>
        <w:t xml:space="preserve"> and over-time C-index which indicates the models’ C-index at each point of survival time.</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In addition to C-index, the integrated Brier score (IBS) was also applied to assess models’ prediction performance.</w:t>
      </w:r>
      <w:r w:rsidRPr="00464E78">
        <w:rPr>
          <w:rFonts w:ascii="Times New Roman" w:hAnsi="Times New Roman" w:cs="Times New Roman"/>
          <w:sz w:val="24"/>
          <w:szCs w:val="24"/>
        </w:rPr>
        <w:t xml:space="preserve"> </w:t>
      </w:r>
      <w:r w:rsidRPr="00464E78">
        <w:rPr>
          <w:rFonts w:ascii="Times New Roman" w:eastAsia="宋体" w:hAnsi="Times New Roman" w:cs="Times New Roman"/>
          <w:sz w:val="24"/>
          <w:szCs w:val="24"/>
        </w:rPr>
        <w:t xml:space="preserve">For models based on time-to-event data, the Brier score for a single subject is defined as: at a given time point t, the squared difference between observed event status (e.g., death) and a model-based prediction of survival time </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The IBS represents a cumulative Brier score over time and is written as Formula</w:t>
      </w:r>
      <w:r w:rsidRPr="00464E78">
        <w:rPr>
          <w:rFonts w:ascii="Times New Roman" w:eastAsia="宋体" w:hAnsi="Times New Roman" w:cs="Times New Roman"/>
          <w:sz w:val="24"/>
          <w:szCs w:val="24"/>
        </w:rPr>
        <w:fldChar w:fldCharType="begin"/>
      </w:r>
      <w:r w:rsidRPr="00464E78">
        <w:rPr>
          <w:rFonts w:ascii="Times New Roman" w:eastAsia="宋体" w:hAnsi="Times New Roman" w:cs="Times New Roman"/>
          <w:sz w:val="24"/>
          <w:szCs w:val="24"/>
        </w:rPr>
        <w:instrText xml:space="preserve"> ADDIN EN.CITE &lt;EndNote&gt;&lt;Cite&gt;&lt;Author&gt;Graf&lt;/Author&gt;&lt;Year&gt;1999&lt;/Year&gt;&lt;RecNum&gt;2308&lt;/RecNum&gt;&lt;DisplayText&gt;&lt;style face="superscript"&gt;35&lt;/style&gt;&lt;/DisplayText&gt;&lt;record&gt;&lt;rec-number&gt;2308&lt;/rec-number&gt;&lt;foreign-keys&gt;&lt;key app="EN" db-id="srrwaxseaexppeeeatr52v5vxzfxeer2vrr0" timestamp="1703488498"&gt;2308&lt;/key&gt;&lt;/foreign-keys&gt;&lt;ref-type name="Journal Article"&gt;17&lt;/ref-type&gt;&lt;contributors&gt;&lt;authors&gt;&lt;author&gt;Graf, E.&lt;/author&gt;&lt;author&gt;Schmoor, C.&lt;/author&gt;&lt;author&gt;Sauerbrei, W.&lt;/author&gt;&lt;author&gt;Schumacher, M.&lt;/author&gt;&lt;/authors&gt;&lt;/contributors&gt;&lt;auth-address&gt;Institute of Medical Biometry and Medical Informatics, University of Freiburg, Stefan-Meier-Strasse 26, D-79104 Freiburg, Germany. egr@imbi.uni.freiburg.de&lt;/auth-address&gt;&lt;titles&gt;&lt;title&gt;Assessment and comparison of prognostic classification schemes for survival data&lt;/title&gt;&lt;secondary-title&gt;Stat Med&lt;/secondary-title&gt;&lt;alt-title&gt;Statistics in medicine&lt;/alt-title&gt;&lt;/titles&gt;&lt;periodical&gt;&lt;full-title&gt;Stat Med&lt;/full-title&gt;&lt;/periodical&gt;&lt;pages&gt;2529-45&lt;/pages&gt;&lt;volume&gt;18&lt;/volume&gt;&lt;number&gt;17-18&lt;/number&gt;&lt;edition&gt;1999/09/04&lt;/edition&gt;&lt;keywords&gt;&lt;keyword&gt;Breast Neoplasms/drug therapy/*mortality/pathology/surgery&lt;/keyword&gt;&lt;keyword&gt;*Data Interpretation, Statistical&lt;/keyword&gt;&lt;keyword&gt;*Decision Making&lt;/keyword&gt;&lt;keyword&gt;Disease-Free Survival&lt;/keyword&gt;&lt;keyword&gt;Female&lt;/keyword&gt;&lt;keyword&gt;Humans&lt;/keyword&gt;&lt;keyword&gt;Prognosis&lt;/keyword&gt;&lt;keyword&gt;*Proportional Hazards Models&lt;/keyword&gt;&lt;/keywords&gt;&lt;dates&gt;&lt;year&gt;1999&lt;/year&gt;&lt;pub-dates&gt;&lt;date&gt;Sep 15-30&lt;/date&gt;&lt;/pub-dates&gt;&lt;/dates&gt;&lt;isbn&gt;0277-6715 (Print)&amp;#xD;0277-6715&lt;/isbn&gt;&lt;accession-num&gt;10474158&lt;/accession-num&gt;&lt;urls&gt;&lt;/urls&gt;&lt;electronic-resource-num&gt;10.1002/(sici)1097-0258(19990915/30)18:17/18&amp;lt;2529::aid-sim274&amp;gt;3.0.co;2-5&lt;/electronic-resource-num&gt;&lt;remote-database-provider&gt;NLM&lt;/remote-database-provider&gt;&lt;language&gt;eng&lt;/language&gt;&lt;/record&gt;&lt;/Cite&gt;&lt;/EndNote&gt;</w:instrText>
      </w:r>
      <w:r w:rsidRPr="00464E78">
        <w:rPr>
          <w:rFonts w:ascii="Times New Roman" w:eastAsia="宋体" w:hAnsi="Times New Roman" w:cs="Times New Roman"/>
          <w:sz w:val="24"/>
          <w:szCs w:val="24"/>
        </w:rPr>
        <w:fldChar w:fldCharType="separate"/>
      </w:r>
      <w:r w:rsidRPr="00464E78">
        <w:rPr>
          <w:rFonts w:ascii="Times New Roman" w:eastAsia="宋体" w:hAnsi="Times New Roman" w:cs="Times New Roman"/>
          <w:noProof/>
          <w:sz w:val="24"/>
          <w:szCs w:val="24"/>
          <w:vertAlign w:val="superscript"/>
        </w:rPr>
        <w:t>35</w:t>
      </w:r>
      <w:r w:rsidRPr="00464E78">
        <w:rPr>
          <w:rFonts w:ascii="Times New Roman" w:eastAsia="宋体" w:hAnsi="Times New Roman" w:cs="Times New Roman"/>
          <w:sz w:val="24"/>
          <w:szCs w:val="24"/>
        </w:rPr>
        <w:fldChar w:fldCharType="end"/>
      </w:r>
      <w:r w:rsidRPr="00464E78">
        <w:rPr>
          <w:rFonts w:ascii="Times New Roman" w:eastAsia="宋体" w:hAnsi="Times New Roman" w:cs="Times New Roman"/>
          <w:sz w:val="24"/>
          <w:szCs w:val="24"/>
        </w:rPr>
        <w:t>:</w:t>
      </w:r>
    </w:p>
    <w:p w14:paraId="3D19B2C4" w14:textId="77777777" w:rsidR="00E20402" w:rsidRPr="00464E78" w:rsidRDefault="00E20402" w:rsidP="00E20402">
      <w:pPr>
        <w:spacing w:line="360" w:lineRule="auto"/>
        <w:rPr>
          <w:rFonts w:ascii="Times New Roman" w:eastAsia="宋体" w:hAnsi="Times New Roman" w:cs="Times New Roman"/>
          <w:sz w:val="24"/>
          <w:szCs w:val="24"/>
        </w:rPr>
      </w:pPr>
      <m:oMathPara>
        <m:oMath>
          <m:r>
            <w:rPr>
              <w:rFonts w:ascii="Cambria Math" w:hAnsi="Cambria Math" w:cs="Times New Roman"/>
              <w:sz w:val="24"/>
              <w:szCs w:val="24"/>
            </w:rPr>
            <m:t xml:space="preserve">IBS </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t</m:t>
              </m:r>
            </m:den>
          </m:f>
          <m:nary>
            <m:naryPr>
              <m:limLoc m:val="subSup"/>
              <m:ctrlPr>
                <w:rPr>
                  <w:rFonts w:ascii="Cambria Math" w:hAnsi="Cambria Math" w:cs="Times New Roman"/>
                  <w:i/>
                  <w:sz w:val="24"/>
                  <w:szCs w:val="24"/>
                </w:rPr>
              </m:ctrlPr>
            </m:naryPr>
            <m:sub>
              <m:r>
                <w:rPr>
                  <w:rFonts w:ascii="Cambria Math" w:hAnsi="Cambria Math" w:cs="Times New Roman"/>
                  <w:sz w:val="24"/>
                  <w:szCs w:val="24"/>
                </w:rPr>
                <m:t>0</m:t>
              </m:r>
            </m:sub>
            <m:sup>
              <m:r>
                <w:rPr>
                  <w:rFonts w:ascii="Cambria Math" w:hAnsi="Cambria Math" w:cs="Times New Roman"/>
                  <w:sz w:val="24"/>
                  <w:szCs w:val="24"/>
                </w:rPr>
                <m:t>t</m:t>
              </m:r>
            </m:sup>
            <m:e>
              <m:r>
                <w:rPr>
                  <w:rFonts w:ascii="Cambria Math" w:hAnsi="Cambria Math" w:cs="Times New Roman"/>
                  <w:sz w:val="24"/>
                  <w:szCs w:val="24"/>
                </w:rPr>
                <m:t>E</m:t>
              </m:r>
              <m:d>
                <m:dPr>
                  <m:begChr m:val="["/>
                  <m:endChr m:val="]"/>
                  <m:ctrlPr>
                    <w:rPr>
                      <w:rFonts w:ascii="Cambria Math" w:hAnsi="Cambria Math" w:cs="Times New Roman"/>
                      <w:i/>
                      <w:sz w:val="24"/>
                      <w:szCs w:val="24"/>
                    </w:rPr>
                  </m:ctrlPr>
                </m:dPr>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 xml:space="preserve"> I</m:t>
                          </m:r>
                          <m:d>
                            <m:dPr>
                              <m:ctrlPr>
                                <w:rPr>
                                  <w:rFonts w:ascii="Cambria Math" w:hAnsi="Cambria Math" w:cs="Times New Roman"/>
                                  <w:i/>
                                  <w:sz w:val="24"/>
                                  <w:szCs w:val="24"/>
                                </w:rPr>
                              </m:ctrlPr>
                            </m:dPr>
                            <m:e>
                              <m:r>
                                <w:rPr>
                                  <w:rFonts w:ascii="Cambria Math" w:hAnsi="Cambria Math" w:cs="Times New Roman"/>
                                  <w:sz w:val="24"/>
                                  <w:szCs w:val="24"/>
                                </w:rPr>
                                <m:t>T&gt;t</m:t>
                              </m:r>
                            </m:e>
                          </m:d>
                          <m:r>
                            <w:rPr>
                              <w:rFonts w:ascii="Cambria Math" w:hAnsi="Cambria Math" w:cs="Times New Roman"/>
                              <w:sz w:val="24"/>
                              <w:szCs w:val="24"/>
                            </w:rPr>
                            <m:t>-S</m:t>
                          </m:r>
                          <m:d>
                            <m:dPr>
                              <m:ctrlPr>
                                <w:rPr>
                                  <w:rFonts w:ascii="Cambria Math" w:hAnsi="Cambria Math" w:cs="Times New Roman"/>
                                  <w:i/>
                                  <w:sz w:val="24"/>
                                  <w:szCs w:val="24"/>
                                </w:rPr>
                              </m:ctrlPr>
                            </m:dPr>
                            <m:e>
                              <m:r>
                                <w:rPr>
                                  <w:rFonts w:ascii="Cambria Math" w:hAnsi="Cambria Math" w:cs="Times New Roman"/>
                                  <w:sz w:val="24"/>
                                  <w:szCs w:val="24"/>
                                </w:rPr>
                                <m:t>t</m:t>
                              </m:r>
                            </m:e>
                            <m:e>
                              <m:r>
                                <w:rPr>
                                  <w:rFonts w:ascii="Cambria Math" w:hAnsi="Cambria Math" w:cs="Times New Roman"/>
                                  <w:sz w:val="24"/>
                                  <w:szCs w:val="24"/>
                                </w:rPr>
                                <m:t>Z</m:t>
                              </m:r>
                            </m:e>
                          </m:d>
                        </m:e>
                      </m:d>
                    </m:e>
                    <m:sup>
                      <m:r>
                        <w:rPr>
                          <w:rFonts w:ascii="Cambria Math" w:hAnsi="Cambria Math" w:cs="Times New Roman"/>
                          <w:sz w:val="24"/>
                          <w:szCs w:val="24"/>
                        </w:rPr>
                        <m:t>2</m:t>
                      </m:r>
                    </m:sup>
                  </m:sSup>
                </m:e>
              </m:d>
              <m:r>
                <w:rPr>
                  <w:rFonts w:ascii="Cambria Math" w:hAnsi="Cambria Math" w:cs="Times New Roman"/>
                  <w:sz w:val="24"/>
                  <w:szCs w:val="24"/>
                </w:rPr>
                <m:t>dFz(Z)</m:t>
              </m:r>
            </m:e>
          </m:nary>
        </m:oMath>
      </m:oMathPara>
    </w:p>
    <w:p w14:paraId="1DEBDF4C" w14:textId="77777777" w:rsidR="00E20402" w:rsidRPr="00464E78" w:rsidRDefault="00E20402" w:rsidP="00E20402">
      <w:pPr>
        <w:spacing w:line="360" w:lineRule="auto"/>
        <w:rPr>
          <w:rFonts w:ascii="Times New Roman" w:eastAsia="宋体" w:hAnsi="Times New Roman" w:cs="Times New Roman"/>
          <w:sz w:val="24"/>
          <w:szCs w:val="24"/>
        </w:rPr>
      </w:pPr>
      <w:r w:rsidRPr="00464E78">
        <w:rPr>
          <w:rFonts w:ascii="Times New Roman" w:eastAsia="宋体" w:hAnsi="Times New Roman" w:cs="Times New Roman"/>
          <w:sz w:val="24"/>
          <w:szCs w:val="24"/>
        </w:rPr>
        <w:lastRenderedPageBreak/>
        <w:t>where</w:t>
      </w:r>
      <w:bookmarkStart w:id="1" w:name="_Hlk152663591"/>
      <w:r w:rsidRPr="00464E78">
        <w:rPr>
          <w:rFonts w:ascii="Times New Roman" w:eastAsia="宋体" w:hAnsi="Times New Roman" w:cs="Times New Roman"/>
          <w:i/>
          <w:iCs/>
          <w:sz w:val="24"/>
          <w:szCs w:val="24"/>
        </w:rPr>
        <w:t xml:space="preserve"> I</w:t>
      </w:r>
      <w:bookmarkEnd w:id="1"/>
      <w:r w:rsidRPr="00464E78">
        <w:rPr>
          <w:rFonts w:ascii="Times New Roman" w:eastAsia="宋体" w:hAnsi="Times New Roman" w:cs="Times New Roman"/>
          <w:sz w:val="24"/>
          <w:szCs w:val="24"/>
        </w:rPr>
        <w:t>(</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&gt; </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w:t>
      </w:r>
      <w:r w:rsidRPr="00464E78">
        <w:rPr>
          <w:rFonts w:ascii="宋体" w:eastAsia="宋体" w:hAnsi="宋体" w:cs="宋体" w:hint="eastAsia"/>
          <w:sz w:val="24"/>
          <w:szCs w:val="24"/>
        </w:rPr>
        <w:t>∈</w:t>
      </w:r>
      <w:r w:rsidRPr="00464E78">
        <w:rPr>
          <w:rFonts w:ascii="Times New Roman" w:eastAsia="宋体" w:hAnsi="Times New Roman" w:cs="Times New Roman"/>
          <w:sz w:val="24"/>
          <w:szCs w:val="24"/>
        </w:rPr>
        <w:t xml:space="preserve"> {0, 1} is the individual survival status at time </w:t>
      </w:r>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 xml:space="preserve"> and </w:t>
      </w:r>
      <w:r w:rsidRPr="00464E78">
        <w:rPr>
          <w:rFonts w:ascii="Times New Roman" w:eastAsia="宋体" w:hAnsi="Times New Roman" w:cs="Times New Roman"/>
          <w:i/>
          <w:iCs/>
          <w:sz w:val="24"/>
          <w:szCs w:val="24"/>
        </w:rPr>
        <w:t>S</w:t>
      </w:r>
      <w:r w:rsidRPr="00464E78">
        <w:rPr>
          <w:rFonts w:ascii="Times New Roman" w:eastAsia="宋体" w:hAnsi="Times New Roman" w:cs="Times New Roman"/>
          <w:sz w:val="24"/>
          <w:szCs w:val="24"/>
        </w:rPr>
        <w:t>(</w:t>
      </w:r>
      <w:proofErr w:type="spellStart"/>
      <w:r w:rsidRPr="00464E78">
        <w:rPr>
          <w:rFonts w:ascii="Times New Roman" w:eastAsia="宋体" w:hAnsi="Times New Roman" w:cs="Times New Roman"/>
          <w:i/>
          <w:iCs/>
          <w:sz w:val="24"/>
          <w:szCs w:val="24"/>
        </w:rPr>
        <w:t>t</w:t>
      </w:r>
      <w:r w:rsidRPr="00464E78">
        <w:rPr>
          <w:rFonts w:ascii="Times New Roman" w:eastAsia="宋体" w:hAnsi="Times New Roman" w:cs="Times New Roman"/>
          <w:sz w:val="24"/>
          <w:szCs w:val="24"/>
        </w:rPr>
        <w:t>|</w:t>
      </w:r>
      <w:r w:rsidRPr="00464E78">
        <w:rPr>
          <w:rFonts w:ascii="Times New Roman" w:eastAsia="宋体" w:hAnsi="Times New Roman" w:cs="Times New Roman"/>
          <w:i/>
          <w:iCs/>
          <w:sz w:val="24"/>
          <w:szCs w:val="24"/>
        </w:rPr>
        <w:t>Z</w:t>
      </w:r>
      <w:proofErr w:type="spellEnd"/>
      <w:r w:rsidRPr="00464E78">
        <w:rPr>
          <w:rFonts w:ascii="Times New Roman" w:eastAsia="宋体" w:hAnsi="Times New Roman" w:cs="Times New Roman"/>
          <w:sz w:val="24"/>
          <w:szCs w:val="24"/>
        </w:rPr>
        <w:t xml:space="preserve">) is the predicted survival probabilities from the model with covariates </w:t>
      </w:r>
      <w:r w:rsidRPr="00464E78">
        <w:rPr>
          <w:rFonts w:ascii="Times New Roman" w:eastAsia="宋体" w:hAnsi="Times New Roman" w:cs="Times New Roman"/>
          <w:i/>
          <w:iCs/>
          <w:sz w:val="24"/>
          <w:szCs w:val="24"/>
        </w:rPr>
        <w:t>Z</w:t>
      </w:r>
      <w:r w:rsidRPr="00464E78">
        <w:rPr>
          <w:rFonts w:ascii="Times New Roman" w:eastAsia="宋体" w:hAnsi="Times New Roman" w:cs="Times New Roman"/>
          <w:sz w:val="24"/>
          <w:szCs w:val="24"/>
        </w:rPr>
        <w:t>. The IBS is also known as prediction error rate, where a value of 0.5 or higher indicates the model’s predictive performance is no better than a chance and a lower IBS corresponds to higher prediction ability.</w:t>
      </w:r>
    </w:p>
    <w:p w14:paraId="329F4EAD" w14:textId="77777777" w:rsidR="00E20402" w:rsidRPr="00464E78" w:rsidRDefault="00E20402" w:rsidP="00BF54D9">
      <w:pPr>
        <w:spacing w:line="360" w:lineRule="auto"/>
        <w:rPr>
          <w:rFonts w:ascii="Times New Roman" w:eastAsia="宋体" w:hAnsi="Times New Roman" w:cs="Times New Roman"/>
          <w:sz w:val="24"/>
          <w:szCs w:val="24"/>
        </w:rPr>
      </w:pPr>
    </w:p>
    <w:p w14:paraId="105E4DAA" w14:textId="77777777" w:rsidR="00BF54D9" w:rsidRPr="00464E78" w:rsidRDefault="00BF54D9">
      <w:pPr>
        <w:rPr>
          <w:rFonts w:ascii="Times New Roman" w:hAnsi="Times New Roman" w:cs="Times New Roman"/>
          <w:sz w:val="24"/>
          <w:szCs w:val="24"/>
        </w:rPr>
      </w:pPr>
    </w:p>
    <w:p w14:paraId="0FC1CF3F" w14:textId="6FC9A33A" w:rsidR="00BF54D9" w:rsidRPr="00464E78" w:rsidRDefault="00464E78">
      <w:pPr>
        <w:rPr>
          <w:rFonts w:ascii="Times New Roman" w:hAnsi="Times New Roman" w:cs="Times New Roman"/>
          <w:b/>
          <w:bCs/>
          <w:sz w:val="24"/>
          <w:szCs w:val="24"/>
        </w:rPr>
      </w:pPr>
      <w:r w:rsidRPr="00464E78">
        <w:rPr>
          <w:rFonts w:ascii="Times New Roman" w:hAnsi="Times New Roman" w:cs="Times New Roman"/>
          <w:b/>
          <w:bCs/>
          <w:sz w:val="24"/>
          <w:szCs w:val="24"/>
        </w:rPr>
        <w:t>Reference:</w:t>
      </w:r>
    </w:p>
    <w:p w14:paraId="267EA2A7" w14:textId="77777777" w:rsidR="00BF54D9" w:rsidRPr="00464E78" w:rsidRDefault="00BF54D9" w:rsidP="00BF54D9">
      <w:pPr>
        <w:pStyle w:val="EndNoteBibliography"/>
        <w:rPr>
          <w:rFonts w:ascii="Times New Roman" w:hAnsi="Times New Roman" w:cs="Times New Roman"/>
          <w:sz w:val="24"/>
          <w:szCs w:val="24"/>
        </w:rPr>
      </w:pPr>
      <w:r w:rsidRPr="00464E78">
        <w:rPr>
          <w:rFonts w:ascii="Times New Roman" w:hAnsi="Times New Roman" w:cs="Times New Roman"/>
          <w:sz w:val="24"/>
          <w:szCs w:val="24"/>
        </w:rPr>
        <w:fldChar w:fldCharType="begin"/>
      </w:r>
      <w:r w:rsidRPr="00464E78">
        <w:rPr>
          <w:rFonts w:ascii="Times New Roman" w:hAnsi="Times New Roman" w:cs="Times New Roman"/>
          <w:sz w:val="24"/>
          <w:szCs w:val="24"/>
        </w:rPr>
        <w:instrText xml:space="preserve"> ADDIN EN.REFLIST </w:instrText>
      </w:r>
      <w:r w:rsidRPr="00464E78">
        <w:rPr>
          <w:rFonts w:ascii="Times New Roman" w:hAnsi="Times New Roman" w:cs="Times New Roman"/>
          <w:sz w:val="24"/>
          <w:szCs w:val="24"/>
        </w:rPr>
        <w:fldChar w:fldCharType="separate"/>
      </w:r>
      <w:r w:rsidRPr="00464E78">
        <w:rPr>
          <w:rFonts w:ascii="Times New Roman" w:hAnsi="Times New Roman" w:cs="Times New Roman"/>
          <w:sz w:val="24"/>
          <w:szCs w:val="24"/>
        </w:rPr>
        <w:t>1.</w:t>
      </w:r>
      <w:r w:rsidRPr="00464E78">
        <w:rPr>
          <w:rFonts w:ascii="Times New Roman" w:hAnsi="Times New Roman" w:cs="Times New Roman"/>
          <w:sz w:val="24"/>
          <w:szCs w:val="24"/>
        </w:rPr>
        <w:tab/>
        <w:t xml:space="preserve">Andersen PK, Gill RD. Cox's Regression Model for Counting Processes: A Large Sample Study. </w:t>
      </w:r>
      <w:r w:rsidRPr="00464E78">
        <w:rPr>
          <w:rFonts w:ascii="Times New Roman" w:hAnsi="Times New Roman" w:cs="Times New Roman"/>
          <w:i/>
          <w:sz w:val="24"/>
          <w:szCs w:val="24"/>
        </w:rPr>
        <w:t>The Annals of Statistics</w:t>
      </w:r>
      <w:r w:rsidRPr="00464E78">
        <w:rPr>
          <w:rFonts w:ascii="Times New Roman" w:hAnsi="Times New Roman" w:cs="Times New Roman"/>
          <w:sz w:val="24"/>
          <w:szCs w:val="24"/>
        </w:rPr>
        <w:t xml:space="preserve">. 1982;10(4):1100-1120, 21. </w:t>
      </w:r>
    </w:p>
    <w:p w14:paraId="36563CD0" w14:textId="77777777" w:rsidR="00BF54D9" w:rsidRPr="00464E78" w:rsidRDefault="00BF54D9" w:rsidP="00BF54D9">
      <w:pPr>
        <w:pStyle w:val="EndNoteBibliography"/>
        <w:rPr>
          <w:rFonts w:ascii="Times New Roman" w:hAnsi="Times New Roman" w:cs="Times New Roman"/>
          <w:sz w:val="24"/>
          <w:szCs w:val="24"/>
        </w:rPr>
      </w:pPr>
      <w:r w:rsidRPr="00464E78">
        <w:rPr>
          <w:rFonts w:ascii="Times New Roman" w:hAnsi="Times New Roman" w:cs="Times New Roman"/>
          <w:sz w:val="24"/>
          <w:szCs w:val="24"/>
        </w:rPr>
        <w:t>2.</w:t>
      </w:r>
      <w:r w:rsidRPr="00464E78">
        <w:rPr>
          <w:rFonts w:ascii="Times New Roman" w:hAnsi="Times New Roman" w:cs="Times New Roman"/>
          <w:sz w:val="24"/>
          <w:szCs w:val="24"/>
        </w:rPr>
        <w:tab/>
        <w:t xml:space="preserve">Lambert PC, Royston P. Further Development of Flexible Parametric Models for Survival Analysis. </w:t>
      </w:r>
      <w:r w:rsidRPr="00464E78">
        <w:rPr>
          <w:rFonts w:ascii="Times New Roman" w:hAnsi="Times New Roman" w:cs="Times New Roman"/>
          <w:i/>
          <w:sz w:val="24"/>
          <w:szCs w:val="24"/>
        </w:rPr>
        <w:t>The Stata Journal</w:t>
      </w:r>
      <w:r w:rsidRPr="00464E78">
        <w:rPr>
          <w:rFonts w:ascii="Times New Roman" w:hAnsi="Times New Roman" w:cs="Times New Roman"/>
          <w:sz w:val="24"/>
          <w:szCs w:val="24"/>
        </w:rPr>
        <w:t>. 2009;9(2):265-290. doi:10.1177/1536867x0900900206</w:t>
      </w:r>
    </w:p>
    <w:p w14:paraId="19609F09" w14:textId="77777777" w:rsidR="00BF54D9" w:rsidRPr="00464E78" w:rsidRDefault="00BF54D9" w:rsidP="00BF54D9">
      <w:pPr>
        <w:pStyle w:val="EndNoteBibliography"/>
        <w:rPr>
          <w:rFonts w:ascii="Times New Roman" w:hAnsi="Times New Roman" w:cs="Times New Roman"/>
          <w:sz w:val="24"/>
          <w:szCs w:val="24"/>
        </w:rPr>
      </w:pPr>
      <w:r w:rsidRPr="00464E78">
        <w:rPr>
          <w:rFonts w:ascii="Times New Roman" w:hAnsi="Times New Roman" w:cs="Times New Roman"/>
          <w:sz w:val="24"/>
          <w:szCs w:val="24"/>
        </w:rPr>
        <w:t>3.</w:t>
      </w:r>
      <w:r w:rsidRPr="00464E78">
        <w:rPr>
          <w:rFonts w:ascii="Times New Roman" w:hAnsi="Times New Roman" w:cs="Times New Roman"/>
          <w:sz w:val="24"/>
          <w:szCs w:val="24"/>
        </w:rPr>
        <w:tab/>
        <w:t xml:space="preserve">Ishwaran H, Kogalur UB, Blackstone EH, Lauer MS. Random survival forests. </w:t>
      </w:r>
      <w:r w:rsidRPr="00464E78">
        <w:rPr>
          <w:rFonts w:ascii="Times New Roman" w:hAnsi="Times New Roman" w:cs="Times New Roman"/>
          <w:i/>
          <w:sz w:val="24"/>
          <w:szCs w:val="24"/>
        </w:rPr>
        <w:t>The Annals of Applied Statistics</w:t>
      </w:r>
      <w:r w:rsidRPr="00464E78">
        <w:rPr>
          <w:rFonts w:ascii="Times New Roman" w:hAnsi="Times New Roman" w:cs="Times New Roman"/>
          <w:sz w:val="24"/>
          <w:szCs w:val="24"/>
        </w:rPr>
        <w:t xml:space="preserve">. 2008;2(3):841-860, 20. </w:t>
      </w:r>
    </w:p>
    <w:p w14:paraId="13687F74" w14:textId="77777777" w:rsidR="00BF54D9" w:rsidRPr="00464E78" w:rsidRDefault="00BF54D9" w:rsidP="00BF54D9">
      <w:pPr>
        <w:pStyle w:val="EndNoteBibliography"/>
        <w:rPr>
          <w:rFonts w:ascii="Times New Roman" w:hAnsi="Times New Roman" w:cs="Times New Roman"/>
          <w:sz w:val="24"/>
          <w:szCs w:val="24"/>
        </w:rPr>
      </w:pPr>
      <w:r w:rsidRPr="00464E78">
        <w:rPr>
          <w:rFonts w:ascii="Times New Roman" w:hAnsi="Times New Roman" w:cs="Times New Roman"/>
          <w:sz w:val="24"/>
          <w:szCs w:val="24"/>
        </w:rPr>
        <w:t>4.</w:t>
      </w:r>
      <w:r w:rsidRPr="00464E78">
        <w:rPr>
          <w:rFonts w:ascii="Times New Roman" w:hAnsi="Times New Roman" w:cs="Times New Roman"/>
          <w:sz w:val="24"/>
          <w:szCs w:val="24"/>
        </w:rPr>
        <w:tab/>
        <w:t xml:space="preserve">Hothorn T, Hornik K, Zeileis A. Unbiased Recursive Partitioning: A Conditional Inference Framework. </w:t>
      </w:r>
      <w:r w:rsidRPr="00464E78">
        <w:rPr>
          <w:rFonts w:ascii="Times New Roman" w:hAnsi="Times New Roman" w:cs="Times New Roman"/>
          <w:i/>
          <w:sz w:val="24"/>
          <w:szCs w:val="24"/>
        </w:rPr>
        <w:t>Journal of Computational and Graphical Statistics</w:t>
      </w:r>
      <w:r w:rsidRPr="00464E78">
        <w:rPr>
          <w:rFonts w:ascii="Times New Roman" w:hAnsi="Times New Roman" w:cs="Times New Roman"/>
          <w:sz w:val="24"/>
          <w:szCs w:val="24"/>
        </w:rPr>
        <w:t>. 2006/09/01 2006;15(3):651-674. doi:10.1198/106186006X133933</w:t>
      </w:r>
    </w:p>
    <w:p w14:paraId="3E8DA6EE" w14:textId="77777777" w:rsidR="00BF54D9" w:rsidRPr="00464E78" w:rsidRDefault="00BF54D9" w:rsidP="00BF54D9">
      <w:pPr>
        <w:pStyle w:val="EndNoteBibliography"/>
        <w:rPr>
          <w:rFonts w:ascii="Times New Roman" w:hAnsi="Times New Roman" w:cs="Times New Roman"/>
          <w:sz w:val="24"/>
          <w:szCs w:val="24"/>
        </w:rPr>
      </w:pPr>
      <w:r w:rsidRPr="00464E78">
        <w:rPr>
          <w:rFonts w:ascii="Times New Roman" w:hAnsi="Times New Roman" w:cs="Times New Roman"/>
          <w:sz w:val="24"/>
          <w:szCs w:val="24"/>
        </w:rPr>
        <w:t>5.</w:t>
      </w:r>
      <w:r w:rsidRPr="00464E78">
        <w:rPr>
          <w:rFonts w:ascii="Times New Roman" w:hAnsi="Times New Roman" w:cs="Times New Roman"/>
          <w:sz w:val="24"/>
          <w:szCs w:val="24"/>
        </w:rPr>
        <w:tab/>
        <w:t xml:space="preserve">Wright MN, Dankowski T, Ziegler A. Unbiased split variable selection for random survival forests using maximally selected rank statistics. </w:t>
      </w:r>
      <w:r w:rsidRPr="00464E78">
        <w:rPr>
          <w:rFonts w:ascii="Times New Roman" w:hAnsi="Times New Roman" w:cs="Times New Roman"/>
          <w:i/>
          <w:sz w:val="24"/>
          <w:szCs w:val="24"/>
        </w:rPr>
        <w:t>Stat Med</w:t>
      </w:r>
      <w:r w:rsidRPr="00464E78">
        <w:rPr>
          <w:rFonts w:ascii="Times New Roman" w:hAnsi="Times New Roman" w:cs="Times New Roman"/>
          <w:sz w:val="24"/>
          <w:szCs w:val="24"/>
        </w:rPr>
        <w:t>. Apr 15 2017;36(8):1272-1284. doi:10.1002/sim.7212</w:t>
      </w:r>
    </w:p>
    <w:p w14:paraId="26DE6748" w14:textId="77777777" w:rsidR="00BF54D9" w:rsidRPr="00464E78" w:rsidRDefault="00BF54D9" w:rsidP="00BF54D9">
      <w:pPr>
        <w:pStyle w:val="EndNoteBibliography"/>
        <w:rPr>
          <w:rFonts w:ascii="Times New Roman" w:hAnsi="Times New Roman" w:cs="Times New Roman"/>
          <w:sz w:val="24"/>
          <w:szCs w:val="24"/>
        </w:rPr>
      </w:pPr>
      <w:r w:rsidRPr="00464E78">
        <w:rPr>
          <w:rFonts w:ascii="Times New Roman" w:hAnsi="Times New Roman" w:cs="Times New Roman"/>
          <w:sz w:val="24"/>
          <w:szCs w:val="24"/>
        </w:rPr>
        <w:t>6.</w:t>
      </w:r>
      <w:r w:rsidRPr="00464E78">
        <w:rPr>
          <w:rFonts w:ascii="Times New Roman" w:hAnsi="Times New Roman" w:cs="Times New Roman"/>
          <w:sz w:val="24"/>
          <w:szCs w:val="24"/>
        </w:rPr>
        <w:tab/>
        <w:t xml:space="preserve">Jaeger BC, Welden S, Lenoir K, et al. Accelerated and Interpretable Oblique Random Survival Forests. </w:t>
      </w:r>
      <w:r w:rsidRPr="00464E78">
        <w:rPr>
          <w:rFonts w:ascii="Times New Roman" w:hAnsi="Times New Roman" w:cs="Times New Roman"/>
          <w:i/>
          <w:sz w:val="24"/>
          <w:szCs w:val="24"/>
        </w:rPr>
        <w:t>Journal of Computational and Graphical Statistics</w:t>
      </w:r>
      <w:r w:rsidRPr="00464E78">
        <w:rPr>
          <w:rFonts w:ascii="Times New Roman" w:hAnsi="Times New Roman" w:cs="Times New Roman"/>
          <w:sz w:val="24"/>
          <w:szCs w:val="24"/>
        </w:rPr>
        <w:t>.1-16. doi:10.1080/10618600.2023.2231048</w:t>
      </w:r>
    </w:p>
    <w:p w14:paraId="7FF3945D" w14:textId="77777777" w:rsidR="00BF54D9" w:rsidRPr="00464E78" w:rsidRDefault="00BF54D9" w:rsidP="00BF54D9">
      <w:pPr>
        <w:pStyle w:val="EndNoteBibliography"/>
        <w:rPr>
          <w:rFonts w:ascii="Times New Roman" w:hAnsi="Times New Roman" w:cs="Times New Roman"/>
          <w:sz w:val="24"/>
          <w:szCs w:val="24"/>
        </w:rPr>
      </w:pPr>
      <w:r w:rsidRPr="00464E78">
        <w:rPr>
          <w:rFonts w:ascii="Times New Roman" w:hAnsi="Times New Roman" w:cs="Times New Roman"/>
          <w:sz w:val="24"/>
          <w:szCs w:val="24"/>
        </w:rPr>
        <w:t>7.</w:t>
      </w:r>
      <w:r w:rsidRPr="00464E78">
        <w:rPr>
          <w:rFonts w:ascii="Times New Roman" w:hAnsi="Times New Roman" w:cs="Times New Roman"/>
          <w:sz w:val="24"/>
          <w:szCs w:val="24"/>
        </w:rPr>
        <w:tab/>
        <w:t xml:space="preserve">Tutz G, Binder H. Generalized additive modeling with implicit variable selection by likelihood-based boosting. </w:t>
      </w:r>
      <w:r w:rsidRPr="00464E78">
        <w:rPr>
          <w:rFonts w:ascii="Times New Roman" w:hAnsi="Times New Roman" w:cs="Times New Roman"/>
          <w:i/>
          <w:sz w:val="24"/>
          <w:szCs w:val="24"/>
        </w:rPr>
        <w:t>Biometrics</w:t>
      </w:r>
      <w:r w:rsidRPr="00464E78">
        <w:rPr>
          <w:rFonts w:ascii="Times New Roman" w:hAnsi="Times New Roman" w:cs="Times New Roman"/>
          <w:sz w:val="24"/>
          <w:szCs w:val="24"/>
        </w:rPr>
        <w:t>. Dec 2006;62(4):961-71. doi:10.1111/j.1541-0420.2006.00578.x</w:t>
      </w:r>
    </w:p>
    <w:p w14:paraId="27E95D84" w14:textId="77777777" w:rsidR="00BF54D9" w:rsidRPr="00464E78" w:rsidRDefault="00BF54D9" w:rsidP="00BF54D9">
      <w:pPr>
        <w:pStyle w:val="EndNoteBibliography"/>
        <w:rPr>
          <w:rFonts w:ascii="Times New Roman" w:hAnsi="Times New Roman" w:cs="Times New Roman"/>
          <w:sz w:val="24"/>
          <w:szCs w:val="24"/>
        </w:rPr>
      </w:pPr>
      <w:r w:rsidRPr="00464E78">
        <w:rPr>
          <w:rFonts w:ascii="Times New Roman" w:hAnsi="Times New Roman" w:cs="Times New Roman"/>
          <w:sz w:val="24"/>
          <w:szCs w:val="24"/>
        </w:rPr>
        <w:t>8.</w:t>
      </w:r>
      <w:r w:rsidRPr="00464E78">
        <w:rPr>
          <w:rFonts w:ascii="Times New Roman" w:hAnsi="Times New Roman" w:cs="Times New Roman"/>
          <w:sz w:val="24"/>
          <w:szCs w:val="24"/>
        </w:rPr>
        <w:tab/>
        <w:t xml:space="preserve">Bühlmann P, Yu B. Boosting With the L2 Loss. </w:t>
      </w:r>
      <w:r w:rsidRPr="00464E78">
        <w:rPr>
          <w:rFonts w:ascii="Times New Roman" w:hAnsi="Times New Roman" w:cs="Times New Roman"/>
          <w:i/>
          <w:sz w:val="24"/>
          <w:szCs w:val="24"/>
        </w:rPr>
        <w:t>Journal of the American Statistical Association</w:t>
      </w:r>
      <w:r w:rsidRPr="00464E78">
        <w:rPr>
          <w:rFonts w:ascii="Times New Roman" w:hAnsi="Times New Roman" w:cs="Times New Roman"/>
          <w:sz w:val="24"/>
          <w:szCs w:val="24"/>
        </w:rPr>
        <w:t>. 2003/06/01 2003;98(462):324-339. doi:10.1198/016214503000125</w:t>
      </w:r>
    </w:p>
    <w:p w14:paraId="13CB96D7" w14:textId="77777777" w:rsidR="00BF54D9" w:rsidRPr="00464E78" w:rsidRDefault="00BF54D9" w:rsidP="00BF54D9">
      <w:pPr>
        <w:pStyle w:val="EndNoteBibliography"/>
        <w:rPr>
          <w:rFonts w:ascii="Times New Roman" w:hAnsi="Times New Roman" w:cs="Times New Roman"/>
          <w:sz w:val="24"/>
          <w:szCs w:val="24"/>
        </w:rPr>
      </w:pPr>
      <w:r w:rsidRPr="00464E78">
        <w:rPr>
          <w:rFonts w:ascii="Times New Roman" w:hAnsi="Times New Roman" w:cs="Times New Roman"/>
          <w:sz w:val="24"/>
          <w:szCs w:val="24"/>
        </w:rPr>
        <w:t>9.</w:t>
      </w:r>
      <w:r w:rsidRPr="00464E78">
        <w:rPr>
          <w:rFonts w:ascii="Times New Roman" w:hAnsi="Times New Roman" w:cs="Times New Roman"/>
          <w:sz w:val="24"/>
          <w:szCs w:val="24"/>
        </w:rPr>
        <w:tab/>
        <w:t xml:space="preserve">Bühlmann P, Hothorn T. Boosting Algorithms: Regularization, Prediction and Model Fitting. </w:t>
      </w:r>
      <w:r w:rsidRPr="00464E78">
        <w:rPr>
          <w:rFonts w:ascii="Times New Roman" w:hAnsi="Times New Roman" w:cs="Times New Roman"/>
          <w:i/>
          <w:sz w:val="24"/>
          <w:szCs w:val="24"/>
        </w:rPr>
        <w:t>Statistical Science</w:t>
      </w:r>
      <w:r w:rsidRPr="00464E78">
        <w:rPr>
          <w:rFonts w:ascii="Times New Roman" w:hAnsi="Times New Roman" w:cs="Times New Roman"/>
          <w:sz w:val="24"/>
          <w:szCs w:val="24"/>
        </w:rPr>
        <w:t xml:space="preserve">. 2007;22(4):477-505, 29. </w:t>
      </w:r>
    </w:p>
    <w:p w14:paraId="53D81344" w14:textId="4B4E3ECA" w:rsidR="00353194" w:rsidRPr="00464E78" w:rsidRDefault="00BF54D9">
      <w:pPr>
        <w:rPr>
          <w:rFonts w:ascii="Times New Roman" w:hAnsi="Times New Roman" w:cs="Times New Roman"/>
          <w:sz w:val="24"/>
          <w:szCs w:val="24"/>
        </w:rPr>
      </w:pPr>
      <w:r w:rsidRPr="00464E78">
        <w:rPr>
          <w:rFonts w:ascii="Times New Roman" w:hAnsi="Times New Roman" w:cs="Times New Roman"/>
          <w:sz w:val="24"/>
          <w:szCs w:val="24"/>
        </w:rPr>
        <w:fldChar w:fldCharType="end"/>
      </w:r>
    </w:p>
    <w:sectPr w:rsidR="00353194" w:rsidRPr="00464E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2A3B1" w14:textId="77777777" w:rsidR="00071BAE" w:rsidRDefault="00071BAE" w:rsidP="00464E78">
      <w:r>
        <w:separator/>
      </w:r>
    </w:p>
  </w:endnote>
  <w:endnote w:type="continuationSeparator" w:id="0">
    <w:p w14:paraId="7E5CBEDD" w14:textId="77777777" w:rsidR="00071BAE" w:rsidRDefault="00071BAE" w:rsidP="00464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D2CAF" w14:textId="77777777" w:rsidR="00071BAE" w:rsidRDefault="00071BAE" w:rsidP="00464E78">
      <w:r>
        <w:separator/>
      </w:r>
    </w:p>
  </w:footnote>
  <w:footnote w:type="continuationSeparator" w:id="0">
    <w:p w14:paraId="2DC8C8CE" w14:textId="77777777" w:rsidR="00071BAE" w:rsidRDefault="00071BAE" w:rsidP="00464E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AMA&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76539"/>
    <w:rsid w:val="00002466"/>
    <w:rsid w:val="00071BAE"/>
    <w:rsid w:val="001550C5"/>
    <w:rsid w:val="00353194"/>
    <w:rsid w:val="00464E78"/>
    <w:rsid w:val="00676539"/>
    <w:rsid w:val="007C6AD3"/>
    <w:rsid w:val="008E7745"/>
    <w:rsid w:val="00936412"/>
    <w:rsid w:val="009D1485"/>
    <w:rsid w:val="00B700B5"/>
    <w:rsid w:val="00BF54D9"/>
    <w:rsid w:val="00DA1140"/>
    <w:rsid w:val="00E20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BA149"/>
  <w15:chartTrackingRefBased/>
  <w15:docId w15:val="{38BF7769-5509-4031-BC41-4C644D6DE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4D9"/>
    <w:pPr>
      <w:widowControl w:val="0"/>
      <w:jc w:val="both"/>
    </w:pPr>
  </w:style>
  <w:style w:type="paragraph" w:styleId="1">
    <w:name w:val="heading 1"/>
    <w:basedOn w:val="a"/>
    <w:next w:val="a"/>
    <w:link w:val="10"/>
    <w:uiPriority w:val="9"/>
    <w:qFormat/>
    <w:rsid w:val="0067653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7653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7653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7653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76539"/>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7653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7653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7653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7653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样式1"/>
    <w:basedOn w:val="a1"/>
    <w:uiPriority w:val="99"/>
    <w:rsid w:val="00DA1140"/>
    <w:tblPr>
      <w:jc w:val="center"/>
      <w:tblBorders>
        <w:top w:val="single" w:sz="12" w:space="0" w:color="auto"/>
        <w:bottom w:val="single" w:sz="12" w:space="0" w:color="auto"/>
      </w:tblBorders>
    </w:tblPr>
    <w:trPr>
      <w:jc w:val="center"/>
    </w:trPr>
    <w:tblStylePr w:type="firstRow">
      <w:tblPr/>
      <w:tcPr>
        <w:tcBorders>
          <w:top w:val="single" w:sz="12" w:space="0" w:color="auto"/>
          <w:left w:val="nil"/>
          <w:bottom w:val="single" w:sz="6" w:space="0" w:color="auto"/>
          <w:right w:val="nil"/>
          <w:insideH w:val="nil"/>
          <w:insideV w:val="nil"/>
          <w:tl2br w:val="nil"/>
          <w:tr2bl w:val="nil"/>
        </w:tcBorders>
      </w:tcPr>
    </w:tblStylePr>
  </w:style>
  <w:style w:type="table" w:customStyle="1" w:styleId="31">
    <w:name w:val="样式3"/>
    <w:basedOn w:val="a1"/>
    <w:uiPriority w:val="99"/>
    <w:rsid w:val="00DA1140"/>
    <w:rPr>
      <w:rFonts w:ascii="Times New Roman" w:eastAsia="宋体" w:hAnsi="Times New Roman" w:cs="Times New Roman"/>
      <w:kern w:val="0"/>
      <w:sz w:val="20"/>
      <w:szCs w:val="20"/>
      <w14:ligatures w14:val="none"/>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customStyle="1" w:styleId="10">
    <w:name w:val="标题 1 字符"/>
    <w:basedOn w:val="a0"/>
    <w:link w:val="1"/>
    <w:uiPriority w:val="9"/>
    <w:rsid w:val="0067653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7653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7653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76539"/>
    <w:rPr>
      <w:rFonts w:cstheme="majorBidi"/>
      <w:color w:val="0F4761" w:themeColor="accent1" w:themeShade="BF"/>
      <w:sz w:val="28"/>
      <w:szCs w:val="28"/>
    </w:rPr>
  </w:style>
  <w:style w:type="character" w:customStyle="1" w:styleId="50">
    <w:name w:val="标题 5 字符"/>
    <w:basedOn w:val="a0"/>
    <w:link w:val="5"/>
    <w:uiPriority w:val="9"/>
    <w:semiHidden/>
    <w:rsid w:val="00676539"/>
    <w:rPr>
      <w:rFonts w:cstheme="majorBidi"/>
      <w:color w:val="0F4761" w:themeColor="accent1" w:themeShade="BF"/>
      <w:sz w:val="24"/>
      <w:szCs w:val="24"/>
    </w:rPr>
  </w:style>
  <w:style w:type="character" w:customStyle="1" w:styleId="60">
    <w:name w:val="标题 6 字符"/>
    <w:basedOn w:val="a0"/>
    <w:link w:val="6"/>
    <w:uiPriority w:val="9"/>
    <w:semiHidden/>
    <w:rsid w:val="00676539"/>
    <w:rPr>
      <w:rFonts w:cstheme="majorBidi"/>
      <w:b/>
      <w:bCs/>
      <w:color w:val="0F4761" w:themeColor="accent1" w:themeShade="BF"/>
    </w:rPr>
  </w:style>
  <w:style w:type="character" w:customStyle="1" w:styleId="70">
    <w:name w:val="标题 7 字符"/>
    <w:basedOn w:val="a0"/>
    <w:link w:val="7"/>
    <w:uiPriority w:val="9"/>
    <w:semiHidden/>
    <w:rsid w:val="00676539"/>
    <w:rPr>
      <w:rFonts w:cstheme="majorBidi"/>
      <w:b/>
      <w:bCs/>
      <w:color w:val="595959" w:themeColor="text1" w:themeTint="A6"/>
    </w:rPr>
  </w:style>
  <w:style w:type="character" w:customStyle="1" w:styleId="80">
    <w:name w:val="标题 8 字符"/>
    <w:basedOn w:val="a0"/>
    <w:link w:val="8"/>
    <w:uiPriority w:val="9"/>
    <w:semiHidden/>
    <w:rsid w:val="00676539"/>
    <w:rPr>
      <w:rFonts w:cstheme="majorBidi"/>
      <w:color w:val="595959" w:themeColor="text1" w:themeTint="A6"/>
    </w:rPr>
  </w:style>
  <w:style w:type="character" w:customStyle="1" w:styleId="90">
    <w:name w:val="标题 9 字符"/>
    <w:basedOn w:val="a0"/>
    <w:link w:val="9"/>
    <w:uiPriority w:val="9"/>
    <w:semiHidden/>
    <w:rsid w:val="00676539"/>
    <w:rPr>
      <w:rFonts w:eastAsiaTheme="majorEastAsia" w:cstheme="majorBidi"/>
      <w:color w:val="595959" w:themeColor="text1" w:themeTint="A6"/>
    </w:rPr>
  </w:style>
  <w:style w:type="paragraph" w:styleId="a3">
    <w:name w:val="Title"/>
    <w:basedOn w:val="a"/>
    <w:next w:val="a"/>
    <w:link w:val="a4"/>
    <w:uiPriority w:val="10"/>
    <w:qFormat/>
    <w:rsid w:val="006765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765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65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765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6539"/>
    <w:pPr>
      <w:spacing w:before="160" w:after="160"/>
      <w:jc w:val="center"/>
    </w:pPr>
    <w:rPr>
      <w:i/>
      <w:iCs/>
      <w:color w:val="404040" w:themeColor="text1" w:themeTint="BF"/>
    </w:rPr>
  </w:style>
  <w:style w:type="character" w:customStyle="1" w:styleId="a8">
    <w:name w:val="引用 字符"/>
    <w:basedOn w:val="a0"/>
    <w:link w:val="a7"/>
    <w:uiPriority w:val="29"/>
    <w:rsid w:val="00676539"/>
    <w:rPr>
      <w:i/>
      <w:iCs/>
      <w:color w:val="404040" w:themeColor="text1" w:themeTint="BF"/>
    </w:rPr>
  </w:style>
  <w:style w:type="paragraph" w:styleId="a9">
    <w:name w:val="List Paragraph"/>
    <w:basedOn w:val="a"/>
    <w:uiPriority w:val="34"/>
    <w:qFormat/>
    <w:rsid w:val="00676539"/>
    <w:pPr>
      <w:ind w:left="720"/>
      <w:contextualSpacing/>
    </w:pPr>
  </w:style>
  <w:style w:type="character" w:styleId="aa">
    <w:name w:val="Intense Emphasis"/>
    <w:basedOn w:val="a0"/>
    <w:uiPriority w:val="21"/>
    <w:qFormat/>
    <w:rsid w:val="00676539"/>
    <w:rPr>
      <w:i/>
      <w:iCs/>
      <w:color w:val="0F4761" w:themeColor="accent1" w:themeShade="BF"/>
    </w:rPr>
  </w:style>
  <w:style w:type="paragraph" w:styleId="ab">
    <w:name w:val="Intense Quote"/>
    <w:basedOn w:val="a"/>
    <w:next w:val="a"/>
    <w:link w:val="ac"/>
    <w:uiPriority w:val="30"/>
    <w:qFormat/>
    <w:rsid w:val="00676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76539"/>
    <w:rPr>
      <w:i/>
      <w:iCs/>
      <w:color w:val="0F4761" w:themeColor="accent1" w:themeShade="BF"/>
    </w:rPr>
  </w:style>
  <w:style w:type="character" w:styleId="ad">
    <w:name w:val="Intense Reference"/>
    <w:basedOn w:val="a0"/>
    <w:uiPriority w:val="32"/>
    <w:qFormat/>
    <w:rsid w:val="00676539"/>
    <w:rPr>
      <w:b/>
      <w:bCs/>
      <w:smallCaps/>
      <w:color w:val="0F4761" w:themeColor="accent1" w:themeShade="BF"/>
      <w:spacing w:val="5"/>
    </w:rPr>
  </w:style>
  <w:style w:type="paragraph" w:customStyle="1" w:styleId="EndNoteBibliographyTitle">
    <w:name w:val="EndNote Bibliography Title"/>
    <w:basedOn w:val="a"/>
    <w:link w:val="EndNoteBibliographyTitle0"/>
    <w:rsid w:val="00BF54D9"/>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BF54D9"/>
    <w:rPr>
      <w:rFonts w:ascii="等线" w:eastAsia="等线" w:hAnsi="等线"/>
      <w:noProof/>
      <w:sz w:val="20"/>
    </w:rPr>
  </w:style>
  <w:style w:type="paragraph" w:customStyle="1" w:styleId="EndNoteBibliography">
    <w:name w:val="EndNote Bibliography"/>
    <w:basedOn w:val="a"/>
    <w:link w:val="EndNoteBibliography0"/>
    <w:rsid w:val="00BF54D9"/>
    <w:rPr>
      <w:rFonts w:ascii="等线" w:eastAsia="等线" w:hAnsi="等线"/>
      <w:noProof/>
      <w:sz w:val="20"/>
    </w:rPr>
  </w:style>
  <w:style w:type="character" w:customStyle="1" w:styleId="EndNoteBibliography0">
    <w:name w:val="EndNote Bibliography 字符"/>
    <w:basedOn w:val="a0"/>
    <w:link w:val="EndNoteBibliography"/>
    <w:rsid w:val="00BF54D9"/>
    <w:rPr>
      <w:rFonts w:ascii="等线" w:eastAsia="等线" w:hAnsi="等线"/>
      <w:noProof/>
      <w:sz w:val="20"/>
    </w:rPr>
  </w:style>
  <w:style w:type="paragraph" w:styleId="ae">
    <w:name w:val="header"/>
    <w:basedOn w:val="a"/>
    <w:link w:val="af"/>
    <w:uiPriority w:val="99"/>
    <w:unhideWhenUsed/>
    <w:rsid w:val="00464E78"/>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464E78"/>
    <w:rPr>
      <w:sz w:val="18"/>
      <w:szCs w:val="18"/>
    </w:rPr>
  </w:style>
  <w:style w:type="paragraph" w:styleId="af0">
    <w:name w:val="footer"/>
    <w:basedOn w:val="a"/>
    <w:link w:val="af1"/>
    <w:uiPriority w:val="99"/>
    <w:unhideWhenUsed/>
    <w:rsid w:val="00464E78"/>
    <w:pPr>
      <w:tabs>
        <w:tab w:val="center" w:pos="4153"/>
        <w:tab w:val="right" w:pos="8306"/>
      </w:tabs>
      <w:snapToGrid w:val="0"/>
      <w:jc w:val="left"/>
    </w:pPr>
    <w:rPr>
      <w:sz w:val="18"/>
      <w:szCs w:val="18"/>
    </w:rPr>
  </w:style>
  <w:style w:type="character" w:customStyle="1" w:styleId="af1">
    <w:name w:val="页脚 字符"/>
    <w:basedOn w:val="a0"/>
    <w:link w:val="af0"/>
    <w:uiPriority w:val="99"/>
    <w:rsid w:val="00464E7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4058</Words>
  <Characters>23133</Characters>
  <Application>Microsoft Office Word</Application>
  <DocSecurity>0</DocSecurity>
  <Lines>192</Lines>
  <Paragraphs>54</Paragraphs>
  <ScaleCrop>false</ScaleCrop>
  <Company/>
  <LinksUpToDate>false</LinksUpToDate>
  <CharactersWithSpaces>27137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诩攸 莫</dc:creator>
  <cp:keywords/>
  <dc:description/>
  <cp:lastModifiedBy>Yu Kaixu</cp:lastModifiedBy>
  <cp:revision>2</cp:revision>
  <dcterms:created xsi:type="dcterms:W3CDTF">2024-06-11T12:05:00Z</dcterms:created>
  <dcterms:modified xsi:type="dcterms:W3CDTF">2024-06-11T12:05:00Z</dcterms:modified>
</cp:coreProperties>
</file>