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554C9">
      <w:pPr>
        <w:spacing w:line="240" w:lineRule="auto"/>
        <w:jc w:val="both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lang w:bidi="ar"/>
        </w:rPr>
        <w:t xml:space="preserve">Table </w:t>
      </w:r>
      <w:r>
        <w:rPr>
          <w:rFonts w:hint="eastAsia" w:ascii="Times New Roman" w:hAnsi="Times New Roman" w:eastAsia="宋体"/>
          <w:b/>
          <w:lang w:val="en-US" w:eastAsia="zh-CN" w:bidi="ar"/>
        </w:rPr>
        <w:t>3</w:t>
      </w:r>
      <w:r>
        <w:rPr>
          <w:rFonts w:ascii="Times New Roman" w:hAnsi="Times New Roman" w:eastAsia="Times New Roman"/>
          <w:b/>
          <w:lang w:bidi="ar"/>
        </w:rPr>
        <w:t>.</w:t>
      </w:r>
      <w:r>
        <w:rPr>
          <w:rFonts w:hint="eastAsia" w:ascii="Times New Roman" w:hAnsi="Times New Roman" w:eastAsia="宋体"/>
          <w:b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Comparison of the AUC values between the existing EMT-related models in ccRCC and our model.</w:t>
      </w:r>
      <w:bookmarkStart w:id="0" w:name="_GoBack"/>
      <w:bookmarkEnd w:id="0"/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1738"/>
        <w:gridCol w:w="2390"/>
        <w:gridCol w:w="1783"/>
      </w:tblGrid>
      <w:tr w14:paraId="42635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530" w:type="pct"/>
            <w:vAlign w:val="center"/>
          </w:tcPr>
          <w:p w14:paraId="5C9C009B">
            <w:pPr>
              <w:bidi w:val="0"/>
              <w:jc w:val="center"/>
              <w:rPr>
                <w:rFonts w:hint="default"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Title</w:t>
            </w:r>
          </w:p>
        </w:tc>
        <w:tc>
          <w:tcPr>
            <w:tcW w:w="1020" w:type="pct"/>
          </w:tcPr>
          <w:p w14:paraId="5277C762">
            <w:pPr>
              <w:rPr>
                <w:rFonts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</w:p>
          <w:p w14:paraId="76E7B968">
            <w:pPr>
              <w:bidi w:val="0"/>
              <w:jc w:val="center"/>
              <w:rPr>
                <w:rFonts w:hint="default"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Datasets</w:t>
            </w:r>
          </w:p>
        </w:tc>
        <w:tc>
          <w:tcPr>
            <w:tcW w:w="1402" w:type="pct"/>
            <w:vAlign w:val="top"/>
          </w:tcPr>
          <w:p w14:paraId="1504A5BA">
            <w:pPr>
              <w:bidi w:val="0"/>
              <w:jc w:val="both"/>
              <w:rPr>
                <w:rFonts w:hint="eastAsia"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</w:p>
          <w:p w14:paraId="09F8CC8B">
            <w:pPr>
              <w:bidi w:val="0"/>
              <w:jc w:val="center"/>
              <w:rPr>
                <w:rFonts w:hint="default"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AUC</w:t>
            </w:r>
          </w:p>
        </w:tc>
        <w:tc>
          <w:tcPr>
            <w:tcW w:w="1046" w:type="pct"/>
          </w:tcPr>
          <w:p w14:paraId="31F68B95">
            <w:pPr>
              <w:bidi w:val="0"/>
              <w:ind w:firstLine="532" w:firstLineChars="0"/>
              <w:jc w:val="left"/>
              <w:rPr>
                <w:rFonts w:hint="eastAsia"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</w:p>
          <w:p w14:paraId="4BB4D4A5">
            <w:pPr>
              <w:bidi w:val="0"/>
              <w:jc w:val="center"/>
              <w:rPr>
                <w:rFonts w:hint="default"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AUC of our model</w:t>
            </w:r>
          </w:p>
        </w:tc>
      </w:tr>
      <w:tr w14:paraId="03F7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30" w:type="pct"/>
            <w:vMerge w:val="restart"/>
          </w:tcPr>
          <w:p w14:paraId="471FB3C1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3D22850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450" w:lineRule="atLeast"/>
              <w:ind w:left="0" w:right="0" w:firstLine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Integrating bioinformatic analysis and detailed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experiments reveal an EMT‐related biomarker for clear cell renal cell carcinoma</w:t>
            </w:r>
          </w:p>
          <w:p w14:paraId="38773CF9"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  <w:vMerge w:val="restart"/>
          </w:tcPr>
          <w:p w14:paraId="68FFEF5B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157EEF50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047434E0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TCGA-KIRC</w:t>
            </w:r>
          </w:p>
        </w:tc>
        <w:tc>
          <w:tcPr>
            <w:tcW w:w="1402" w:type="pct"/>
            <w:vAlign w:val="center"/>
          </w:tcPr>
          <w:p w14:paraId="6EDD67A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1-year：0.760</w:t>
            </w:r>
          </w:p>
        </w:tc>
        <w:tc>
          <w:tcPr>
            <w:tcW w:w="1046" w:type="pct"/>
            <w:vAlign w:val="center"/>
          </w:tcPr>
          <w:p w14:paraId="3ED843C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0.770</w:t>
            </w:r>
          </w:p>
        </w:tc>
      </w:tr>
      <w:tr w14:paraId="7151F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30" w:type="pct"/>
            <w:vMerge w:val="continue"/>
          </w:tcPr>
          <w:p w14:paraId="3259E2F1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  <w:vMerge w:val="continue"/>
          </w:tcPr>
          <w:p w14:paraId="76A128CB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2" w:type="pct"/>
            <w:vAlign w:val="center"/>
          </w:tcPr>
          <w:p w14:paraId="1CE17D7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3-year：0.711</w:t>
            </w:r>
          </w:p>
        </w:tc>
        <w:tc>
          <w:tcPr>
            <w:tcW w:w="1046" w:type="pct"/>
            <w:vAlign w:val="center"/>
          </w:tcPr>
          <w:p w14:paraId="29604D0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0.731</w:t>
            </w:r>
          </w:p>
        </w:tc>
      </w:tr>
      <w:tr w14:paraId="67F82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30" w:type="pct"/>
            <w:vMerge w:val="continue"/>
          </w:tcPr>
          <w:p w14:paraId="01BF5334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  <w:vMerge w:val="continue"/>
          </w:tcPr>
          <w:p w14:paraId="5080BDB2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2" w:type="pct"/>
            <w:vAlign w:val="center"/>
          </w:tcPr>
          <w:p w14:paraId="35BC847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5-year：0.748</w:t>
            </w:r>
          </w:p>
        </w:tc>
        <w:tc>
          <w:tcPr>
            <w:tcW w:w="1046" w:type="pct"/>
            <w:vAlign w:val="center"/>
          </w:tcPr>
          <w:p w14:paraId="7300C6E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0.749</w:t>
            </w:r>
          </w:p>
        </w:tc>
      </w:tr>
      <w:tr w14:paraId="09AE1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30" w:type="pct"/>
            <w:vMerge w:val="continue"/>
          </w:tcPr>
          <w:p w14:paraId="436CBF2B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  <w:vMerge w:val="restart"/>
          </w:tcPr>
          <w:p w14:paraId="09362D8A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3D34224C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5D22A785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ICGC</w:t>
            </w:r>
          </w:p>
        </w:tc>
        <w:tc>
          <w:tcPr>
            <w:tcW w:w="1402" w:type="pct"/>
            <w:vAlign w:val="center"/>
          </w:tcPr>
          <w:p w14:paraId="557AD53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1-year：0.561</w:t>
            </w:r>
          </w:p>
        </w:tc>
        <w:tc>
          <w:tcPr>
            <w:tcW w:w="1046" w:type="pct"/>
            <w:vAlign w:val="center"/>
          </w:tcPr>
          <w:p w14:paraId="1BB9A9D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0.502</w:t>
            </w:r>
          </w:p>
        </w:tc>
      </w:tr>
      <w:tr w14:paraId="4B50A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30" w:type="pct"/>
            <w:vMerge w:val="continue"/>
          </w:tcPr>
          <w:p w14:paraId="7F31E29D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  <w:vMerge w:val="continue"/>
          </w:tcPr>
          <w:p w14:paraId="1C91439E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2" w:type="pct"/>
            <w:vAlign w:val="center"/>
          </w:tcPr>
          <w:p w14:paraId="42139CF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3-year：0.625</w:t>
            </w:r>
          </w:p>
        </w:tc>
        <w:tc>
          <w:tcPr>
            <w:tcW w:w="1046" w:type="pct"/>
            <w:vAlign w:val="center"/>
          </w:tcPr>
          <w:p w14:paraId="5F3589B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0.637</w:t>
            </w:r>
          </w:p>
        </w:tc>
      </w:tr>
      <w:tr w14:paraId="2B0D7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30" w:type="pct"/>
            <w:vMerge w:val="continue"/>
          </w:tcPr>
          <w:p w14:paraId="4F06B3B8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  <w:vMerge w:val="continue"/>
          </w:tcPr>
          <w:p w14:paraId="3DD16A6B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2" w:type="pct"/>
            <w:vAlign w:val="center"/>
          </w:tcPr>
          <w:p w14:paraId="63E37DD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5-year：0.618</w:t>
            </w:r>
          </w:p>
        </w:tc>
        <w:tc>
          <w:tcPr>
            <w:tcW w:w="1046" w:type="pct"/>
            <w:vAlign w:val="center"/>
          </w:tcPr>
          <w:p w14:paraId="6D5D482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0.734</w:t>
            </w:r>
          </w:p>
        </w:tc>
      </w:tr>
      <w:tr w14:paraId="5BB1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30" w:type="pct"/>
            <w:vMerge w:val="continue"/>
          </w:tcPr>
          <w:p w14:paraId="1B7A01DB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  <w:vMerge w:val="restart"/>
          </w:tcPr>
          <w:p w14:paraId="7AA50122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0C87F8D0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5755EF99"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ArrayExpress databases</w:t>
            </w:r>
          </w:p>
        </w:tc>
        <w:tc>
          <w:tcPr>
            <w:tcW w:w="1402" w:type="pct"/>
            <w:vAlign w:val="center"/>
          </w:tcPr>
          <w:p w14:paraId="66D2C33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1-year：0.632</w:t>
            </w:r>
          </w:p>
        </w:tc>
        <w:tc>
          <w:tcPr>
            <w:tcW w:w="1046" w:type="pct"/>
            <w:vAlign w:val="center"/>
          </w:tcPr>
          <w:p w14:paraId="219F95F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0.763</w:t>
            </w:r>
          </w:p>
        </w:tc>
      </w:tr>
      <w:tr w14:paraId="2D25C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30" w:type="pct"/>
            <w:vMerge w:val="continue"/>
          </w:tcPr>
          <w:p w14:paraId="5D7AF708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  <w:vMerge w:val="continue"/>
          </w:tcPr>
          <w:p w14:paraId="70FAB14F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2" w:type="pct"/>
            <w:vAlign w:val="center"/>
          </w:tcPr>
          <w:p w14:paraId="7D67D0A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3-year：0.715</w:t>
            </w:r>
          </w:p>
        </w:tc>
        <w:tc>
          <w:tcPr>
            <w:tcW w:w="1046" w:type="pct"/>
            <w:vAlign w:val="center"/>
          </w:tcPr>
          <w:p w14:paraId="3666AEA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0.849</w:t>
            </w:r>
          </w:p>
        </w:tc>
      </w:tr>
      <w:tr w14:paraId="752F1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30" w:type="pct"/>
            <w:vMerge w:val="continue"/>
          </w:tcPr>
          <w:p w14:paraId="22E36BED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  <w:vMerge w:val="continue"/>
          </w:tcPr>
          <w:p w14:paraId="346C6A8C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2" w:type="pct"/>
            <w:vAlign w:val="center"/>
          </w:tcPr>
          <w:p w14:paraId="5DEBD45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5-year：0.744</w:t>
            </w:r>
          </w:p>
        </w:tc>
        <w:tc>
          <w:tcPr>
            <w:tcW w:w="1046" w:type="pct"/>
            <w:vAlign w:val="center"/>
          </w:tcPr>
          <w:p w14:paraId="395BE3B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0.823</w:t>
            </w:r>
          </w:p>
        </w:tc>
      </w:tr>
      <w:tr w14:paraId="2860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1530" w:type="pct"/>
          </w:tcPr>
          <w:p w14:paraId="6F7B676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450" w:lineRule="atLeas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Construction of an Epithelial-Mesenchymal Transition-Related Model for Clear Cell Renal Cell Carcinoma Prognosis Prediction</w:t>
            </w:r>
          </w:p>
          <w:p w14:paraId="245AC350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</w:tcPr>
          <w:p w14:paraId="33D2DD2A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37BC58E8">
            <w:pPr>
              <w:bidi w:val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3A7796F6">
            <w:pPr>
              <w:bidi w:val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209D1B0">
            <w:pPr>
              <w:bidi w:val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71F55571">
            <w:pPr>
              <w:bidi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TCGA-KIRC</w:t>
            </w:r>
          </w:p>
        </w:tc>
        <w:tc>
          <w:tcPr>
            <w:tcW w:w="1402" w:type="pct"/>
          </w:tcPr>
          <w:p w14:paraId="6103AA69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361F217">
            <w:pPr>
              <w:bidi w:val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C2B6990">
            <w:pPr>
              <w:bidi w:val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090BA8A">
            <w:pPr>
              <w:bidi w:val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7360C4CE">
            <w:pPr>
              <w:bidi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overall AUC：0.722</w:t>
            </w:r>
          </w:p>
        </w:tc>
        <w:tc>
          <w:tcPr>
            <w:tcW w:w="1046" w:type="pct"/>
          </w:tcPr>
          <w:p w14:paraId="7A127BE4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80C93C6">
            <w:pPr>
              <w:bidi w:val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7EB9E31">
            <w:pPr>
              <w:bidi w:val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101809C">
            <w:pPr>
              <w:bidi w:val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30913002">
            <w:pPr>
              <w:bidi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0.749</w:t>
            </w:r>
          </w:p>
        </w:tc>
      </w:tr>
      <w:tr w14:paraId="6A95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1530" w:type="pct"/>
          </w:tcPr>
          <w:p w14:paraId="0A87C3F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450" w:lineRule="atLeas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Prognostic value of epithelial-mesenchymal transition markers in clear cell renal cell carcinoma</w:t>
            </w:r>
          </w:p>
          <w:p w14:paraId="2354B304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pct"/>
          </w:tcPr>
          <w:p w14:paraId="0D19DA23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7BBF6748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223C5F62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006EFEB1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4C29A8D2"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TCGA-KIRC</w:t>
            </w:r>
          </w:p>
        </w:tc>
        <w:tc>
          <w:tcPr>
            <w:tcW w:w="1402" w:type="pct"/>
          </w:tcPr>
          <w:p w14:paraId="49FDF4B5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568507D4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521881A1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095C10F5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682F102B">
            <w:pPr>
              <w:bidi w:val="0"/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overall AUC：0.684</w:t>
            </w:r>
          </w:p>
        </w:tc>
        <w:tc>
          <w:tcPr>
            <w:tcW w:w="1046" w:type="pct"/>
          </w:tcPr>
          <w:p w14:paraId="0E2CBC61">
            <w:pPr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32544C5F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6FA2F258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3AA67182">
            <w:pPr>
              <w:bidi w:val="0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06FFA1C8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0.749</w:t>
            </w:r>
          </w:p>
        </w:tc>
      </w:tr>
    </w:tbl>
    <w:p w14:paraId="560E03B2"/>
    <w:p w14:paraId="76E46A98"/>
    <w:p w14:paraId="4F7FBDFD"/>
    <w:p w14:paraId="255699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2B126F"/>
    <w:rsid w:val="35E970F0"/>
    <w:rsid w:val="54E70ECE"/>
    <w:rsid w:val="58B51098"/>
    <w:rsid w:val="59814ACF"/>
    <w:rsid w:val="7E49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583</Characters>
  <Lines>0</Lines>
  <Paragraphs>0</Paragraphs>
  <TotalTime>1</TotalTime>
  <ScaleCrop>false</ScaleCrop>
  <LinksUpToDate>false</LinksUpToDate>
  <CharactersWithSpaces>628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2025-02-12T13:51:00Z</dcterms:created>
  <dc:creator>86176</dc:creator>
  <cp:lastModifiedBy>我叫叶良辰</cp:lastModifiedBy>
  <dcterms:modified xsi:type="dcterms:W3CDTF">2025-02-18T02:55:06Z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eyJoZGlkIjoiMzNjYjU1NGZkMDk0YTVkMWU0N2E5NzNmODgxZWFjODMiLCJ1c2VySWQiOiI4MDUzNTA0NzgifQ==</vt:lpwstr>
  </property>
  <property fmtid="{D5CDD505-2E9C-101B-9397-08002B2CF9AE}" pid="4" name="ICV">
    <vt:lpwstr>7C11AC54A3FC4632BAEF65B2AE3A617E_12</vt:lpwstr>
  </property>
</Properties>
</file>