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7E3" w:rsidRDefault="004047E3" w:rsidP="004047E3">
      <w:pPr>
        <w:ind w:left="240" w:right="240" w:firstLine="120"/>
        <w:rPr>
          <w:b/>
          <w:bCs/>
        </w:rPr>
      </w:pPr>
      <w:r>
        <w:rPr>
          <w:rFonts w:ascii="Arial Unicode MS" w:eastAsia="Arial Unicode MS" w:cs="Arial Unicode MS"/>
          <w:b/>
          <w:bCs/>
        </w:rPr>
        <w:t>Supplementary Table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cs="Arial Unicode MS"/>
          <w:b/>
          <w:bCs/>
        </w:rPr>
        <w:t>1</w:t>
      </w:r>
      <w:r>
        <w:rPr>
          <w:rFonts w:ascii="Arial Unicode MS" w:eastAsia="Arial Unicode MS" w:cs="Arial Unicode MS"/>
          <w:b/>
          <w:bCs/>
        </w:rPr>
        <w:t xml:space="preserve"> </w:t>
      </w:r>
      <w:r w:rsidRPr="004047E3">
        <w:rPr>
          <w:rFonts w:ascii="Arial Unicode MS" w:eastAsia="Arial Unicode MS" w:cs="Arial Unicode MS"/>
          <w:bCs/>
        </w:rPr>
        <w:t>Baseline characteristics of the study population without missing values categorized by gastric cancer recurrence and mortality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32"/>
        <w:gridCol w:w="1228"/>
        <w:gridCol w:w="878"/>
        <w:gridCol w:w="876"/>
        <w:gridCol w:w="876"/>
        <w:gridCol w:w="615"/>
        <w:gridCol w:w="878"/>
        <w:gridCol w:w="965"/>
        <w:gridCol w:w="768"/>
      </w:tblGrid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:rsidR="004047E3" w:rsidRPr="00AC36C4" w:rsidRDefault="004047E3" w:rsidP="00A22C00">
            <w:pPr>
              <w:ind w:firstLineChars="100" w:firstLine="18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13" w:type="pct"/>
            <w:gridSpan w:val="3"/>
            <w:noWrap/>
            <w:vAlign w:val="bottom"/>
            <w:hideMark/>
          </w:tcPr>
          <w:p w:rsidR="004047E3" w:rsidRPr="00AC36C4" w:rsidRDefault="004047E3" w:rsidP="00A22C00">
            <w:pPr>
              <w:ind w:firstLineChars="100" w:firstLine="180"/>
              <w:jc w:val="center"/>
              <w:rPr>
                <w:bCs/>
                <w:sz w:val="18"/>
                <w:szCs w:val="18"/>
              </w:rPr>
            </w:pPr>
            <w:r w:rsidRPr="00AC36C4">
              <w:rPr>
                <w:rFonts w:ascii="Arial Unicode MS" w:eastAsia="Arial Unicode MS" w:hAnsi="Arial" w:cs="Arial Unicode MS"/>
                <w:bCs/>
                <w:sz w:val="18"/>
                <w:szCs w:val="18"/>
                <w:lang w:val="en-US" w:eastAsia="ko-KR"/>
              </w:rPr>
              <w:t>Recurrence</w:t>
            </w:r>
          </w:p>
        </w:tc>
        <w:tc>
          <w:tcPr>
            <w:tcW w:w="1448" w:type="pct"/>
            <w:gridSpan w:val="3"/>
            <w:noWrap/>
            <w:vAlign w:val="bottom"/>
            <w:hideMark/>
          </w:tcPr>
          <w:p w:rsidR="004047E3" w:rsidRPr="00AC36C4" w:rsidRDefault="004047E3" w:rsidP="00A22C00">
            <w:pPr>
              <w:ind w:firstLineChars="100" w:firstLine="180"/>
              <w:jc w:val="center"/>
              <w:rPr>
                <w:bCs/>
                <w:sz w:val="18"/>
                <w:szCs w:val="18"/>
              </w:rPr>
            </w:pPr>
            <w:r w:rsidRPr="00AC36C4">
              <w:rPr>
                <w:rFonts w:ascii="Arial Unicode MS" w:eastAsia="Arial Unicode MS" w:hAnsi="Arial" w:cs="Arial Unicode MS"/>
                <w:bCs/>
                <w:sz w:val="18"/>
                <w:szCs w:val="18"/>
                <w:lang w:val="en-US" w:eastAsia="ko-KR"/>
              </w:rPr>
              <w:t>Gastric cancer mortality</w:t>
            </w:r>
          </w:p>
        </w:tc>
      </w:tr>
      <w:tr w:rsidR="004047E3" w:rsidTr="00A22C00">
        <w:trPr>
          <w:trHeight w:val="36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:rsidR="004047E3" w:rsidRPr="00AC36C4" w:rsidRDefault="004047E3" w:rsidP="00A22C00">
            <w:pPr>
              <w:ind w:firstLineChars="100" w:firstLine="180"/>
              <w:jc w:val="center"/>
              <w:rPr>
                <w:bCs/>
                <w:sz w:val="18"/>
                <w:szCs w:val="18"/>
              </w:rPr>
            </w:pPr>
            <w:r w:rsidRPr="00AC36C4">
              <w:rPr>
                <w:rFonts w:ascii="Arial Unicode MS" w:eastAsia="Arial Unicode MS" w:hAnsi="Arial" w:cs="Arial Unicode MS"/>
                <w:bCs/>
                <w:sz w:val="18"/>
                <w:szCs w:val="18"/>
                <w:lang w:val="en-US" w:eastAsia="ko-KR"/>
              </w:rPr>
              <w:t>Overall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Pr="00AC36C4" w:rsidRDefault="004047E3" w:rsidP="00A22C00">
            <w:pPr>
              <w:ind w:firstLineChars="100" w:firstLine="180"/>
              <w:jc w:val="center"/>
              <w:rPr>
                <w:bCs/>
                <w:sz w:val="18"/>
                <w:szCs w:val="18"/>
              </w:rPr>
            </w:pPr>
            <w:r w:rsidRPr="00AC36C4">
              <w:rPr>
                <w:rFonts w:ascii="Arial Unicode MS" w:eastAsia="Arial Unicode MS" w:hAnsi="Arial" w:cs="Arial Unicode MS"/>
                <w:bCs/>
                <w:sz w:val="18"/>
                <w:szCs w:val="18"/>
                <w:lang w:val="en-US" w:eastAsia="ko-KR"/>
              </w:rPr>
              <w:t>Disease Free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Pr="00AC36C4" w:rsidRDefault="004047E3" w:rsidP="00A22C00">
            <w:pPr>
              <w:ind w:firstLineChars="100" w:firstLine="180"/>
              <w:jc w:val="center"/>
              <w:rPr>
                <w:bCs/>
                <w:sz w:val="18"/>
                <w:szCs w:val="18"/>
              </w:rPr>
            </w:pPr>
            <w:r w:rsidRPr="00AC36C4">
              <w:rPr>
                <w:rFonts w:ascii="Arial Unicode MS" w:eastAsia="Arial Unicode MS" w:hAnsi="Arial" w:cs="Arial Unicode MS"/>
                <w:bCs/>
                <w:sz w:val="18"/>
                <w:szCs w:val="18"/>
                <w:lang w:val="en-US" w:eastAsia="ko-KR"/>
              </w:rPr>
              <w:t>Recurrence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Pr="00AC36C4" w:rsidRDefault="004047E3" w:rsidP="00A22C00">
            <w:pPr>
              <w:ind w:firstLineChars="100" w:firstLine="180"/>
              <w:jc w:val="center"/>
              <w:rPr>
                <w:bCs/>
                <w:sz w:val="18"/>
                <w:szCs w:val="18"/>
              </w:rPr>
            </w:pPr>
            <w:r w:rsidRPr="00AC36C4">
              <w:rPr>
                <w:rFonts w:ascii="Arial Unicode MS" w:eastAsia="Arial Unicode MS" w:hAnsi="Arial" w:cs="Arial Unicode MS"/>
                <w:bCs/>
                <w:sz w:val="18"/>
                <w:szCs w:val="18"/>
                <w:lang w:val="en-US" w:eastAsia="ko-KR"/>
              </w:rPr>
              <w:t>P-Value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Pr="00AC36C4" w:rsidRDefault="004047E3" w:rsidP="00A22C00">
            <w:pPr>
              <w:ind w:firstLineChars="100" w:firstLine="180"/>
              <w:jc w:val="center"/>
              <w:rPr>
                <w:bCs/>
                <w:sz w:val="18"/>
                <w:szCs w:val="18"/>
              </w:rPr>
            </w:pPr>
            <w:r w:rsidRPr="00AC36C4">
              <w:rPr>
                <w:rFonts w:ascii="Arial Unicode MS" w:eastAsia="Arial Unicode MS" w:hAnsi="Arial" w:cs="Arial Unicode MS"/>
                <w:bCs/>
                <w:sz w:val="18"/>
                <w:szCs w:val="18"/>
                <w:lang w:val="en-US" w:eastAsia="ko-KR"/>
              </w:rPr>
              <w:t>Survived</w:t>
            </w:r>
          </w:p>
        </w:tc>
        <w:tc>
          <w:tcPr>
            <w:tcW w:w="535" w:type="pct"/>
            <w:noWrap/>
            <w:vAlign w:val="bottom"/>
            <w:hideMark/>
          </w:tcPr>
          <w:p w:rsidR="004047E3" w:rsidRPr="00AC36C4" w:rsidRDefault="004047E3" w:rsidP="00A22C00">
            <w:pPr>
              <w:ind w:firstLineChars="100" w:firstLine="180"/>
              <w:jc w:val="center"/>
              <w:rPr>
                <w:bCs/>
                <w:sz w:val="18"/>
                <w:szCs w:val="18"/>
              </w:rPr>
            </w:pPr>
            <w:r w:rsidRPr="00AC36C4">
              <w:rPr>
                <w:rFonts w:ascii="Arial Unicode MS" w:eastAsia="Arial Unicode MS" w:hAnsi="Arial" w:cs="Arial Unicode MS"/>
                <w:bCs/>
                <w:sz w:val="18"/>
                <w:szCs w:val="18"/>
                <w:lang w:val="en-US" w:eastAsia="ko-KR"/>
              </w:rPr>
              <w:t>Death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Pr="00AC36C4" w:rsidRDefault="004047E3" w:rsidP="00A22C00">
            <w:pPr>
              <w:ind w:firstLineChars="100" w:firstLine="180"/>
              <w:jc w:val="center"/>
              <w:rPr>
                <w:bCs/>
                <w:sz w:val="18"/>
                <w:szCs w:val="18"/>
              </w:rPr>
            </w:pPr>
            <w:r w:rsidRPr="00AC36C4">
              <w:rPr>
                <w:rFonts w:ascii="Arial Unicode MS" w:eastAsia="Arial Unicode MS" w:hAnsi="Arial" w:cs="Arial Unicode MS"/>
                <w:bCs/>
                <w:sz w:val="18"/>
                <w:szCs w:val="18"/>
                <w:lang w:val="en-US" w:eastAsia="ko-KR"/>
              </w:rPr>
              <w:t>P-Value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4945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4621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324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4741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204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Age (years), mean (SD)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62.6 (10.1)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62.6 (10.1)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62.5 (9.6)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0.888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62.4 (10.0)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66.0 (10.5)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Age group,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60yrs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1907 (38.56)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1784 (38.61)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123 (37.96)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0.818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1850 (39.02)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57 (27.94)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0.002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≥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60yrs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3038 (61.44)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2837 (61.39)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201 (62.04)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2891 (60.98)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147 (72.06)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Sex,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Female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1546 (31.3)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1468 (31.8)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78 (24.1)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0.005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60 (29.4)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60 (29.4)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0.613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Male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3399 (68.7)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3153 (68.2)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246 (75.9)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144 (70.6)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144 (70.6)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T stage,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T1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3970 (80.3)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3778 (81.8)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192 (59.3)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3915 (82.6)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55 (27.0)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T2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380 (7.7)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360 (7.8)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20 (6.2)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359 (7.6)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21 (10.3)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T3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362 (7.3)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319 (6.9)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43 (13.3)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309 (6.5)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53 (26.0)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T4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233 (4.7)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164 (3.5)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69 (21.3)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158 (3.3)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75 (36.8)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 stage,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N0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4366 (88.3)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4151 (89.8)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215 (66.4)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4288 (90.4)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78 (38.2)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N1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179 (3.6)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157 (3.4)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 (6.8)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155 (3.3)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24 (11.8)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N2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190 (3.8)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161 (3.5)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29 (9.0)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156 (3.3)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34 (16.7)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N3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210 (4.2)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152 (3.3)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58 (17.9)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142 (3.0)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68 (33.3)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Differentiation,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Well-differentiated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1295 (26.2)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1204 (26.1)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91 (28.1)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0.279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1271 (26.8)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24 (11.8)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Moderately differentiated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1916 (38.7)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1804 (39.0)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112 (34.6)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1849 (39.0)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67 (32.8)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Poorly differentiated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1734 (35.1)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1613 (34.9)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121 (37.3)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1621 (34.2)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113 (55.4)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proofErr w:type="gramStart"/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size</w:t>
            </w:r>
            <w:proofErr w:type="gramEnd"/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≤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 cm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4887 (98.8)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4571 (98.9)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316 (97.5)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0.053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4699 (99.1)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188 (92.2)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&gt;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 cm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58 (1.2)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50 (1.1)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8 (2.5)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42 (0.9)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16 (7.8)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CEA,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Normal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4503 (91.1)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4225 (91.4)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278 (85.8)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4340 (91.5)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163 (79.9)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Elevated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442 (8.9)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396 (8.6)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46 (14.2)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401 (8.5)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41 (20.1)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Remnant stomach,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Whole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1229 (24.9)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1088 (23.5)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141 (43.5)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1218 (25.7)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11 (5.4)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Proximal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3114 (63.0)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2979 (64.5)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135 (41.7)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2993 (63.1)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121 (59.3)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Distal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79 (1.6)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74 (1.6)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 (1.5)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77 (1.6)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 (1.0)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None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523 (10.6)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480 (10.4)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43 (13.3)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453 (9.6)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70 (34.3)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CCI,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4222 (85.4)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3942 (85.3)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280 (86.4)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0.255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4051 (85.4)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171 (83.8)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497 (10.1)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468 (10.1)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29 (9.0)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476 (10.0)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21 (10.3)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194 (3.9)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183 (4.0)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11 (3.4)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187 (3.9)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 (3.4)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 (0.5)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21 (0.5)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 (0.6)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21 (0.4)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 (1.0)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 (0.1)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 (0.1)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 (0.6)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 (0.1)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 (1.0)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 (0.0)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 (0.0)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 (0.0)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 (0.0)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 (0.5)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i/>
                <w:iCs/>
                <w:sz w:val="18"/>
                <w:szCs w:val="18"/>
                <w:lang w:val="en-US" w:eastAsia="ko-KR"/>
              </w:rPr>
              <w:t>H. pylori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 xml:space="preserve"> eradication,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3489 (70.6)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3259 (70.5)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230 (71.0)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0.91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3300 (69.6)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189 (92.6)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Yes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1456 (29.4)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1362 (29.5)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94 (29.0)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1441 (30.4)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15 (7.4)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Socioeconomic status,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Bottom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114 (2.3)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112 (2.4)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 (0.6)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0.083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109 (2.3)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 (2.5)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0.369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Low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1478 (29.9)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1376 (29.8)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102 (31.5)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1406 (29.7)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72 (35.3)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Middle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1963 (39.7)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1824 (39.5)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139 (42.9)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1887 (39.8)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76 (37.3)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High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1390 (28.1)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1309 (28.3)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81 (25.0)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1339 (28.2)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51 (25.0)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Metabolic syndrome,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3457 (69.9)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3236 (70.0)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221 (68.2)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0.531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3315 (69.9)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142 (69.6)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0.986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Ye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1488 (30.1)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1385 (30.0)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103 (31.8)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1426 (30.1)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62 (30.4)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BMI before cure, mean (SD)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23.7 (2.7)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23.7 (2.8)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23.8 (2.7)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0.394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23.7 (2.8)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23.3 (2.6)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0.017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BMI change after cure, mean (SD)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-0.6 (1.5)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-0.6 (1.5)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-0.4 (1.5)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0.012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-0.6 (1.5)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-0.3 (1.2)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BMI change after cure,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 change (-1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~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1)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3050 (61.68)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2832 (61.29)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218 (67.28)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0.018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2874 (60.62)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176 (86.27)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Decrease (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≤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-1)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1518 (30.70)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1441 (31.18)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77 (23.77)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1492 (31.47)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26 (12.75)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Increase (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≥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+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1)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377 (7.62)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348 (7.53)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29 (8.95)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375 (7.91)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 (0.98)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Smoking status before cure,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Never smoker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2326 (47.0)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2188 (47.3)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138 (42.6)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0.044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2227 (47.0)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99 (48.5)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0.904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Ex-smoker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1186 (24.0)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1090 (23.6)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96 (29.6)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1139 (24.0)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47 (23.0)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Current smoker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1433 (29.0)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1343 (29.1)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90 (27.8)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1375 (29.0)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58 (28.4)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Smoking status change after cure,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 change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4680 (94.6)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4369 (94.5)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311 (96.0)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0.524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4479 (94.5)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201 (98.5)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0.04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Good change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239 (4.8)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227 (4.9)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 (3.7)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236 (5.0)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 (1.5)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Bad change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26 (0.5)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25 (0.5)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 (0.3)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26 (0.5)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 (0.0)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Drinking frequency before cure,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Non drinker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2726 (55.1)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2550 (55.2)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176 (54.3)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0.41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2610 (55.1)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116 (56.9)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0.107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Rare drinker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1207 (24.4)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1127 (24.4)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80 (24.7)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1164 (24.6)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43 (21.1)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Intermediate drinker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602 (12.2)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568 (12.3)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34 (10.5)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582 (12.3)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20 (9.8)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Frequent drinker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410 (8.3)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376 (8.1)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34 (10.5)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385 (8.1)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25 (12.3)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Drinking frequency change after cure,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 change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4666 (94.4)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4355 (94.2)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311 (96.0)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0.081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4466 (94.2)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200 (98.0)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0.064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Good change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232 (4.7)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224 (4.8)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8 (2.5)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229 (4.8)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 (1.5)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Bad change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47 (1.0)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42 (0.9)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 (1.5)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46 (1.0)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 (0.5)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lastRenderedPageBreak/>
              <w:t>Physical activity before cure,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2509 (50.7)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2337 (50.6)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172 (53.1)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0.414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2385 (50.3)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124 (60.8)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0.004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Yes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2436 (49.3)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2284 (49.4)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152 (46.9)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2356 (49.7)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80 (39.2)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Physical activity change after cure,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 change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4478 (90.6)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4173 (90.3)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305 (94.1)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0.048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4286 (90.4)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192 (94.1)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0.185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Good change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234 (4.7)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227 (4.9)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 (2.2)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229 (4.8)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 (2.5)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Bad change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233 (4.7)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221 (4.8)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 (3.7)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226 (4.8)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 (3.4)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Family history of gastric cancer, n (%)</w:t>
            </w: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3065 (62.0)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2838 (61.4)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227 (70.1)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0.002</w:t>
            </w: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2899 (61.1)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166 (81.4)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&lt;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0.001</w:t>
            </w:r>
          </w:p>
        </w:tc>
      </w:tr>
      <w:tr w:rsidR="004047E3" w:rsidTr="00A22C00">
        <w:trPr>
          <w:trHeight w:val="340"/>
        </w:trPr>
        <w:tc>
          <w:tcPr>
            <w:tcW w:w="107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8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Yes</w:t>
            </w:r>
          </w:p>
        </w:tc>
        <w:tc>
          <w:tcPr>
            <w:tcW w:w="487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1880 (38.0)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1783 (38.6)</w:t>
            </w:r>
          </w:p>
        </w:tc>
        <w:tc>
          <w:tcPr>
            <w:tcW w:w="48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97 (29.9)</w:t>
            </w:r>
          </w:p>
        </w:tc>
        <w:tc>
          <w:tcPr>
            <w:tcW w:w="341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487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1842 (38.9)</w:t>
            </w:r>
          </w:p>
        </w:tc>
        <w:tc>
          <w:tcPr>
            <w:tcW w:w="535" w:type="pct"/>
            <w:noWrap/>
            <w:vAlign w:val="center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38 (18.6)</w:t>
            </w:r>
          </w:p>
        </w:tc>
        <w:tc>
          <w:tcPr>
            <w:tcW w:w="4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</w:tr>
    </w:tbl>
    <w:p w:rsidR="000A318F" w:rsidRDefault="000A318F"/>
    <w:p w:rsidR="004047E3" w:rsidRDefault="004047E3"/>
    <w:p w:rsidR="004047E3" w:rsidRDefault="004047E3" w:rsidP="004047E3">
      <w:pPr>
        <w:ind w:left="240" w:right="240" w:firstLine="120"/>
        <w:rPr>
          <w:b/>
          <w:bCs/>
        </w:rPr>
      </w:pPr>
      <w:r>
        <w:rPr>
          <w:rFonts w:ascii="Arial Unicode MS" w:eastAsia="Arial Unicode MS" w:cs="Arial Unicode MS"/>
          <w:b/>
          <w:bCs/>
        </w:rPr>
        <w:t>Supplementary Table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cs="Arial Unicode MS"/>
          <w:b/>
          <w:bCs/>
        </w:rPr>
        <w:t>2</w:t>
      </w:r>
      <w:r>
        <w:rPr>
          <w:rFonts w:ascii="Arial Unicode MS" w:eastAsia="Arial Unicode MS" w:cs="Arial Unicode MS"/>
          <w:b/>
          <w:bCs/>
        </w:rPr>
        <w:t xml:space="preserve"> </w:t>
      </w:r>
      <w:r w:rsidRPr="00AC36C4">
        <w:rPr>
          <w:rFonts w:ascii="Arial Unicode MS" w:eastAsia="Arial Unicode MS" w:cs="Arial Unicode MS"/>
          <w:bCs/>
        </w:rPr>
        <w:t>Hazard ratios of gastric cancer recurrence and mortality in patients without missing 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7"/>
        <w:gridCol w:w="2076"/>
        <w:gridCol w:w="1191"/>
        <w:gridCol w:w="1191"/>
        <w:gridCol w:w="1310"/>
        <w:gridCol w:w="1191"/>
      </w:tblGrid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252" w:type="pct"/>
            <w:gridSpan w:val="2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b/>
                <w:bCs/>
                <w:sz w:val="18"/>
                <w:szCs w:val="18"/>
                <w:lang w:val="en-US" w:eastAsia="ko-KR"/>
              </w:rPr>
              <w:t>Recurrence</w:t>
            </w:r>
          </w:p>
        </w:tc>
        <w:tc>
          <w:tcPr>
            <w:tcW w:w="1260" w:type="pct"/>
            <w:gridSpan w:val="2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b/>
                <w:bCs/>
                <w:sz w:val="18"/>
                <w:szCs w:val="18"/>
                <w:lang w:val="en-US" w:eastAsia="ko-KR"/>
              </w:rPr>
              <w:t>Mortality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rFonts w:ascii="Arial Unicode MS" w:eastAsia="Times New Roman" w:hAnsi="Arial Unicode MS" w:cs="Arial Unicode MS"/>
                <w:sz w:val="18"/>
                <w:szCs w:val="18"/>
              </w:rPr>
            </w:pP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b/>
                <w:bCs/>
                <w:sz w:val="18"/>
                <w:szCs w:val="18"/>
                <w:lang w:val="en-US" w:eastAsia="ko-KR"/>
              </w:rPr>
              <w:t>Univariate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b/>
                <w:bCs/>
                <w:sz w:val="18"/>
                <w:szCs w:val="18"/>
                <w:lang w:val="en-US" w:eastAsia="ko-KR"/>
              </w:rPr>
              <w:t>Multivariate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b/>
                <w:bCs/>
                <w:sz w:val="18"/>
                <w:szCs w:val="18"/>
                <w:lang w:val="en-US" w:eastAsia="ko-KR"/>
              </w:rPr>
              <w:t>Univariate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b/>
                <w:bCs/>
                <w:sz w:val="18"/>
                <w:szCs w:val="18"/>
                <w:lang w:val="en-US" w:eastAsia="ko-KR"/>
              </w:rPr>
              <w:t>Multivariate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b/>
                <w:bCs/>
                <w:sz w:val="18"/>
                <w:szCs w:val="18"/>
                <w:lang w:val="en-US" w:eastAsia="ko-KR"/>
              </w:rPr>
              <w:t>HR (95% CI)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b/>
                <w:bCs/>
                <w:sz w:val="18"/>
                <w:szCs w:val="18"/>
                <w:lang w:val="en-US" w:eastAsia="ko-KR"/>
              </w:rPr>
              <w:t>HR (95% CI)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b/>
                <w:bCs/>
                <w:sz w:val="18"/>
                <w:szCs w:val="18"/>
                <w:lang w:val="en-US" w:eastAsia="ko-KR"/>
              </w:rPr>
              <w:t>HR (95% CI)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b/>
                <w:bCs/>
                <w:sz w:val="18"/>
                <w:szCs w:val="18"/>
                <w:lang w:val="en-US" w:eastAsia="ko-KR"/>
              </w:rPr>
              <w:t>HR (95% CI)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Sex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Male (vs. Female)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1.45 (1.13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1.88)*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1.66 (1.18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2.33)*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1.10 (0.81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1.48)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1.49 (0.99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2.26)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Age</w:t>
            </w:r>
            <w:r>
              <w:rPr>
                <w:rFonts w:ascii="Arial Unicode MS" w:eastAsia="Arial Unicode MS" w:hAnsi="IBM Plex Sans" w:cs="Arial Unicode MS"/>
                <w:color w:val="212529"/>
                <w:sz w:val="24"/>
                <w:szCs w:val="24"/>
                <w:shd w:val="clear" w:color="auto" w:fill="FFFFFF"/>
                <w:lang w:val="en-US" w:eastAsia="ko-KR"/>
              </w:rPr>
              <w:t xml:space="preserve"> </w:t>
            </w:r>
            <w:r>
              <w:rPr>
                <w:rFonts w:ascii="Arial Unicode MS" w:eastAsia="Arial Unicode MS" w:hAnsi="IBM Plex Sans" w:cs="Arial Unicode MS"/>
                <w:color w:val="212529"/>
                <w:sz w:val="24"/>
                <w:szCs w:val="24"/>
                <w:shd w:val="clear" w:color="auto" w:fill="FFFFFF"/>
                <w:lang w:val="en-US" w:eastAsia="ko-KR"/>
              </w:rPr>
              <w:t>†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1.00 (0.99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1.01)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0.99 (0.98-1.00)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1.67 (1.23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2.27)*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1.74 (1.25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2.43)*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T stage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T2 (vs. T1)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1.11 (0.70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1.75)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1.99 (1.14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3.47)*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4.05 (2.45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6.69)*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1.89 (1.07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3.33)*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T3 (vs. T1)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2.67 (1.92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3.72)*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3.65 (2.24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5.96)*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11.45 (7.85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16.70)*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3.64 (2.21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5.99)*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T4 (vs. T1)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7.63 (5.79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10.05)*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7.90 (4.75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13.16)*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27.74 (19.58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39.30)*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6.38 (3.77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10.79)*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 stage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N1 (vs. N0)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2.69 (1.73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4.17)*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2.14 (1.24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3.69)*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7.96 (5.03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12.57)*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2.56 (1.49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4.38)*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N2 (vs. N0)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3.33 (2.26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4.91)*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2.79 (1.70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4.57)*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10.55 (7.05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15.79)*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3.35 (2.06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5.44)*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N3 (vs. N0)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7.08 (5.29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9.46)*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3.53 (2.21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5.66)*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22.10 (15.95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30.60)*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4.90 (3.07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7.80)*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Remnant stomach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Proximal (vs. Whole)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0.36 (0.28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0.46)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0.12 (0.08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0.17)*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4.35 (2.35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8.06)*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1.39 (0.68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2.84)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Distal (vs. Whole)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0.55 (0.22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1.34)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0.21 (0.08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0.55)*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2.91 (0.65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13.12)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1.02 (0.21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4.80)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None (vs. Whole)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0.72 (0.51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1.02)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0.12 (0.07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0.19)*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15.89 (8.41-30.00)*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2.51 (1.18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5.38)*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Size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&gt;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 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 xml:space="preserve">1 cm (vs. 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≤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 cm)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2.36 (1.17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4.75)*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0.64 (0.30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1.35)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8.04 (4.82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13.39)*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0.88 (0.50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1.55)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Differentiation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Moderately differentiated (vs. WD)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0.84 (0.64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1.11)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1.07 (0.80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1.45)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1.91 (1.20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3.05)*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0.86 (0.52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1.43)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Poorly differentiated (vs. WD)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1.01 (0.77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1.32)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1.32 (0.92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1.90)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3.59 (2.31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5.58)*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0.85 (0.51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1.43)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CEA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Elevated (vs. Normal)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1.80 (1.32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2.46)*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1.30 (0.94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1.80)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2.70 (1.92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3.80)*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1.30 (0.90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1.87)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CCI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1.02 (0.83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1.25)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1.13 (0.92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1.38)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1.24 (1.00-1.54)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1.21 (0.97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1.51)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i/>
                <w:iCs/>
                <w:sz w:val="18"/>
                <w:szCs w:val="18"/>
                <w:lang w:val="en-US" w:eastAsia="ko-KR"/>
              </w:rPr>
              <w:t>H. pylori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 xml:space="preserve"> eradication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Yes (vs. No)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0.97 (0.76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1.23)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0.78 (0.59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1.03)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0.19 (0.11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0.31)*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0.51 (0.29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0.88)*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Socioeconomic status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Bottom (vs. Low)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0.25 (0.06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1.02)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0.24 (0.06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0.99)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0.91 (0.37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2.25)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0.75 (0.29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1.94)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Middle (vs. Low)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1.02 (0.79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1.32)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0.96 (0.74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1.24)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0.79 (0.57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1.09)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0.72 (0.52-1.00)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High (vs. Low)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0.84 (0.63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1.12)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0.84 (0.62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1.12)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0.75 (0.52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1.07)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0.83 (0.57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1.21)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Metabolic syndrome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Yes (vs. No)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1.10 (0.87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1.39)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1.03 (0.80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1.34)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1.03 (0.76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1.39)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1.23 (0.89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1.71)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BMI before cure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1.02 (0.98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1.06)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1.01 (0.96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1.05)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0.94 (0.89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0.99)*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0.97 (0.92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1.03)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BMI change after cure</w:t>
            </w:r>
            <w:r>
              <w:rPr>
                <w:rFonts w:ascii="Arial Unicode MS" w:eastAsia="Arial Unicode MS" w:hAnsi="IBM Plex Sans" w:cs="Arial Unicode MS"/>
                <w:color w:val="212529"/>
                <w:sz w:val="24"/>
                <w:szCs w:val="24"/>
                <w:shd w:val="clear" w:color="auto" w:fill="FFFFFF"/>
                <w:lang w:val="en-US" w:eastAsia="ko-KR"/>
              </w:rPr>
              <w:t xml:space="preserve"> </w:t>
            </w:r>
            <w:r>
              <w:rPr>
                <w:rFonts w:ascii="Arial Unicode MS" w:eastAsia="Arial Unicode MS" w:hAnsi="IBM Plex Sans" w:cs="Arial Unicode MS"/>
                <w:color w:val="212529"/>
                <w:sz w:val="24"/>
                <w:szCs w:val="24"/>
                <w:shd w:val="clear" w:color="auto" w:fill="FFFFFF"/>
                <w:lang w:val="en-US" w:eastAsia="ko-KR"/>
              </w:rPr>
              <w:t>‡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Increase (vs. No change)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1.11 (1.03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1.20)*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0.98 (0.90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1.07)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0.09 (0.02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0.36)*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0.24 (0.06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1.03)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Decrease (vs. No change)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rFonts w:ascii="Arial Unicode MS" w:eastAsia="Times New Roman" w:hAnsi="Arial Unicode MS" w:cs="Arial Unicode MS"/>
                <w:sz w:val="18"/>
                <w:szCs w:val="18"/>
              </w:rPr>
            </w:pP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0.28 (0.19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0.43)*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0.40 (0.25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0.63)*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Smoking status before cure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Current smoker (vs. Never smoker)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1.06 (0.81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1.39)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0.79 (0.56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1.11)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0.95 (0.69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1.32)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0.83 (0.54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1.28)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Ex-smoker (vs. Never smoker)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1.38 (1.06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1.79)*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1.06 (0.77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1.45)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0.93 (0.66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1.31)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1.00 (0.65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1.52)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Smoking status change after cure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Bad change (vs. No change)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0.52 (0.07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3.67)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0.34 (0.05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2.44)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*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Good change (vs. No change)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0.68 (0.38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1.20)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1.06 (0.56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2.01)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0.27 (0.09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0.83)*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0.57 (0.17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1.93)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Drinking frequency before cure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 xml:space="preserve">Frequent drinker (vs. </w:t>
            </w:r>
            <w:proofErr w:type="spellStart"/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Non drinker</w:t>
            </w:r>
            <w:proofErr w:type="spellEnd"/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1.26 (0.88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1.83)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1.25 (0.84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1.87)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1.42 (0.92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2.18)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1.19 (0.74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1.92)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 xml:space="preserve">Intermediate drinker (vs. </w:t>
            </w:r>
            <w:proofErr w:type="spellStart"/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Non drinker</w:t>
            </w:r>
            <w:proofErr w:type="spellEnd"/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0.86 (0.60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1.24)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0.83 (0.55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1.23)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0.77 (0.48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1.24)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0.85 (0.51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1.42)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 xml:space="preserve">Rare drinker (vs. </w:t>
            </w:r>
            <w:proofErr w:type="spellStart"/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Non drinker</w:t>
            </w:r>
            <w:proofErr w:type="spellEnd"/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1.00 (0.77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1.31)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0.91 (0.68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1.22)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0.82 (0.58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1.16)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0.93 (0.64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1.36)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Drinking frequency change after cure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Bad change (vs. No change)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1.48 (0.61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3.59)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2.03 (0.81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5.05)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0.45 (0.06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3.24)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1.40 (0.18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10.66)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Good change (vs. No change)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0.46 (0.23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0.93)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0.50 (0.23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1.07)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0.28 (0.09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0.86)*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0.66 (0.19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2.27)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Physical activity before cure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Yes (vs. No)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0.92 (0.74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1.14)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0.87 (0.69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1.10)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0.66 (0.50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0.88)*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0.77 (0.57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1.03)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Physical activity change after cure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Bad change (vs. No change)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0.68 (0.38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1.21)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0.86 (0.47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1.58)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0.64 (0.30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1.35)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2.14 (0.91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5.04)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Good change (vs. No change)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0.39 (0.18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0.82)*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0.47 (0.21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1.02)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0.45 (0.19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1.10)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1.10 (0.42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2.88)</w:t>
            </w:r>
          </w:p>
        </w:tc>
      </w:tr>
      <w:tr w:rsidR="004047E3" w:rsidTr="00A22C00">
        <w:trPr>
          <w:trHeight w:val="340"/>
        </w:trPr>
        <w:tc>
          <w:tcPr>
            <w:tcW w:w="13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Family history of gastric cancer</w:t>
            </w:r>
          </w:p>
        </w:tc>
        <w:tc>
          <w:tcPr>
            <w:tcW w:w="1095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Yes (vs. No)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0.62 (0.49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0.79)*</w:t>
            </w:r>
          </w:p>
        </w:tc>
        <w:tc>
          <w:tcPr>
            <w:tcW w:w="62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0.69 (0.54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0.89)*</w:t>
            </w:r>
          </w:p>
        </w:tc>
        <w:tc>
          <w:tcPr>
            <w:tcW w:w="666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0.34 (0.24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0.48)*</w:t>
            </w:r>
          </w:p>
        </w:tc>
        <w:tc>
          <w:tcPr>
            <w:tcW w:w="594" w:type="pct"/>
            <w:noWrap/>
            <w:vAlign w:val="bottom"/>
            <w:hideMark/>
          </w:tcPr>
          <w:p w:rsidR="004047E3" w:rsidRDefault="004047E3" w:rsidP="00A22C0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0.43 (0.30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–</w:t>
            </w:r>
            <w:r>
              <w:rPr>
                <w:rFonts w:ascii="Arial Unicode MS" w:eastAsia="Arial Unicode MS" w:hAnsi="Arial" w:cs="Arial Unicode MS"/>
                <w:sz w:val="18"/>
                <w:szCs w:val="18"/>
                <w:lang w:val="en-US" w:eastAsia="ko-KR"/>
              </w:rPr>
              <w:t>0.63)*</w:t>
            </w:r>
          </w:p>
        </w:tc>
      </w:tr>
    </w:tbl>
    <w:p w:rsidR="004047E3" w:rsidRDefault="004047E3" w:rsidP="004047E3">
      <w:pPr>
        <w:ind w:left="240" w:right="240" w:firstLine="120"/>
      </w:pPr>
      <w:r>
        <w:t>*p value &lt; 0.05</w:t>
      </w:r>
    </w:p>
    <w:p w:rsidR="004047E3" w:rsidRDefault="004047E3" w:rsidP="004047E3">
      <w:pPr>
        <w:ind w:left="240" w:right="240" w:firstLine="120"/>
      </w:pPr>
      <w:r>
        <w:rPr>
          <w:rFonts w:ascii="Arial Unicode MS" w:eastAsia="Arial Unicode MS" w:hAnsi="IBM Plex Sans" w:cs="Arial Unicode MS"/>
          <w:color w:val="212529"/>
          <w:shd w:val="clear" w:color="auto" w:fill="FFFFFF"/>
        </w:rPr>
        <w:t>†</w:t>
      </w:r>
      <w:r>
        <w:t>Age was treated as a categorical variable in mortality analysis</w:t>
      </w:r>
    </w:p>
    <w:p w:rsidR="004047E3" w:rsidRDefault="004047E3" w:rsidP="004047E3">
      <w:pPr>
        <w:ind w:left="240" w:right="240" w:firstLine="120"/>
      </w:pPr>
      <w:r>
        <w:rPr>
          <w:rFonts w:ascii="Arial Unicode MS" w:eastAsia="Arial Unicode MS" w:hAnsi="IBM Plex Sans" w:cs="Arial Unicode MS"/>
          <w:color w:val="212529"/>
          <w:shd w:val="clear" w:color="auto" w:fill="FFFFFF"/>
        </w:rPr>
        <w:t>‡</w:t>
      </w:r>
      <w:r>
        <w:t>BMI change was treated as a categorical variable in mortality analysis</w:t>
      </w:r>
    </w:p>
    <w:p w:rsidR="004047E3" w:rsidRDefault="004047E3"/>
    <w:p w:rsidR="004047E3" w:rsidRDefault="004047E3"/>
    <w:p w:rsidR="004047E3" w:rsidRPr="004047E3" w:rsidRDefault="004047E3" w:rsidP="004047E3">
      <w:pPr>
        <w:ind w:left="240" w:right="240" w:firstLine="120"/>
        <w:rPr>
          <w:bCs/>
        </w:rPr>
      </w:pPr>
      <w:r>
        <w:rPr>
          <w:rFonts w:ascii="Arial Unicode MS" w:eastAsia="Arial Unicode MS" w:cs="Arial Unicode MS"/>
          <w:b/>
          <w:bCs/>
        </w:rPr>
        <w:t>Supplementary Table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cs="Arial Unicode MS"/>
          <w:b/>
          <w:bCs/>
        </w:rPr>
        <w:t>3</w:t>
      </w:r>
      <w:r>
        <w:rPr>
          <w:rFonts w:ascii="Arial Unicode MS" w:eastAsia="Arial Unicode MS" w:cs="Arial Unicode MS"/>
          <w:b/>
          <w:bCs/>
        </w:rPr>
        <w:t xml:space="preserve"> </w:t>
      </w:r>
      <w:r w:rsidRPr="004047E3">
        <w:rPr>
          <w:rFonts w:ascii="Arial Unicode MS" w:eastAsia="Arial Unicode MS" w:cs="Arial Unicode MS"/>
          <w:bCs/>
        </w:rPr>
        <w:t xml:space="preserve">Hazard ratio of </w:t>
      </w:r>
      <w:r w:rsidRPr="004047E3">
        <w:rPr>
          <w:rFonts w:ascii="Arial Unicode MS" w:eastAsia="Arial Unicode MS" w:cs="Arial Unicode MS"/>
          <w:bCs/>
          <w:i/>
          <w:iCs/>
        </w:rPr>
        <w:t>H. pylori</w:t>
      </w:r>
      <w:r w:rsidRPr="004047E3">
        <w:rPr>
          <w:rFonts w:ascii="Arial Unicode MS" w:eastAsia="Arial Unicode MS" w:cs="Arial Unicode MS"/>
          <w:bCs/>
        </w:rPr>
        <w:t xml:space="preserve"> eradication for gastric cancer recurrence and mortality stratified by treatment method</w:t>
      </w: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60"/>
        <w:gridCol w:w="2380"/>
        <w:gridCol w:w="2380"/>
      </w:tblGrid>
      <w:tr w:rsidR="004047E3" w:rsidTr="00A22C00">
        <w:trPr>
          <w:trHeight w:val="340"/>
        </w:trPr>
        <w:tc>
          <w:tcPr>
            <w:tcW w:w="4160" w:type="dxa"/>
            <w:noWrap/>
            <w:vAlign w:val="bottom"/>
            <w:hideMark/>
          </w:tcPr>
          <w:p w:rsidR="004047E3" w:rsidRDefault="004047E3" w:rsidP="00A22C00">
            <w:pPr>
              <w:jc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2380" w:type="dxa"/>
            <w:noWrap/>
            <w:vAlign w:val="bottom"/>
            <w:hideMark/>
          </w:tcPr>
          <w:p w:rsidR="004047E3" w:rsidRPr="00AC36C4" w:rsidRDefault="004047E3" w:rsidP="00A22C00">
            <w:pPr>
              <w:jc w:val="center"/>
              <w:rPr>
                <w:rFonts w:ascii="Arial Unicode MS" w:hAnsi="Arial Unicode MS" w:cs="Arial Unicode MS"/>
                <w:bCs/>
                <w:color w:val="000000"/>
              </w:rPr>
            </w:pPr>
            <w:r w:rsidRPr="00AC36C4">
              <w:rPr>
                <w:rFonts w:ascii="Arial Unicode MS" w:eastAsia="Arial Unicode MS" w:hAnsi="Malgun Gothic" w:cs="Arial Unicode MS" w:hint="eastAsia"/>
                <w:bCs/>
                <w:color w:val="000000"/>
              </w:rPr>
              <w:t>Recurrence</w:t>
            </w:r>
          </w:p>
        </w:tc>
        <w:tc>
          <w:tcPr>
            <w:tcW w:w="2380" w:type="dxa"/>
            <w:noWrap/>
            <w:vAlign w:val="bottom"/>
            <w:hideMark/>
          </w:tcPr>
          <w:p w:rsidR="004047E3" w:rsidRPr="00AC36C4" w:rsidRDefault="004047E3" w:rsidP="00A22C00">
            <w:pPr>
              <w:jc w:val="center"/>
              <w:rPr>
                <w:rFonts w:ascii="Arial Unicode MS" w:hAnsi="Arial Unicode MS" w:cs="Arial Unicode MS"/>
                <w:bCs/>
                <w:color w:val="000000"/>
              </w:rPr>
            </w:pPr>
            <w:r w:rsidRPr="00AC36C4">
              <w:rPr>
                <w:rFonts w:ascii="Arial Unicode MS" w:eastAsia="Arial Unicode MS" w:hAnsi="Malgun Gothic" w:cs="Arial Unicode MS" w:hint="eastAsia"/>
                <w:bCs/>
                <w:color w:val="000000"/>
              </w:rPr>
              <w:t>Mortality</w:t>
            </w:r>
          </w:p>
        </w:tc>
      </w:tr>
      <w:tr w:rsidR="004047E3" w:rsidTr="00A22C00">
        <w:trPr>
          <w:trHeight w:val="340"/>
        </w:trPr>
        <w:tc>
          <w:tcPr>
            <w:tcW w:w="4160" w:type="dxa"/>
            <w:noWrap/>
            <w:vAlign w:val="bottom"/>
            <w:hideMark/>
          </w:tcPr>
          <w:p w:rsidR="004047E3" w:rsidRPr="00AC36C4" w:rsidRDefault="004047E3" w:rsidP="00A22C00">
            <w:pPr>
              <w:jc w:val="center"/>
              <w:rPr>
                <w:rFonts w:ascii="Arial Unicode MS" w:hAnsi="Arial Unicode MS" w:cs="Arial Unicode MS"/>
                <w:bCs/>
                <w:color w:val="000000"/>
              </w:rPr>
            </w:pPr>
            <w:r w:rsidRPr="00AC36C4">
              <w:rPr>
                <w:rFonts w:ascii="Arial Unicode MS" w:eastAsia="Arial Unicode MS" w:hAnsi="Malgun Gothic" w:cs="Arial Unicode MS" w:hint="eastAsia"/>
                <w:bCs/>
                <w:color w:val="000000"/>
              </w:rPr>
              <w:t>Treatment method</w:t>
            </w:r>
          </w:p>
        </w:tc>
        <w:tc>
          <w:tcPr>
            <w:tcW w:w="2380" w:type="dxa"/>
            <w:noWrap/>
            <w:vAlign w:val="bottom"/>
            <w:hideMark/>
          </w:tcPr>
          <w:p w:rsidR="004047E3" w:rsidRPr="00AC36C4" w:rsidRDefault="004047E3" w:rsidP="00A22C00">
            <w:pPr>
              <w:jc w:val="center"/>
              <w:rPr>
                <w:rFonts w:ascii="Arial Unicode MS" w:hAnsi="Arial Unicode MS" w:cs="Arial Unicode MS"/>
                <w:bCs/>
                <w:color w:val="000000"/>
              </w:rPr>
            </w:pPr>
            <w:r w:rsidRPr="00AC36C4">
              <w:rPr>
                <w:rFonts w:ascii="Arial Unicode MS" w:eastAsia="Arial Unicode MS" w:hAnsi="Malgun Gothic" w:cs="Arial Unicode MS" w:hint="eastAsia"/>
                <w:bCs/>
                <w:color w:val="000000"/>
              </w:rPr>
              <w:t>HR (95% CI)</w:t>
            </w:r>
          </w:p>
        </w:tc>
        <w:tc>
          <w:tcPr>
            <w:tcW w:w="2380" w:type="dxa"/>
            <w:noWrap/>
            <w:vAlign w:val="bottom"/>
            <w:hideMark/>
          </w:tcPr>
          <w:p w:rsidR="004047E3" w:rsidRPr="00AC36C4" w:rsidRDefault="004047E3" w:rsidP="00A22C00">
            <w:pPr>
              <w:jc w:val="center"/>
              <w:rPr>
                <w:rFonts w:ascii="Arial Unicode MS" w:hAnsi="Arial Unicode MS" w:cs="Arial Unicode MS"/>
                <w:bCs/>
                <w:color w:val="000000"/>
              </w:rPr>
            </w:pPr>
            <w:r w:rsidRPr="00AC36C4">
              <w:rPr>
                <w:rFonts w:ascii="Arial Unicode MS" w:eastAsia="Arial Unicode MS" w:hAnsi="Malgun Gothic" w:cs="Arial Unicode MS" w:hint="eastAsia"/>
                <w:bCs/>
                <w:color w:val="000000"/>
              </w:rPr>
              <w:t>HR (95% CI)</w:t>
            </w:r>
          </w:p>
        </w:tc>
      </w:tr>
      <w:tr w:rsidR="004047E3" w:rsidTr="00A22C00">
        <w:trPr>
          <w:trHeight w:val="340"/>
        </w:trPr>
        <w:tc>
          <w:tcPr>
            <w:tcW w:w="4160" w:type="dxa"/>
            <w:noWrap/>
            <w:vAlign w:val="bottom"/>
            <w:hideMark/>
          </w:tcPr>
          <w:p w:rsidR="004047E3" w:rsidRPr="00AC36C4" w:rsidRDefault="004047E3" w:rsidP="00A22C00">
            <w:pPr>
              <w:jc w:val="center"/>
              <w:rPr>
                <w:rFonts w:ascii="Arial Unicode MS" w:hAnsi="Arial Unicode MS" w:cs="Arial Unicode MS"/>
                <w:bCs/>
                <w:color w:val="000000"/>
              </w:rPr>
            </w:pPr>
            <w:r w:rsidRPr="00AC36C4">
              <w:rPr>
                <w:rFonts w:ascii="Arial Unicode MS" w:eastAsia="Arial Unicode MS" w:hAnsi="Malgun Gothic" w:cs="Arial Unicode MS" w:hint="eastAsia"/>
                <w:bCs/>
                <w:color w:val="000000"/>
              </w:rPr>
              <w:t>ESD</w:t>
            </w:r>
          </w:p>
        </w:tc>
        <w:tc>
          <w:tcPr>
            <w:tcW w:w="2380" w:type="dxa"/>
            <w:noWrap/>
            <w:vAlign w:val="bottom"/>
            <w:hideMark/>
          </w:tcPr>
          <w:p w:rsidR="004047E3" w:rsidRDefault="004047E3" w:rsidP="00A22C00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Malgun Gothic" w:cs="Arial Unicode MS" w:hint="eastAsia"/>
                <w:color w:val="000000"/>
              </w:rPr>
              <w:t>0.61 (0.44–0.86)</w:t>
            </w:r>
          </w:p>
        </w:tc>
        <w:tc>
          <w:tcPr>
            <w:tcW w:w="2380" w:type="dxa"/>
            <w:noWrap/>
            <w:vAlign w:val="bottom"/>
            <w:hideMark/>
          </w:tcPr>
          <w:p w:rsidR="004047E3" w:rsidRDefault="004047E3" w:rsidP="00A22C00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Malgun Gothic" w:cs="Arial Unicode MS" w:hint="eastAsia"/>
                <w:color w:val="000000"/>
              </w:rPr>
              <w:t>0.08 (0.01–0.63)</w:t>
            </w:r>
          </w:p>
        </w:tc>
      </w:tr>
      <w:tr w:rsidR="004047E3" w:rsidTr="00A22C00">
        <w:trPr>
          <w:trHeight w:val="340"/>
        </w:trPr>
        <w:tc>
          <w:tcPr>
            <w:tcW w:w="4160" w:type="dxa"/>
            <w:noWrap/>
            <w:vAlign w:val="bottom"/>
            <w:hideMark/>
          </w:tcPr>
          <w:p w:rsidR="004047E3" w:rsidRPr="00AC36C4" w:rsidRDefault="004047E3" w:rsidP="00A22C00">
            <w:pPr>
              <w:jc w:val="center"/>
              <w:rPr>
                <w:rFonts w:ascii="Arial Unicode MS" w:hAnsi="Arial Unicode MS" w:cs="Arial Unicode MS"/>
                <w:bCs/>
                <w:color w:val="000000"/>
              </w:rPr>
            </w:pPr>
            <w:r w:rsidRPr="00AC36C4">
              <w:rPr>
                <w:rFonts w:ascii="Arial Unicode MS" w:eastAsia="Arial Unicode MS" w:hAnsi="Malgun Gothic" w:cs="Arial Unicode MS" w:hint="eastAsia"/>
                <w:bCs/>
                <w:color w:val="000000"/>
              </w:rPr>
              <w:t>Gastrectomy</w:t>
            </w:r>
          </w:p>
        </w:tc>
        <w:tc>
          <w:tcPr>
            <w:tcW w:w="2380" w:type="dxa"/>
            <w:noWrap/>
            <w:vAlign w:val="bottom"/>
            <w:hideMark/>
          </w:tcPr>
          <w:p w:rsidR="004047E3" w:rsidRDefault="004047E3" w:rsidP="00A22C00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Malgun Gothic" w:cs="Arial Unicode MS" w:hint="eastAsia"/>
                <w:color w:val="000000"/>
              </w:rPr>
              <w:t>1.34 (0.73–2.44)</w:t>
            </w:r>
          </w:p>
        </w:tc>
        <w:tc>
          <w:tcPr>
            <w:tcW w:w="2380" w:type="dxa"/>
            <w:noWrap/>
            <w:vAlign w:val="bottom"/>
            <w:hideMark/>
          </w:tcPr>
          <w:p w:rsidR="004047E3" w:rsidRDefault="004047E3" w:rsidP="00A22C00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Malgun Gothic" w:cs="Arial Unicode MS" w:hint="eastAsia"/>
                <w:color w:val="000000"/>
              </w:rPr>
              <w:t>0.50 (0.20–1.27)</w:t>
            </w:r>
          </w:p>
        </w:tc>
      </w:tr>
      <w:tr w:rsidR="004047E3" w:rsidTr="00A22C00">
        <w:trPr>
          <w:trHeight w:val="340"/>
        </w:trPr>
        <w:tc>
          <w:tcPr>
            <w:tcW w:w="4160" w:type="dxa"/>
            <w:noWrap/>
            <w:vAlign w:val="bottom"/>
            <w:hideMark/>
          </w:tcPr>
          <w:p w:rsidR="004047E3" w:rsidRPr="00AC36C4" w:rsidRDefault="004047E3" w:rsidP="00A22C00">
            <w:pPr>
              <w:jc w:val="center"/>
              <w:rPr>
                <w:rFonts w:ascii="Arial Unicode MS" w:hAnsi="Arial Unicode MS" w:cs="Arial Unicode MS"/>
                <w:bCs/>
                <w:color w:val="000000"/>
              </w:rPr>
            </w:pPr>
            <w:r w:rsidRPr="00AC36C4">
              <w:rPr>
                <w:rFonts w:ascii="Arial Unicode MS" w:eastAsia="Arial Unicode MS" w:hAnsi="Malgun Gothic" w:cs="Arial Unicode MS" w:hint="eastAsia"/>
                <w:bCs/>
                <w:color w:val="000000"/>
              </w:rPr>
              <w:t>Adjuvant chemotherapy</w:t>
            </w:r>
          </w:p>
        </w:tc>
        <w:tc>
          <w:tcPr>
            <w:tcW w:w="2380" w:type="dxa"/>
            <w:noWrap/>
            <w:vAlign w:val="bottom"/>
            <w:hideMark/>
          </w:tcPr>
          <w:p w:rsidR="004047E3" w:rsidRDefault="004047E3" w:rsidP="00A22C00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Malgun Gothic" w:cs="Arial Unicode MS" w:hint="eastAsia"/>
                <w:color w:val="000000"/>
              </w:rPr>
              <w:t>0.95 (0.52–1.73)</w:t>
            </w:r>
          </w:p>
        </w:tc>
        <w:tc>
          <w:tcPr>
            <w:tcW w:w="2380" w:type="dxa"/>
            <w:noWrap/>
            <w:vAlign w:val="bottom"/>
            <w:hideMark/>
          </w:tcPr>
          <w:p w:rsidR="004047E3" w:rsidRDefault="004047E3" w:rsidP="00A22C00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Malgun Gothic" w:cs="Arial Unicode MS" w:hint="eastAsia"/>
                <w:color w:val="000000"/>
              </w:rPr>
              <w:t>0.68 (0.34–1.34)</w:t>
            </w:r>
          </w:p>
        </w:tc>
      </w:tr>
    </w:tbl>
    <w:p w:rsidR="004047E3" w:rsidRDefault="004047E3" w:rsidP="004047E3">
      <w:pPr>
        <w:ind w:left="240" w:right="240" w:firstLine="120"/>
      </w:pPr>
      <w:r>
        <w:t>*Adjusted for age, sex, T stage, N stage, and CEA level</w:t>
      </w:r>
    </w:p>
    <w:p w:rsidR="004047E3" w:rsidRDefault="004047E3">
      <w:bookmarkStart w:id="0" w:name="_GoBack"/>
      <w:bookmarkEnd w:id="0"/>
    </w:p>
    <w:sectPr w:rsidR="004047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">
    <w:altName w:val="Corbel"/>
    <w:charset w:val="00"/>
    <w:family w:val="swiss"/>
    <w:pitch w:val="variable"/>
    <w:sig w:usb0="00000001" w:usb1="5000207B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7E3"/>
    <w:rsid w:val="00026158"/>
    <w:rsid w:val="0002765E"/>
    <w:rsid w:val="000478CA"/>
    <w:rsid w:val="00064959"/>
    <w:rsid w:val="000838B5"/>
    <w:rsid w:val="000A318F"/>
    <w:rsid w:val="000D5E5E"/>
    <w:rsid w:val="000F6DE6"/>
    <w:rsid w:val="0014423A"/>
    <w:rsid w:val="0015039F"/>
    <w:rsid w:val="00186242"/>
    <w:rsid w:val="001D3322"/>
    <w:rsid w:val="001D485A"/>
    <w:rsid w:val="001F22CE"/>
    <w:rsid w:val="00252507"/>
    <w:rsid w:val="0025344F"/>
    <w:rsid w:val="002742A3"/>
    <w:rsid w:val="002D2CB3"/>
    <w:rsid w:val="003070F9"/>
    <w:rsid w:val="003234DF"/>
    <w:rsid w:val="00332E70"/>
    <w:rsid w:val="0035563C"/>
    <w:rsid w:val="003629EE"/>
    <w:rsid w:val="003B5190"/>
    <w:rsid w:val="004047E3"/>
    <w:rsid w:val="00407413"/>
    <w:rsid w:val="0042361C"/>
    <w:rsid w:val="00424B86"/>
    <w:rsid w:val="004841DD"/>
    <w:rsid w:val="00490AA5"/>
    <w:rsid w:val="004945C9"/>
    <w:rsid w:val="004D0646"/>
    <w:rsid w:val="004D3FB3"/>
    <w:rsid w:val="004D48AE"/>
    <w:rsid w:val="00530941"/>
    <w:rsid w:val="0055027E"/>
    <w:rsid w:val="005B3644"/>
    <w:rsid w:val="005E3D48"/>
    <w:rsid w:val="00604DC9"/>
    <w:rsid w:val="006143AE"/>
    <w:rsid w:val="00626B9C"/>
    <w:rsid w:val="006475E7"/>
    <w:rsid w:val="00651AF1"/>
    <w:rsid w:val="00672859"/>
    <w:rsid w:val="00684F01"/>
    <w:rsid w:val="006A0ACB"/>
    <w:rsid w:val="006A543C"/>
    <w:rsid w:val="006C3FAA"/>
    <w:rsid w:val="00705847"/>
    <w:rsid w:val="007148A2"/>
    <w:rsid w:val="00721271"/>
    <w:rsid w:val="007361E1"/>
    <w:rsid w:val="007454F0"/>
    <w:rsid w:val="00750156"/>
    <w:rsid w:val="00763A0D"/>
    <w:rsid w:val="00786530"/>
    <w:rsid w:val="007A0CB5"/>
    <w:rsid w:val="007A3754"/>
    <w:rsid w:val="007A6277"/>
    <w:rsid w:val="007B1687"/>
    <w:rsid w:val="007E66AA"/>
    <w:rsid w:val="007F7EE7"/>
    <w:rsid w:val="00831180"/>
    <w:rsid w:val="00851F49"/>
    <w:rsid w:val="00864726"/>
    <w:rsid w:val="008A5C5B"/>
    <w:rsid w:val="008A75F8"/>
    <w:rsid w:val="008D11D5"/>
    <w:rsid w:val="008F4D32"/>
    <w:rsid w:val="00920AE3"/>
    <w:rsid w:val="00930CEC"/>
    <w:rsid w:val="00941AEA"/>
    <w:rsid w:val="00945DE5"/>
    <w:rsid w:val="0097403D"/>
    <w:rsid w:val="00996143"/>
    <w:rsid w:val="00997182"/>
    <w:rsid w:val="009A2C9A"/>
    <w:rsid w:val="009D1D5E"/>
    <w:rsid w:val="009F388D"/>
    <w:rsid w:val="009F77FA"/>
    <w:rsid w:val="00A022DD"/>
    <w:rsid w:val="00A2428F"/>
    <w:rsid w:val="00A50371"/>
    <w:rsid w:val="00A66869"/>
    <w:rsid w:val="00AA3054"/>
    <w:rsid w:val="00AB7E82"/>
    <w:rsid w:val="00AD369E"/>
    <w:rsid w:val="00AD6B23"/>
    <w:rsid w:val="00B007B1"/>
    <w:rsid w:val="00B01832"/>
    <w:rsid w:val="00B12047"/>
    <w:rsid w:val="00B13E08"/>
    <w:rsid w:val="00B13FC9"/>
    <w:rsid w:val="00B21A6D"/>
    <w:rsid w:val="00B35B51"/>
    <w:rsid w:val="00B370A2"/>
    <w:rsid w:val="00B77CA1"/>
    <w:rsid w:val="00B8311A"/>
    <w:rsid w:val="00C15697"/>
    <w:rsid w:val="00C75649"/>
    <w:rsid w:val="00CC36A7"/>
    <w:rsid w:val="00CE7CC7"/>
    <w:rsid w:val="00D43C39"/>
    <w:rsid w:val="00D550FA"/>
    <w:rsid w:val="00D80A89"/>
    <w:rsid w:val="00DA4F03"/>
    <w:rsid w:val="00DD27A5"/>
    <w:rsid w:val="00DD6493"/>
    <w:rsid w:val="00DF24DC"/>
    <w:rsid w:val="00E10555"/>
    <w:rsid w:val="00E17555"/>
    <w:rsid w:val="00E227C4"/>
    <w:rsid w:val="00E3272D"/>
    <w:rsid w:val="00E32BD3"/>
    <w:rsid w:val="00E41516"/>
    <w:rsid w:val="00E56100"/>
    <w:rsid w:val="00E74A22"/>
    <w:rsid w:val="00E80461"/>
    <w:rsid w:val="00E81174"/>
    <w:rsid w:val="00EB274B"/>
    <w:rsid w:val="00ED0418"/>
    <w:rsid w:val="00ED186C"/>
    <w:rsid w:val="00ED3FAA"/>
    <w:rsid w:val="00EF2DF8"/>
    <w:rsid w:val="00F215FA"/>
    <w:rsid w:val="00F2361F"/>
    <w:rsid w:val="00F33914"/>
    <w:rsid w:val="00F96332"/>
    <w:rsid w:val="00FA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3DEAF4-575C-47F6-9770-D6F989AB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1456</Words>
  <Characters>8302</Characters>
  <Application>Microsoft Office Word</Application>
  <DocSecurity>0</DocSecurity>
  <Lines>69</Lines>
  <Paragraphs>19</Paragraphs>
  <ScaleCrop>false</ScaleCrop>
  <Company>HP Inc.</Company>
  <LinksUpToDate>false</LinksUpToDate>
  <CharactersWithSpaces>9739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Sridevi K</dc:creator>
  <cp:keywords/>
  <dc:description/>
  <cp:lastModifiedBy>Sridevi K</cp:lastModifiedBy>
  <cp:revision>1</cp:revision>
  <dcterms:created xsi:type="dcterms:W3CDTF">2025-11-11T09:28:00Z</dcterms:created>
  <dcterms:modified xsi:type="dcterms:W3CDTF">2025-11-11T09:32:00Z</dcterms:modified>
</cp:coreProperties>
</file>