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line="301" w:lineRule="auto"/>
        <w:rPr>
          <w:rFonts w:ascii="Arial"/>
          <w:sz w:val="21"/>
        </w:rPr>
      </w:pPr>
      <w:r/>
    </w:p>
    <w:p>
      <w:pPr>
        <w:spacing w:line="302" w:lineRule="auto"/>
        <w:rPr>
          <w:rFonts w:ascii="Arial"/>
          <w:sz w:val="21"/>
        </w:rPr>
      </w:pPr>
      <w:r/>
    </w:p>
    <w:p>
      <w:pPr>
        <w:pStyle w:val="BodyText"/>
        <w:ind w:left="1434"/>
        <w:spacing w:before="104" w:line="219" w:lineRule="auto"/>
        <w:outlineLvl w:val="0"/>
        <w:rPr>
          <w:sz w:val="32"/>
          <w:szCs w:val="32"/>
        </w:rPr>
      </w:pPr>
      <w:r>
        <w:rPr>
          <w:sz w:val="32"/>
          <w:szCs w:val="32"/>
          <w:b/>
          <w:bCs/>
          <w:spacing w:val="-2"/>
        </w:rPr>
        <w:t>秦皇岛市第一医院伦理委员会审批意见</w:t>
      </w:r>
    </w:p>
    <w:p>
      <w:pPr>
        <w:spacing w:line="471" w:lineRule="auto"/>
        <w:rPr>
          <w:rFonts w:ascii="Arial"/>
          <w:sz w:val="21"/>
        </w:rPr>
      </w:pPr>
      <w:r/>
    </w:p>
    <w:p>
      <w:pPr>
        <w:pStyle w:val="BodyText"/>
        <w:spacing w:before="91" w:line="219" w:lineRule="auto"/>
        <w:rPr/>
      </w:pPr>
      <w:r>
        <w:rPr>
          <w:spacing w:val="23"/>
        </w:rPr>
        <w:t>审批日期：2024年06月13日</w:t>
      </w:r>
    </w:p>
    <w:p>
      <w:pPr>
        <w:spacing w:line="474" w:lineRule="auto"/>
        <w:rPr>
          <w:rFonts w:ascii="Arial"/>
          <w:sz w:val="21"/>
        </w:rPr>
      </w:pPr>
      <w:r/>
    </w:p>
    <w:p>
      <w:pPr>
        <w:pStyle w:val="BodyText"/>
        <w:spacing w:before="91" w:line="220" w:lineRule="auto"/>
        <w:rPr>
          <w:rFonts w:ascii="Times New Roman" w:hAnsi="Times New Roman" w:eastAsia="Times New Roman" w:cs="Times New Roman"/>
        </w:rPr>
      </w:pPr>
      <w:r>
        <w:rPr>
          <w:spacing w:val="2"/>
        </w:rPr>
        <w:t>审批号：2024</w:t>
      </w:r>
      <w:r>
        <w:rPr>
          <w:rFonts w:ascii="Times New Roman" w:hAnsi="Times New Roman" w:eastAsia="Times New Roman" w:cs="Times New Roman"/>
          <w:spacing w:val="2"/>
        </w:rPr>
        <w:t>K001</w:t>
      </w:r>
      <w:r>
        <w:rPr>
          <w:spacing w:val="2"/>
        </w:rPr>
        <w:t>至2024</w:t>
      </w:r>
      <w:r>
        <w:rPr>
          <w:rFonts w:ascii="Times New Roman" w:hAnsi="Times New Roman" w:eastAsia="Times New Roman" w:cs="Times New Roman"/>
          <w:spacing w:val="2"/>
        </w:rPr>
        <w:t>K033</w:t>
      </w:r>
    </w:p>
    <w:p>
      <w:pPr>
        <w:spacing w:line="241" w:lineRule="auto"/>
        <w:rPr>
          <w:rFonts w:ascii="Arial"/>
          <w:sz w:val="21"/>
        </w:rPr>
      </w:pPr>
      <w:r/>
    </w:p>
    <w:p>
      <w:pPr>
        <w:spacing w:line="242" w:lineRule="auto"/>
        <w:rPr>
          <w:rFonts w:ascii="Arial"/>
          <w:sz w:val="21"/>
        </w:rPr>
      </w:pPr>
      <w:r/>
    </w:p>
    <w:p>
      <w:pPr>
        <w:pStyle w:val="BodyText"/>
        <w:ind w:right="1799" w:firstLine="490"/>
        <w:spacing w:before="91" w:line="409" w:lineRule="auto"/>
        <w:jc w:val="both"/>
        <w:rPr/>
      </w:pPr>
      <w:r>
        <w:rPr>
          <w:spacing w:val="19"/>
        </w:rPr>
        <w:t>秦皇岛市第一医院伦理委员会于2024年06月13日对提交</w:t>
      </w:r>
      <w:r>
        <w:rPr>
          <w:spacing w:val="18"/>
        </w:rPr>
        <w:t>的33</w:t>
      </w:r>
      <w:r>
        <w:rPr/>
        <w:t xml:space="preserve"> </w:t>
      </w:r>
      <w:r>
        <w:rPr/>
        <w:t>个项目进行会议审查，审查文件包括：伦理</w:t>
      </w:r>
      <w:r>
        <w:rPr>
          <w:spacing w:val="-1"/>
        </w:rPr>
        <w:t>审查申请表、研究方案、</w:t>
      </w:r>
      <w:r>
        <w:rPr/>
        <w:t xml:space="preserve"> </w:t>
      </w:r>
      <w:r>
        <w:rPr>
          <w:spacing w:val="-2"/>
        </w:rPr>
        <w:t>知情同意书、保护患者安全方案、主要研究者简历等，经委员会讨论</w:t>
      </w:r>
      <w:r>
        <w:rPr>
          <w:spacing w:val="12"/>
        </w:rPr>
        <w:t xml:space="preserve"> </w:t>
      </w:r>
      <w:r>
        <w:rPr>
          <w:spacing w:val="-2"/>
        </w:rPr>
        <w:t>及投票，认为项目设计方案合理、符合伦理原则，可以开展该科研项</w:t>
      </w:r>
      <w:r>
        <w:rPr>
          <w:spacing w:val="16"/>
        </w:rPr>
        <w:t xml:space="preserve"> </w:t>
      </w:r>
      <w:r>
        <w:rPr>
          <w:spacing w:val="21"/>
        </w:rPr>
        <w:t>目。有效期：2024年06月13日至2025年06月12日。通过项目详</w:t>
      </w:r>
      <w:r>
        <w:rPr/>
        <w:t xml:space="preserve"> </w:t>
      </w:r>
      <w:r>
        <w:rPr>
          <w:spacing w:val="2"/>
        </w:rPr>
        <w:t>细内容见“伦理委员会通过项目附表1-2”。</w:t>
      </w:r>
    </w:p>
    <w:p>
      <w:pPr>
        <w:spacing w:line="290" w:lineRule="auto"/>
        <w:rPr>
          <w:rFonts w:ascii="Arial"/>
          <w:sz w:val="21"/>
        </w:rPr>
      </w:pPr>
      <w:r/>
    </w:p>
    <w:p>
      <w:pPr>
        <w:spacing w:line="291" w:lineRule="auto"/>
        <w:rPr>
          <w:rFonts w:ascii="Arial"/>
          <w:sz w:val="21"/>
        </w:rPr>
      </w:pPr>
      <w:r/>
    </w:p>
    <w:p>
      <w:pPr>
        <w:pStyle w:val="BodyText"/>
        <w:spacing w:before="92" w:line="219" w:lineRule="auto"/>
        <w:rPr/>
      </w:pPr>
      <w:r>
        <w:rPr>
          <w:spacing w:val="7"/>
        </w:rPr>
        <w:t>跟踪审查频率：12个月</w:t>
      </w:r>
    </w:p>
    <w:p>
      <w:pPr>
        <w:pStyle w:val="BodyText"/>
        <w:spacing w:before="288" w:line="219" w:lineRule="auto"/>
        <w:rPr/>
      </w:pPr>
      <w:r>
        <w:rPr>
          <w:spacing w:val="-3"/>
        </w:rPr>
        <w:t>审批具体意见：批准</w:t>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drawing>
          <wp:anchor distT="0" distB="0" distL="0" distR="0" simplePos="0" relativeHeight="251658240" behindDoc="0" locked="0" layoutInCell="1" allowOverlap="1">
            <wp:simplePos x="0" y="0"/>
            <wp:positionH relativeFrom="column">
              <wp:posOffset>5683207</wp:posOffset>
            </wp:positionH>
            <wp:positionV relativeFrom="paragraph">
              <wp:posOffset>16042</wp:posOffset>
            </wp:positionV>
            <wp:extent cx="787412" cy="1454094"/>
            <wp:effectExtent l="0" t="0" r="0" b="0"/>
            <wp:wrapNone/>
            <wp:docPr id="4" name="IM 4"/>
            <wp:cNvGraphicFramePr/>
            <a:graphic>
              <a:graphicData uri="http://schemas.openxmlformats.org/drawingml/2006/picture">
                <pic:pic>
                  <pic:nvPicPr>
                    <pic:cNvPr id="4" name="IM 4"/>
                    <pic:cNvPicPr/>
                  </pic:nvPicPr>
                  <pic:blipFill>
                    <a:blip r:embed="rId3"/>
                    <a:stretch>
                      <a:fillRect/>
                    </a:stretch>
                  </pic:blipFill>
                  <pic:spPr>
                    <a:xfrm rot="0">
                      <a:off x="0" y="0"/>
                      <a:ext cx="787412" cy="1454094"/>
                    </a:xfrm>
                    <a:prstGeom prst="rect">
                      <a:avLst/>
                    </a:prstGeom>
                  </pic:spPr>
                </pic:pic>
              </a:graphicData>
            </a:graphic>
          </wp:anchor>
        </w:drawing>
      </w:r>
      <w:r/>
    </w:p>
    <w:p>
      <w:pPr>
        <w:pStyle w:val="BodyText"/>
        <w:spacing w:before="91" w:line="219" w:lineRule="auto"/>
        <w:rPr/>
      </w:pPr>
      <w:r>
        <w:drawing>
          <wp:anchor distT="0" distB="0" distL="0" distR="0" simplePos="0" relativeHeight="251659264" behindDoc="0" locked="0" layoutInCell="1" allowOverlap="1">
            <wp:simplePos x="0" y="0"/>
            <wp:positionH relativeFrom="column">
              <wp:posOffset>2679360</wp:posOffset>
            </wp:positionH>
            <wp:positionV relativeFrom="paragraph">
              <wp:posOffset>151283</wp:posOffset>
            </wp:positionV>
            <wp:extent cx="857851" cy="332515"/>
            <wp:effectExtent l="0" t="0" r="0" b="0"/>
            <wp:wrapNone/>
            <wp:docPr id="6" name="IM 6"/>
            <wp:cNvGraphicFramePr/>
            <a:graphic>
              <a:graphicData uri="http://schemas.openxmlformats.org/drawingml/2006/picture">
                <pic:pic>
                  <pic:nvPicPr>
                    <pic:cNvPr id="6" name="IM 6"/>
                    <pic:cNvPicPr/>
                  </pic:nvPicPr>
                  <pic:blipFill>
                    <a:blip r:embed="rId4"/>
                    <a:stretch>
                      <a:fillRect/>
                    </a:stretch>
                  </pic:blipFill>
                  <pic:spPr>
                    <a:xfrm rot="0">
                      <a:off x="0" y="0"/>
                      <a:ext cx="857851" cy="332515"/>
                    </a:xfrm>
                    <a:prstGeom prst="rect">
                      <a:avLst/>
                    </a:prstGeom>
                  </pic:spPr>
                </pic:pic>
              </a:graphicData>
            </a:graphic>
          </wp:anchor>
        </w:drawing>
      </w:r>
      <w:r>
        <w:rPr>
          <w:spacing w:val="-4"/>
        </w:rPr>
        <w:t>主任委员/副主任委员签字：</w:t>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BodyText"/>
        <w:ind w:left="3189"/>
        <w:spacing w:before="92" w:line="219" w:lineRule="auto"/>
        <w:rPr/>
      </w:pPr>
      <w:r>
        <w:drawing>
          <wp:anchor distT="0" distB="0" distL="0" distR="0" simplePos="0" relativeHeight="251660288" behindDoc="0" locked="0" layoutInCell="1" allowOverlap="1">
            <wp:simplePos x="0" y="0"/>
            <wp:positionH relativeFrom="column">
              <wp:posOffset>2698706</wp:posOffset>
            </wp:positionH>
            <wp:positionV relativeFrom="paragraph">
              <wp:posOffset>-361490</wp:posOffset>
            </wp:positionV>
            <wp:extent cx="1460508" cy="1441471"/>
            <wp:effectExtent l="0" t="0" r="0" b="0"/>
            <wp:wrapNone/>
            <wp:docPr id="8" name="IM 8"/>
            <wp:cNvGraphicFramePr/>
            <a:graphic>
              <a:graphicData uri="http://schemas.openxmlformats.org/drawingml/2006/picture">
                <pic:pic>
                  <pic:nvPicPr>
                    <pic:cNvPr id="8" name="IM 8"/>
                    <pic:cNvPicPr/>
                  </pic:nvPicPr>
                  <pic:blipFill>
                    <a:blip r:embed="rId5"/>
                    <a:stretch>
                      <a:fillRect/>
                    </a:stretch>
                  </pic:blipFill>
                  <pic:spPr>
                    <a:xfrm rot="0">
                      <a:off x="0" y="0"/>
                      <a:ext cx="1460508" cy="1441471"/>
                    </a:xfrm>
                    <a:prstGeom prst="rect">
                      <a:avLst/>
                    </a:prstGeom>
                  </pic:spPr>
                </pic:pic>
              </a:graphicData>
            </a:graphic>
          </wp:anchor>
        </w:drawing>
      </w:r>
      <w:r>
        <w:rPr>
          <w:spacing w:val="10"/>
        </w:rPr>
        <w:t>秦皇岛市第一医院伦理委员会(盖章)</w:t>
      </w:r>
    </w:p>
    <w:p>
      <w:pPr>
        <w:pStyle w:val="BodyText"/>
        <w:ind w:left="4579"/>
        <w:spacing w:before="279" w:line="219" w:lineRule="auto"/>
        <w:rPr/>
      </w:pPr>
      <w:r>
        <w:rPr>
          <w:spacing w:val="-10"/>
        </w:rPr>
        <w:t>2024</w:t>
      </w:r>
      <w:r>
        <w:rPr>
          <w:spacing w:val="43"/>
        </w:rPr>
        <w:t xml:space="preserve"> </w:t>
      </w:r>
      <w:r>
        <w:rPr>
          <w:spacing w:val="-10"/>
        </w:rPr>
        <w:t>年</w:t>
      </w:r>
      <w:r>
        <w:rPr>
          <w:spacing w:val="-34"/>
        </w:rPr>
        <w:t xml:space="preserve"> </w:t>
      </w:r>
      <w:r>
        <w:rPr>
          <w:spacing w:val="-10"/>
        </w:rPr>
        <w:t>6</w:t>
      </w:r>
      <w:r>
        <w:rPr>
          <w:spacing w:val="-30"/>
        </w:rPr>
        <w:t xml:space="preserve"> </w:t>
      </w:r>
      <w:r>
        <w:rPr>
          <w:spacing w:val="-10"/>
        </w:rPr>
        <w:t>月 1</w:t>
      </w:r>
      <w:r>
        <w:rPr>
          <w:spacing w:val="-31"/>
        </w:rPr>
        <w:t xml:space="preserve"> </w:t>
      </w:r>
      <w:r>
        <w:rPr>
          <w:spacing w:val="-10"/>
        </w:rPr>
        <w:t>3 日</w:t>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pStyle w:val="BodyText"/>
        <w:spacing w:before="59" w:line="219" w:lineRule="auto"/>
        <w:rPr>
          <w:sz w:val="18"/>
          <w:szCs w:val="18"/>
        </w:rPr>
      </w:pPr>
      <w:r>
        <w:rPr>
          <w:sz w:val="18"/>
          <w:szCs w:val="18"/>
          <w:spacing w:val="3"/>
        </w:rPr>
        <w:t>秦皇岛市第一医院伦理委员会地址：河北省秦皇岛市海港区文化路258</w:t>
      </w:r>
      <w:r>
        <w:rPr>
          <w:sz w:val="18"/>
          <w:szCs w:val="18"/>
          <w:spacing w:val="2"/>
        </w:rPr>
        <w:t>号，邮编：066000</w:t>
      </w:r>
    </w:p>
    <w:p>
      <w:pPr>
        <w:pStyle w:val="BodyText"/>
        <w:spacing w:before="37" w:line="212" w:lineRule="auto"/>
        <w:rPr>
          <w:rFonts w:ascii="Times New Roman" w:hAnsi="Times New Roman" w:eastAsia="Times New Roman" w:cs="Times New Roman"/>
          <w:sz w:val="18"/>
          <w:szCs w:val="18"/>
        </w:rPr>
      </w:pPr>
      <w:r>
        <w:rPr>
          <w:sz w:val="18"/>
          <w:szCs w:val="18"/>
          <w:spacing w:val="-1"/>
        </w:rPr>
        <w:t>联系人：李扬</w:t>
      </w:r>
      <w:r>
        <w:rPr>
          <w:sz w:val="18"/>
          <w:szCs w:val="18"/>
          <w:spacing w:val="48"/>
        </w:rPr>
        <w:t xml:space="preserve">  </w:t>
      </w:r>
      <w:r>
        <w:rPr>
          <w:sz w:val="18"/>
          <w:szCs w:val="18"/>
          <w:spacing w:val="-1"/>
        </w:rPr>
        <w:t>联系电话：0335-5908898</w:t>
      </w:r>
      <w:r>
        <w:rPr>
          <w:sz w:val="18"/>
          <w:szCs w:val="18"/>
          <w:spacing w:val="16"/>
        </w:rPr>
        <w:t xml:space="preserve">   </w:t>
      </w:r>
      <w:r>
        <w:rPr>
          <w:sz w:val="18"/>
          <w:szCs w:val="18"/>
          <w:spacing w:val="-1"/>
        </w:rPr>
        <w:t>邮箱：</w:t>
      </w:r>
      <w:r>
        <w:rPr>
          <w:rFonts w:ascii="Times New Roman" w:hAnsi="Times New Roman" w:eastAsia="Times New Roman" w:cs="Times New Roman"/>
          <w:sz w:val="18"/>
          <w:szCs w:val="18"/>
          <w:spacing w:val="-1"/>
        </w:rPr>
        <w:t>qhdllwyh@163.com</w:t>
      </w:r>
    </w:p>
    <w:p>
      <w:pPr>
        <w:spacing w:line="212" w:lineRule="auto"/>
        <w:sectPr>
          <w:headerReference w:type="default" r:id="rId1"/>
          <w:footerReference w:type="default" r:id="rId2"/>
          <w:pgSz w:w="12450" w:h="16990"/>
          <w:pgMar w:top="1234" w:right="460" w:bottom="919" w:left="1800" w:header="958" w:footer="753" w:gutter="0"/>
        </w:sectPr>
        <w:rPr>
          <w:rFonts w:ascii="Times New Roman" w:hAnsi="Times New Roman" w:eastAsia="Times New Roman" w:cs="Times New Roman"/>
          <w:sz w:val="18"/>
          <w:szCs w:val="18"/>
        </w:rPr>
      </w:pPr>
    </w:p>
    <w:p>
      <w:pPr>
        <w:spacing w:line="346" w:lineRule="auto"/>
        <w:rPr>
          <w:rFonts w:ascii="Arial"/>
          <w:sz w:val="21"/>
        </w:rPr>
      </w:pPr>
      <w:r/>
    </w:p>
    <w:p>
      <w:pPr>
        <w:spacing w:line="347" w:lineRule="auto"/>
        <w:rPr>
          <w:rFonts w:ascii="Arial"/>
          <w:sz w:val="21"/>
        </w:rPr>
      </w:pPr>
      <w:r/>
    </w:p>
    <w:p>
      <w:pPr>
        <w:pStyle w:val="BodyText"/>
        <w:ind w:left="4114"/>
        <w:spacing w:before="104" w:line="219" w:lineRule="auto"/>
        <w:rPr>
          <w:sz w:val="32"/>
          <w:szCs w:val="32"/>
        </w:rPr>
      </w:pPr>
      <w:r>
        <w:drawing>
          <wp:anchor distT="0" distB="0" distL="0" distR="0" simplePos="0" relativeHeight="251661312" behindDoc="0" locked="0" layoutInCell="1" allowOverlap="1">
            <wp:simplePos x="0" y="0"/>
            <wp:positionH relativeFrom="column">
              <wp:posOffset>0</wp:posOffset>
            </wp:positionH>
            <wp:positionV relativeFrom="paragraph">
              <wp:posOffset>5948060</wp:posOffset>
            </wp:positionV>
            <wp:extent cx="704878" cy="1435161"/>
            <wp:effectExtent l="0" t="0" r="0" b="0"/>
            <wp:wrapNone/>
            <wp:docPr id="12" name="IM 12"/>
            <wp:cNvGraphicFramePr/>
            <a:graphic>
              <a:graphicData uri="http://schemas.openxmlformats.org/drawingml/2006/picture">
                <pic:pic>
                  <pic:nvPicPr>
                    <pic:cNvPr id="12" name="IM 12"/>
                    <pic:cNvPicPr/>
                  </pic:nvPicPr>
                  <pic:blipFill>
                    <a:blip r:embed="rId8"/>
                    <a:stretch>
                      <a:fillRect/>
                    </a:stretch>
                  </pic:blipFill>
                  <pic:spPr>
                    <a:xfrm rot="0">
                      <a:off x="0" y="0"/>
                      <a:ext cx="704878" cy="1435161"/>
                    </a:xfrm>
                    <a:prstGeom prst="rect">
                      <a:avLst/>
                    </a:prstGeom>
                  </pic:spPr>
                </pic:pic>
              </a:graphicData>
            </a:graphic>
          </wp:anchor>
        </w:drawing>
      </w:r>
      <w:r>
        <w:rPr>
          <w:sz w:val="32"/>
          <w:szCs w:val="32"/>
          <w:b/>
          <w:bCs/>
          <w:spacing w:val="5"/>
        </w:rPr>
        <w:t>伦理委员会通过项目附表1</w:t>
      </w:r>
    </w:p>
    <w:p>
      <w:pPr>
        <w:spacing w:line="108" w:lineRule="exact"/>
        <w:rPr/>
      </w:pPr>
      <w:r/>
    </w:p>
    <w:tbl>
      <w:tblPr>
        <w:tblStyle w:val="TableNormal"/>
        <w:tblW w:w="9819" w:type="dxa"/>
        <w:tblInd w:w="108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94"/>
        <w:gridCol w:w="6154"/>
        <w:gridCol w:w="1278"/>
        <w:gridCol w:w="1693"/>
      </w:tblGrid>
      <w:tr>
        <w:trPr>
          <w:trHeight w:val="485" w:hRule="atLeast"/>
        </w:trPr>
        <w:tc>
          <w:tcPr>
            <w:tcW w:w="694" w:type="dxa"/>
            <w:vAlign w:val="top"/>
          </w:tcPr>
          <w:p>
            <w:pPr>
              <w:rPr>
                <w:rFonts w:ascii="Arial"/>
                <w:sz w:val="21"/>
              </w:rPr>
            </w:pPr>
            <w:r/>
          </w:p>
        </w:tc>
        <w:tc>
          <w:tcPr>
            <w:tcW w:w="6154" w:type="dxa"/>
            <w:vAlign w:val="top"/>
          </w:tcPr>
          <w:p>
            <w:pPr>
              <w:pStyle w:val="TableText"/>
              <w:ind w:left="2710"/>
              <w:spacing w:before="144" w:line="220" w:lineRule="auto"/>
              <w:rPr/>
            </w:pPr>
            <w:r>
              <w:rPr>
                <w:spacing w:val="-6"/>
              </w:rPr>
              <w:t>项</w:t>
            </w:r>
            <w:r>
              <w:rPr>
                <w:spacing w:val="94"/>
              </w:rPr>
              <w:t xml:space="preserve"> </w:t>
            </w:r>
            <w:r>
              <w:rPr>
                <w:spacing w:val="-6"/>
              </w:rPr>
              <w:t>目</w:t>
            </w:r>
          </w:p>
        </w:tc>
        <w:tc>
          <w:tcPr>
            <w:tcW w:w="1278" w:type="dxa"/>
            <w:vAlign w:val="top"/>
          </w:tcPr>
          <w:p>
            <w:pPr>
              <w:pStyle w:val="TableText"/>
              <w:ind w:left="316"/>
              <w:spacing w:before="142" w:line="219" w:lineRule="auto"/>
              <w:rPr/>
            </w:pPr>
            <w:r>
              <w:rPr>
                <w:spacing w:val="-2"/>
              </w:rPr>
              <w:t>研究者</w:t>
            </w:r>
          </w:p>
        </w:tc>
        <w:tc>
          <w:tcPr>
            <w:tcW w:w="1693" w:type="dxa"/>
            <w:vAlign w:val="top"/>
          </w:tcPr>
          <w:p>
            <w:pPr>
              <w:pStyle w:val="TableText"/>
              <w:ind w:left="628"/>
              <w:spacing w:before="143" w:line="219" w:lineRule="auto"/>
              <w:rPr/>
            </w:pPr>
            <w:r>
              <w:rPr>
                <w:spacing w:val="6"/>
              </w:rPr>
              <w:t>编号</w:t>
            </w:r>
          </w:p>
        </w:tc>
      </w:tr>
      <w:tr>
        <w:trPr>
          <w:trHeight w:val="619" w:hRule="atLeast"/>
        </w:trPr>
        <w:tc>
          <w:tcPr>
            <w:tcW w:w="694" w:type="dxa"/>
            <w:vAlign w:val="top"/>
          </w:tcPr>
          <w:p>
            <w:pPr>
              <w:pStyle w:val="TableText"/>
              <w:ind w:left="284"/>
              <w:spacing w:before="99" w:line="241" w:lineRule="auto"/>
              <w:rPr/>
            </w:pPr>
            <w:r>
              <w:rPr/>
              <w:t>1</w:t>
            </w:r>
          </w:p>
        </w:tc>
        <w:tc>
          <w:tcPr>
            <w:tcW w:w="6154" w:type="dxa"/>
            <w:vAlign w:val="top"/>
          </w:tcPr>
          <w:p>
            <w:pPr>
              <w:pStyle w:val="TableText"/>
              <w:ind w:left="90" w:right="171" w:firstLine="9"/>
              <w:spacing w:before="49" w:line="246" w:lineRule="auto"/>
              <w:rPr/>
            </w:pPr>
            <w:r>
              <w:rPr>
                <w:spacing w:val="-1"/>
              </w:rPr>
              <w:t>基于术前炎症指标及细胞因子对低位恶性梗阻性黄疸胆道支架再</w:t>
            </w:r>
            <w:r>
              <w:rPr>
                <w:spacing w:val="18"/>
              </w:rPr>
              <w:t xml:space="preserve"> </w:t>
            </w:r>
            <w:r>
              <w:rPr>
                <w:spacing w:val="-1"/>
              </w:rPr>
              <w:t>狭窄预测价值研究</w:t>
            </w:r>
          </w:p>
        </w:tc>
        <w:tc>
          <w:tcPr>
            <w:tcW w:w="1278" w:type="dxa"/>
            <w:vAlign w:val="top"/>
          </w:tcPr>
          <w:p>
            <w:pPr>
              <w:pStyle w:val="TableText"/>
              <w:ind w:left="316"/>
              <w:spacing w:before="49" w:line="221" w:lineRule="auto"/>
              <w:rPr/>
            </w:pPr>
            <w:r>
              <w:rPr>
                <w:spacing w:val="2"/>
              </w:rPr>
              <w:t>安建立</w:t>
            </w:r>
          </w:p>
        </w:tc>
        <w:tc>
          <w:tcPr>
            <w:tcW w:w="1693" w:type="dxa"/>
            <w:vAlign w:val="top"/>
          </w:tcPr>
          <w:p>
            <w:pPr>
              <w:pStyle w:val="TableText"/>
              <w:ind w:left="418"/>
              <w:spacing w:before="111" w:line="184" w:lineRule="auto"/>
              <w:rPr/>
            </w:pPr>
            <w:r>
              <w:rPr>
                <w:spacing w:val="-2"/>
              </w:rPr>
              <w:t>2024K001</w:t>
            </w:r>
          </w:p>
        </w:tc>
      </w:tr>
      <w:tr>
        <w:trPr>
          <w:trHeight w:val="629" w:hRule="atLeast"/>
        </w:trPr>
        <w:tc>
          <w:tcPr>
            <w:tcW w:w="694" w:type="dxa"/>
            <w:vAlign w:val="top"/>
          </w:tcPr>
          <w:p>
            <w:pPr>
              <w:pStyle w:val="TableText"/>
              <w:ind w:left="284"/>
              <w:spacing w:before="100" w:line="241" w:lineRule="auto"/>
              <w:rPr/>
            </w:pPr>
            <w:r>
              <w:rPr/>
              <w:t>2</w:t>
            </w:r>
          </w:p>
        </w:tc>
        <w:tc>
          <w:tcPr>
            <w:tcW w:w="6154" w:type="dxa"/>
            <w:vAlign w:val="top"/>
          </w:tcPr>
          <w:p>
            <w:pPr>
              <w:pStyle w:val="TableText"/>
              <w:ind w:left="90" w:right="255"/>
              <w:spacing w:before="68" w:line="242" w:lineRule="auto"/>
              <w:rPr/>
            </w:pPr>
            <w:r>
              <w:rPr>
                <w:spacing w:val="1"/>
              </w:rPr>
              <w:t>基于</w:t>
            </w:r>
            <w:r>
              <w:rPr/>
              <w:t>BCW</w:t>
            </w:r>
            <w:r>
              <w:rPr>
                <w:spacing w:val="1"/>
              </w:rPr>
              <w:t>理论的老年脑卒中合并衰弱患者运动康复方</w:t>
            </w:r>
            <w:r>
              <w:rPr/>
              <w:t>案的构建与 </w:t>
            </w:r>
            <w:r>
              <w:rPr>
                <w:spacing w:val="12"/>
              </w:rPr>
              <w:t>应用</w:t>
            </w:r>
          </w:p>
        </w:tc>
        <w:tc>
          <w:tcPr>
            <w:tcW w:w="1278" w:type="dxa"/>
            <w:vAlign w:val="top"/>
          </w:tcPr>
          <w:p>
            <w:pPr>
              <w:pStyle w:val="TableText"/>
              <w:ind w:left="316"/>
              <w:spacing w:before="68" w:line="219" w:lineRule="auto"/>
              <w:rPr/>
            </w:pPr>
            <w:r>
              <w:rPr>
                <w:spacing w:val="2"/>
              </w:rPr>
              <w:t>陈晓敏</w:t>
            </w:r>
          </w:p>
        </w:tc>
        <w:tc>
          <w:tcPr>
            <w:tcW w:w="1693" w:type="dxa"/>
            <w:vAlign w:val="top"/>
          </w:tcPr>
          <w:p>
            <w:pPr>
              <w:pStyle w:val="TableText"/>
              <w:ind w:left="418"/>
              <w:spacing w:before="133" w:line="183" w:lineRule="auto"/>
              <w:rPr/>
            </w:pPr>
            <w:r>
              <w:rPr>
                <w:spacing w:val="-2"/>
              </w:rPr>
              <w:t>2024K002</w:t>
            </w:r>
          </w:p>
        </w:tc>
      </w:tr>
      <w:tr>
        <w:trPr>
          <w:trHeight w:val="619" w:hRule="atLeast"/>
        </w:trPr>
        <w:tc>
          <w:tcPr>
            <w:tcW w:w="694" w:type="dxa"/>
            <w:vAlign w:val="top"/>
          </w:tcPr>
          <w:p>
            <w:pPr>
              <w:pStyle w:val="TableText"/>
              <w:ind w:left="284"/>
              <w:spacing w:before="101"/>
              <w:rPr/>
            </w:pPr>
            <w:r>
              <w:rPr/>
              <w:t>3</w:t>
            </w:r>
          </w:p>
        </w:tc>
        <w:tc>
          <w:tcPr>
            <w:tcW w:w="6154" w:type="dxa"/>
            <w:vAlign w:val="top"/>
          </w:tcPr>
          <w:p>
            <w:pPr>
              <w:pStyle w:val="TableText"/>
              <w:ind w:left="90" w:right="159"/>
              <w:spacing w:before="40" w:line="250" w:lineRule="auto"/>
              <w:rPr/>
            </w:pPr>
            <w:r>
              <w:rPr/>
              <w:t>超声医学技术结合机器学习在血管疾病中的精准诊断及预测模型</w:t>
            </w:r>
            <w:r>
              <w:rPr>
                <w:spacing w:val="12"/>
              </w:rPr>
              <w:t xml:space="preserve"> </w:t>
            </w:r>
            <w:r>
              <w:rPr>
                <w:spacing w:val="5"/>
              </w:rPr>
              <w:t>的临床应用</w:t>
            </w:r>
          </w:p>
        </w:tc>
        <w:tc>
          <w:tcPr>
            <w:tcW w:w="1278" w:type="dxa"/>
            <w:vAlign w:val="top"/>
          </w:tcPr>
          <w:p>
            <w:pPr>
              <w:pStyle w:val="TableText"/>
              <w:ind w:left="426"/>
              <w:spacing w:before="49" w:line="219" w:lineRule="auto"/>
              <w:rPr/>
            </w:pPr>
            <w:r>
              <w:rPr>
                <w:spacing w:val="6"/>
              </w:rPr>
              <w:t>葛雪</w:t>
            </w:r>
          </w:p>
        </w:tc>
        <w:tc>
          <w:tcPr>
            <w:tcW w:w="1693" w:type="dxa"/>
            <w:vAlign w:val="top"/>
          </w:tcPr>
          <w:p>
            <w:pPr>
              <w:pStyle w:val="TableText"/>
              <w:ind w:left="418"/>
              <w:spacing w:before="104" w:line="183" w:lineRule="auto"/>
              <w:rPr/>
            </w:pPr>
            <w:r>
              <w:rPr>
                <w:spacing w:val="-2"/>
              </w:rPr>
              <w:t>2024K003</w:t>
            </w:r>
          </w:p>
        </w:tc>
      </w:tr>
      <w:tr>
        <w:trPr>
          <w:trHeight w:val="310" w:hRule="atLeast"/>
        </w:trPr>
        <w:tc>
          <w:tcPr>
            <w:tcW w:w="694" w:type="dxa"/>
            <w:vAlign w:val="top"/>
          </w:tcPr>
          <w:p>
            <w:pPr>
              <w:pStyle w:val="TableText"/>
              <w:ind w:left="284"/>
              <w:spacing w:before="72" w:line="200" w:lineRule="auto"/>
              <w:rPr/>
            </w:pPr>
            <w:r>
              <w:rPr/>
              <w:t>4</w:t>
            </w:r>
          </w:p>
        </w:tc>
        <w:tc>
          <w:tcPr>
            <w:tcW w:w="6154" w:type="dxa"/>
            <w:vAlign w:val="top"/>
          </w:tcPr>
          <w:p>
            <w:pPr>
              <w:pStyle w:val="TableText"/>
              <w:ind w:left="90"/>
              <w:spacing w:before="50" w:line="219" w:lineRule="auto"/>
              <w:rPr/>
            </w:pPr>
            <w:r>
              <w:rPr>
                <w:spacing w:val="-1"/>
              </w:rPr>
              <w:t>透析患者心脏结构改变的影响因素及预后分析</w:t>
            </w:r>
          </w:p>
        </w:tc>
        <w:tc>
          <w:tcPr>
            <w:tcW w:w="1278" w:type="dxa"/>
            <w:vAlign w:val="top"/>
          </w:tcPr>
          <w:p>
            <w:pPr>
              <w:pStyle w:val="TableText"/>
              <w:ind w:left="316"/>
              <w:spacing w:before="50" w:line="219" w:lineRule="auto"/>
              <w:rPr/>
            </w:pPr>
            <w:r>
              <w:rPr>
                <w:spacing w:val="3"/>
              </w:rPr>
              <w:t>管仁平</w:t>
            </w:r>
          </w:p>
        </w:tc>
        <w:tc>
          <w:tcPr>
            <w:tcW w:w="1693" w:type="dxa"/>
            <w:vAlign w:val="top"/>
          </w:tcPr>
          <w:p>
            <w:pPr>
              <w:pStyle w:val="TableText"/>
              <w:ind w:left="418"/>
              <w:spacing w:before="105" w:line="171" w:lineRule="auto"/>
              <w:rPr/>
            </w:pPr>
            <w:r>
              <w:rPr>
                <w:spacing w:val="-2"/>
              </w:rPr>
              <w:t>2024K004</w:t>
            </w:r>
          </w:p>
        </w:tc>
      </w:tr>
      <w:tr>
        <w:trPr>
          <w:trHeight w:val="320" w:hRule="atLeast"/>
        </w:trPr>
        <w:tc>
          <w:tcPr>
            <w:tcW w:w="694" w:type="dxa"/>
            <w:vAlign w:val="top"/>
          </w:tcPr>
          <w:p>
            <w:pPr>
              <w:pStyle w:val="TableText"/>
              <w:ind w:left="284"/>
              <w:spacing w:before="82" w:line="200" w:lineRule="auto"/>
              <w:rPr/>
            </w:pPr>
            <w:r>
              <w:rPr/>
              <w:t>5</w:t>
            </w:r>
          </w:p>
        </w:tc>
        <w:tc>
          <w:tcPr>
            <w:tcW w:w="6154" w:type="dxa"/>
            <w:vAlign w:val="top"/>
          </w:tcPr>
          <w:p>
            <w:pPr>
              <w:pStyle w:val="TableText"/>
              <w:ind w:left="90"/>
              <w:spacing w:before="60" w:line="219" w:lineRule="auto"/>
              <w:rPr/>
            </w:pPr>
            <w:r>
              <w:rPr/>
              <w:t>右心室-动脉解耦联在心力衰竭中的临床研究</w:t>
            </w:r>
          </w:p>
        </w:tc>
        <w:tc>
          <w:tcPr>
            <w:tcW w:w="1278" w:type="dxa"/>
            <w:vAlign w:val="top"/>
          </w:tcPr>
          <w:p>
            <w:pPr>
              <w:pStyle w:val="TableText"/>
              <w:ind w:left="316"/>
              <w:spacing w:before="60" w:line="219" w:lineRule="auto"/>
              <w:rPr/>
            </w:pPr>
            <w:r>
              <w:rPr>
                <w:spacing w:val="3"/>
              </w:rPr>
              <w:t>贾红丹</w:t>
            </w:r>
          </w:p>
        </w:tc>
        <w:tc>
          <w:tcPr>
            <w:tcW w:w="1693" w:type="dxa"/>
            <w:vAlign w:val="top"/>
          </w:tcPr>
          <w:p>
            <w:pPr>
              <w:pStyle w:val="TableText"/>
              <w:ind w:left="418"/>
              <w:spacing w:before="115" w:line="171" w:lineRule="auto"/>
              <w:rPr/>
            </w:pPr>
            <w:r>
              <w:rPr>
                <w:spacing w:val="-2"/>
              </w:rPr>
              <w:t>2024KO05</w:t>
            </w:r>
          </w:p>
        </w:tc>
      </w:tr>
      <w:tr>
        <w:trPr>
          <w:trHeight w:val="310" w:hRule="atLeast"/>
        </w:trPr>
        <w:tc>
          <w:tcPr>
            <w:tcW w:w="694" w:type="dxa"/>
            <w:vAlign w:val="top"/>
          </w:tcPr>
          <w:p>
            <w:pPr>
              <w:pStyle w:val="TableText"/>
              <w:ind w:left="284"/>
              <w:spacing w:before="72" w:line="200" w:lineRule="auto"/>
              <w:rPr/>
            </w:pPr>
            <w:r>
              <w:rPr/>
              <w:t>6</w:t>
            </w:r>
          </w:p>
        </w:tc>
        <w:tc>
          <w:tcPr>
            <w:tcW w:w="6154" w:type="dxa"/>
            <w:vAlign w:val="top"/>
          </w:tcPr>
          <w:p>
            <w:pPr>
              <w:pStyle w:val="TableText"/>
              <w:ind w:left="90"/>
              <w:spacing w:before="50" w:line="219" w:lineRule="auto"/>
              <w:rPr/>
            </w:pPr>
            <w:r>
              <w:rPr>
                <w:spacing w:val="-1"/>
              </w:rPr>
              <w:t>基于图像的深度学习算法结合多组学信息预测肿瘤异质性</w:t>
            </w:r>
          </w:p>
        </w:tc>
        <w:tc>
          <w:tcPr>
            <w:tcW w:w="1278" w:type="dxa"/>
            <w:vAlign w:val="top"/>
          </w:tcPr>
          <w:p>
            <w:pPr>
              <w:pStyle w:val="TableText"/>
              <w:ind w:left="316"/>
              <w:spacing w:before="52" w:line="218" w:lineRule="auto"/>
              <w:rPr/>
            </w:pPr>
            <w:r>
              <w:rPr>
                <w:spacing w:val="4"/>
              </w:rPr>
              <w:t>李文菲</w:t>
            </w:r>
          </w:p>
        </w:tc>
        <w:tc>
          <w:tcPr>
            <w:tcW w:w="1693" w:type="dxa"/>
            <w:vAlign w:val="top"/>
          </w:tcPr>
          <w:p>
            <w:pPr>
              <w:pStyle w:val="TableText"/>
              <w:ind w:left="418"/>
              <w:spacing w:before="105" w:line="171" w:lineRule="auto"/>
              <w:rPr/>
            </w:pPr>
            <w:r>
              <w:rPr>
                <w:spacing w:val="-2"/>
              </w:rPr>
              <w:t>2024K006</w:t>
            </w:r>
          </w:p>
        </w:tc>
      </w:tr>
      <w:tr>
        <w:trPr>
          <w:trHeight w:val="629" w:hRule="atLeast"/>
        </w:trPr>
        <w:tc>
          <w:tcPr>
            <w:tcW w:w="694" w:type="dxa"/>
            <w:vAlign w:val="top"/>
          </w:tcPr>
          <w:p>
            <w:pPr>
              <w:pStyle w:val="TableText"/>
              <w:ind w:left="284"/>
              <w:spacing w:before="102"/>
              <w:rPr/>
            </w:pPr>
            <w:r>
              <w:rPr/>
              <w:t>7</w:t>
            </w:r>
          </w:p>
        </w:tc>
        <w:tc>
          <w:tcPr>
            <w:tcW w:w="6154" w:type="dxa"/>
            <w:vAlign w:val="top"/>
          </w:tcPr>
          <w:p>
            <w:pPr>
              <w:pStyle w:val="TableText"/>
              <w:ind w:left="90" w:right="376" w:firstLine="19"/>
              <w:spacing w:before="50" w:line="250" w:lineRule="auto"/>
              <w:rPr/>
            </w:pPr>
            <w:r>
              <w:rPr>
                <w:spacing w:val="-1"/>
              </w:rPr>
              <w:t>高级别宫颈上皮内瘤变患者术后TCT、HPV的转归情况及HR-HPV</w:t>
            </w:r>
            <w:r>
              <w:rPr>
                <w:spacing w:val="18"/>
              </w:rPr>
              <w:t xml:space="preserve"> </w:t>
            </w:r>
            <w:r>
              <w:rPr>
                <w:spacing w:val="-2"/>
              </w:rPr>
              <w:t>持续感染多因素分析</w:t>
            </w:r>
          </w:p>
        </w:tc>
        <w:tc>
          <w:tcPr>
            <w:tcW w:w="1278" w:type="dxa"/>
            <w:vAlign w:val="top"/>
          </w:tcPr>
          <w:p>
            <w:pPr>
              <w:pStyle w:val="TableText"/>
              <w:ind w:left="316"/>
              <w:spacing w:before="42" w:line="221" w:lineRule="auto"/>
              <w:rPr/>
            </w:pPr>
            <w:r>
              <w:rPr>
                <w:spacing w:val="4"/>
              </w:rPr>
              <w:t>李秀福</w:t>
            </w:r>
          </w:p>
        </w:tc>
        <w:tc>
          <w:tcPr>
            <w:tcW w:w="1693" w:type="dxa"/>
            <w:vAlign w:val="top"/>
          </w:tcPr>
          <w:p>
            <w:pPr>
              <w:pStyle w:val="TableText"/>
              <w:ind w:left="418"/>
              <w:spacing w:before="145" w:line="183" w:lineRule="auto"/>
              <w:rPr/>
            </w:pPr>
            <w:r>
              <w:rPr>
                <w:spacing w:val="-2"/>
              </w:rPr>
              <w:t>2024K007</w:t>
            </w:r>
          </w:p>
        </w:tc>
      </w:tr>
      <w:tr>
        <w:trPr>
          <w:trHeight w:val="310" w:hRule="atLeast"/>
        </w:trPr>
        <w:tc>
          <w:tcPr>
            <w:tcW w:w="694" w:type="dxa"/>
            <w:vAlign w:val="top"/>
          </w:tcPr>
          <w:p>
            <w:pPr>
              <w:pStyle w:val="TableText"/>
              <w:ind w:left="284"/>
              <w:spacing w:before="73" w:line="199" w:lineRule="auto"/>
              <w:rPr/>
            </w:pPr>
            <w:r>
              <w:rPr/>
              <w:t>8</w:t>
            </w:r>
          </w:p>
        </w:tc>
        <w:tc>
          <w:tcPr>
            <w:tcW w:w="6154" w:type="dxa"/>
            <w:vAlign w:val="top"/>
          </w:tcPr>
          <w:p>
            <w:pPr>
              <w:pStyle w:val="TableText"/>
              <w:ind w:left="90"/>
              <w:spacing w:before="52" w:line="218" w:lineRule="auto"/>
              <w:rPr/>
            </w:pPr>
            <w:r>
              <w:rPr>
                <w:spacing w:val="-1"/>
              </w:rPr>
              <w:t>肠道微生物与痤疮及相关因子表达的研究</w:t>
            </w:r>
          </w:p>
        </w:tc>
        <w:tc>
          <w:tcPr>
            <w:tcW w:w="1278" w:type="dxa"/>
            <w:vAlign w:val="top"/>
          </w:tcPr>
          <w:p>
            <w:pPr>
              <w:pStyle w:val="TableText"/>
              <w:ind w:left="316"/>
              <w:spacing w:before="52" w:line="218" w:lineRule="auto"/>
              <w:rPr/>
            </w:pPr>
            <w:r>
              <w:rPr>
                <w:spacing w:val="5"/>
              </w:rPr>
              <w:t>林宁宁</w:t>
            </w:r>
          </w:p>
        </w:tc>
        <w:tc>
          <w:tcPr>
            <w:tcW w:w="1693" w:type="dxa"/>
            <w:vAlign w:val="top"/>
          </w:tcPr>
          <w:p>
            <w:pPr>
              <w:pStyle w:val="TableText"/>
              <w:ind w:left="418"/>
              <w:spacing w:before="106" w:line="170" w:lineRule="auto"/>
              <w:rPr/>
            </w:pPr>
            <w:r>
              <w:rPr>
                <w:spacing w:val="-2"/>
              </w:rPr>
              <w:t>2024K008</w:t>
            </w:r>
          </w:p>
        </w:tc>
      </w:tr>
      <w:tr>
        <w:trPr>
          <w:trHeight w:val="619" w:hRule="atLeast"/>
        </w:trPr>
        <w:tc>
          <w:tcPr>
            <w:tcW w:w="694" w:type="dxa"/>
            <w:vAlign w:val="top"/>
          </w:tcPr>
          <w:p>
            <w:pPr>
              <w:pStyle w:val="TableText"/>
              <w:ind w:left="284"/>
              <w:spacing w:before="83"/>
              <w:rPr/>
            </w:pPr>
            <w:r>
              <w:rPr/>
              <w:t>9</w:t>
            </w:r>
          </w:p>
        </w:tc>
        <w:tc>
          <w:tcPr>
            <w:tcW w:w="6154" w:type="dxa"/>
            <w:vAlign w:val="top"/>
          </w:tcPr>
          <w:p>
            <w:pPr>
              <w:pStyle w:val="TableText"/>
              <w:ind w:left="90" w:right="288"/>
              <w:spacing w:before="51" w:line="245" w:lineRule="auto"/>
              <w:rPr/>
            </w:pPr>
            <w:r>
              <w:rPr>
                <w:spacing w:val="-1"/>
              </w:rPr>
              <w:t>2型糖尿病患者心外膜脂肪体积与冠状动脉病变和微血管并发症</w:t>
            </w:r>
            <w:r>
              <w:rPr>
                <w:spacing w:val="16"/>
              </w:rPr>
              <w:t xml:space="preserve"> </w:t>
            </w:r>
            <w:r>
              <w:rPr>
                <w:spacing w:val="2"/>
              </w:rPr>
              <w:t>的相关研究</w:t>
            </w:r>
          </w:p>
        </w:tc>
        <w:tc>
          <w:tcPr>
            <w:tcW w:w="1278" w:type="dxa"/>
            <w:vAlign w:val="top"/>
          </w:tcPr>
          <w:p>
            <w:pPr>
              <w:pStyle w:val="TableText"/>
              <w:ind w:left="316"/>
              <w:spacing w:before="43" w:line="220" w:lineRule="auto"/>
              <w:rPr/>
            </w:pPr>
            <w:r>
              <w:rPr>
                <w:spacing w:val="-2"/>
              </w:rPr>
              <w:t>刘晓丽</w:t>
            </w:r>
          </w:p>
        </w:tc>
        <w:tc>
          <w:tcPr>
            <w:tcW w:w="1693" w:type="dxa"/>
            <w:vAlign w:val="top"/>
          </w:tcPr>
          <w:p>
            <w:pPr>
              <w:pStyle w:val="TableText"/>
              <w:ind w:left="418"/>
              <w:spacing w:before="136" w:line="183" w:lineRule="auto"/>
              <w:rPr/>
            </w:pPr>
            <w:r>
              <w:rPr>
                <w:spacing w:val="-2"/>
              </w:rPr>
              <w:t>2024K009</w:t>
            </w:r>
          </w:p>
        </w:tc>
      </w:tr>
      <w:tr>
        <w:trPr>
          <w:trHeight w:val="320" w:hRule="atLeast"/>
        </w:trPr>
        <w:tc>
          <w:tcPr>
            <w:tcW w:w="694" w:type="dxa"/>
            <w:vAlign w:val="top"/>
          </w:tcPr>
          <w:p>
            <w:pPr>
              <w:pStyle w:val="TableText"/>
              <w:ind w:left="234"/>
              <w:spacing w:before="84" w:line="198" w:lineRule="auto"/>
              <w:rPr/>
            </w:pPr>
            <w:r>
              <w:rPr>
                <w:spacing w:val="-6"/>
              </w:rPr>
              <w:t>10</w:t>
            </w:r>
          </w:p>
        </w:tc>
        <w:tc>
          <w:tcPr>
            <w:tcW w:w="6154" w:type="dxa"/>
            <w:vAlign w:val="top"/>
          </w:tcPr>
          <w:p>
            <w:pPr>
              <w:pStyle w:val="TableText"/>
              <w:ind w:left="90"/>
              <w:spacing w:before="63" w:line="217" w:lineRule="auto"/>
              <w:rPr/>
            </w:pPr>
            <w:r>
              <w:rPr/>
              <w:t>急性脑梗死静脉溶栓后偏瘫患者早期康复的疗效观察</w:t>
            </w:r>
          </w:p>
        </w:tc>
        <w:tc>
          <w:tcPr>
            <w:tcW w:w="1278" w:type="dxa"/>
            <w:vAlign w:val="top"/>
          </w:tcPr>
          <w:p>
            <w:pPr>
              <w:pStyle w:val="TableText"/>
              <w:ind w:left="426"/>
              <w:spacing w:before="64" w:line="216" w:lineRule="auto"/>
              <w:rPr/>
            </w:pPr>
            <w:r>
              <w:rPr>
                <w:spacing w:val="-2"/>
              </w:rPr>
              <w:t>刘新</w:t>
            </w:r>
          </w:p>
        </w:tc>
        <w:tc>
          <w:tcPr>
            <w:tcW w:w="1693" w:type="dxa"/>
            <w:vAlign w:val="top"/>
          </w:tcPr>
          <w:p>
            <w:pPr>
              <w:pStyle w:val="TableText"/>
              <w:ind w:left="418"/>
              <w:spacing w:before="116" w:line="170" w:lineRule="auto"/>
              <w:rPr/>
            </w:pPr>
            <w:r>
              <w:rPr>
                <w:spacing w:val="-2"/>
              </w:rPr>
              <w:t>2024K010</w:t>
            </w:r>
          </w:p>
        </w:tc>
      </w:tr>
      <w:tr>
        <w:trPr>
          <w:trHeight w:val="310" w:hRule="atLeast"/>
        </w:trPr>
        <w:tc>
          <w:tcPr>
            <w:tcW w:w="694" w:type="dxa"/>
            <w:vAlign w:val="top"/>
          </w:tcPr>
          <w:p>
            <w:pPr>
              <w:pStyle w:val="TableText"/>
              <w:ind w:left="234"/>
              <w:spacing w:before="74" w:line="198" w:lineRule="auto"/>
              <w:rPr/>
            </w:pPr>
            <w:r>
              <w:rPr>
                <w:spacing w:val="-6"/>
              </w:rPr>
              <w:t>11</w:t>
            </w:r>
          </w:p>
        </w:tc>
        <w:tc>
          <w:tcPr>
            <w:tcW w:w="6154" w:type="dxa"/>
            <w:vAlign w:val="top"/>
          </w:tcPr>
          <w:p>
            <w:pPr>
              <w:pStyle w:val="TableText"/>
              <w:ind w:left="90"/>
              <w:spacing w:before="53" w:line="217" w:lineRule="auto"/>
              <w:rPr/>
            </w:pPr>
            <w:r>
              <w:rPr/>
              <w:t>PER1m6A修饰对HER2+乳腺癌恶性生物学行</w:t>
            </w:r>
            <w:r>
              <w:rPr>
                <w:spacing w:val="-1"/>
              </w:rPr>
              <w:t>为影响的研究</w:t>
            </w:r>
          </w:p>
        </w:tc>
        <w:tc>
          <w:tcPr>
            <w:tcW w:w="1278" w:type="dxa"/>
            <w:vAlign w:val="top"/>
          </w:tcPr>
          <w:p>
            <w:pPr>
              <w:pStyle w:val="TableText"/>
              <w:ind w:left="316"/>
              <w:spacing w:before="55" w:line="215" w:lineRule="auto"/>
              <w:rPr/>
            </w:pPr>
            <w:r>
              <w:rPr>
                <w:spacing w:val="-2"/>
              </w:rPr>
              <w:t>刘银凤</w:t>
            </w:r>
          </w:p>
        </w:tc>
        <w:tc>
          <w:tcPr>
            <w:tcW w:w="1693" w:type="dxa"/>
            <w:vAlign w:val="top"/>
          </w:tcPr>
          <w:p>
            <w:pPr>
              <w:pStyle w:val="TableText"/>
              <w:ind w:left="418"/>
              <w:spacing w:before="106" w:line="170" w:lineRule="auto"/>
              <w:rPr/>
            </w:pPr>
            <w:r>
              <w:rPr>
                <w:spacing w:val="-2"/>
              </w:rPr>
              <w:t>2024K011</w:t>
            </w:r>
          </w:p>
        </w:tc>
      </w:tr>
      <w:tr>
        <w:trPr>
          <w:trHeight w:val="300" w:hRule="atLeast"/>
        </w:trPr>
        <w:tc>
          <w:tcPr>
            <w:tcW w:w="694" w:type="dxa"/>
            <w:vAlign w:val="top"/>
          </w:tcPr>
          <w:p>
            <w:pPr>
              <w:pStyle w:val="TableText"/>
              <w:ind w:left="234"/>
              <w:spacing w:before="75" w:line="189" w:lineRule="auto"/>
              <w:rPr/>
            </w:pPr>
            <w:r>
              <w:rPr>
                <w:spacing w:val="-6"/>
              </w:rPr>
              <w:t>12</w:t>
            </w:r>
          </w:p>
        </w:tc>
        <w:tc>
          <w:tcPr>
            <w:tcW w:w="6154" w:type="dxa"/>
            <w:vAlign w:val="top"/>
          </w:tcPr>
          <w:p>
            <w:pPr>
              <w:pStyle w:val="TableText"/>
              <w:ind w:left="90"/>
              <w:spacing w:before="52" w:line="209" w:lineRule="auto"/>
              <w:rPr/>
            </w:pPr>
            <w:r>
              <w:rPr/>
              <w:t>2型糖尿病合并认知功能障碍的相关性研究</w:t>
            </w:r>
          </w:p>
        </w:tc>
        <w:tc>
          <w:tcPr>
            <w:tcW w:w="1278" w:type="dxa"/>
            <w:vAlign w:val="top"/>
          </w:tcPr>
          <w:p>
            <w:pPr>
              <w:pStyle w:val="TableText"/>
              <w:ind w:left="316"/>
              <w:spacing w:before="53" w:line="208" w:lineRule="auto"/>
              <w:rPr/>
            </w:pPr>
            <w:r>
              <w:rPr>
                <w:spacing w:val="-2"/>
              </w:rPr>
              <w:t>娄东辉</w:t>
            </w:r>
          </w:p>
        </w:tc>
        <w:tc>
          <w:tcPr>
            <w:tcW w:w="1693" w:type="dxa"/>
            <w:vAlign w:val="top"/>
          </w:tcPr>
          <w:p>
            <w:pPr>
              <w:pStyle w:val="TableText"/>
              <w:ind w:left="418"/>
              <w:spacing w:before="106" w:line="161" w:lineRule="auto"/>
              <w:rPr/>
            </w:pPr>
            <w:r>
              <w:rPr>
                <w:spacing w:val="-2"/>
              </w:rPr>
              <w:t>2024K012</w:t>
            </w:r>
          </w:p>
        </w:tc>
      </w:tr>
      <w:tr>
        <w:trPr>
          <w:trHeight w:val="310" w:hRule="atLeast"/>
        </w:trPr>
        <w:tc>
          <w:tcPr>
            <w:tcW w:w="694" w:type="dxa"/>
            <w:vAlign w:val="top"/>
          </w:tcPr>
          <w:p>
            <w:pPr>
              <w:pStyle w:val="TableText"/>
              <w:ind w:left="234"/>
              <w:spacing w:before="74" w:line="198" w:lineRule="auto"/>
              <w:rPr/>
            </w:pPr>
            <w:r>
              <w:rPr>
                <w:spacing w:val="-6"/>
              </w:rPr>
              <w:t>13</w:t>
            </w:r>
          </w:p>
        </w:tc>
        <w:tc>
          <w:tcPr>
            <w:tcW w:w="6154" w:type="dxa"/>
            <w:vAlign w:val="top"/>
          </w:tcPr>
          <w:p>
            <w:pPr>
              <w:pStyle w:val="TableText"/>
              <w:ind w:left="90"/>
              <w:spacing w:before="53" w:line="217" w:lineRule="auto"/>
              <w:rPr/>
            </w:pPr>
            <w:r>
              <w:rPr/>
              <w:t>心理干预联合亲情护理对术后患者心理健康状况的改善作用研究</w:t>
            </w:r>
          </w:p>
        </w:tc>
        <w:tc>
          <w:tcPr>
            <w:tcW w:w="1278" w:type="dxa"/>
            <w:vAlign w:val="top"/>
          </w:tcPr>
          <w:p>
            <w:pPr>
              <w:pStyle w:val="TableText"/>
              <w:ind w:left="316"/>
              <w:spacing w:before="53" w:line="217" w:lineRule="auto"/>
              <w:rPr/>
            </w:pPr>
            <w:r>
              <w:rPr>
                <w:spacing w:val="2"/>
              </w:rPr>
              <w:t>陆小静</w:t>
            </w:r>
          </w:p>
        </w:tc>
        <w:tc>
          <w:tcPr>
            <w:tcW w:w="1693" w:type="dxa"/>
            <w:vAlign w:val="top"/>
          </w:tcPr>
          <w:p>
            <w:pPr>
              <w:pStyle w:val="TableText"/>
              <w:ind w:left="418"/>
              <w:spacing w:before="106" w:line="170" w:lineRule="auto"/>
              <w:rPr/>
            </w:pPr>
            <w:r>
              <w:rPr>
                <w:spacing w:val="-2"/>
              </w:rPr>
              <w:t>2024K013</w:t>
            </w:r>
          </w:p>
        </w:tc>
      </w:tr>
      <w:tr>
        <w:trPr>
          <w:trHeight w:val="310" w:hRule="atLeast"/>
        </w:trPr>
        <w:tc>
          <w:tcPr>
            <w:tcW w:w="694" w:type="dxa"/>
            <w:vAlign w:val="top"/>
          </w:tcPr>
          <w:p>
            <w:pPr>
              <w:pStyle w:val="TableText"/>
              <w:ind w:left="234"/>
              <w:spacing w:before="74" w:line="198" w:lineRule="auto"/>
              <w:rPr/>
            </w:pPr>
            <w:r>
              <w:rPr>
                <w:spacing w:val="-6"/>
              </w:rPr>
              <w:t>14</w:t>
            </w:r>
          </w:p>
        </w:tc>
        <w:tc>
          <w:tcPr>
            <w:tcW w:w="6154" w:type="dxa"/>
            <w:vAlign w:val="top"/>
          </w:tcPr>
          <w:p>
            <w:pPr>
              <w:pStyle w:val="TableText"/>
              <w:ind w:left="90"/>
              <w:spacing w:before="53" w:line="217" w:lineRule="auto"/>
              <w:rPr/>
            </w:pPr>
            <w:r>
              <w:rPr/>
              <w:t>秦皇岛市大学生代谢功能障碍相关脂肪变性肝病(MASLD)的研究</w:t>
            </w:r>
          </w:p>
        </w:tc>
        <w:tc>
          <w:tcPr>
            <w:tcW w:w="1278" w:type="dxa"/>
            <w:vAlign w:val="top"/>
          </w:tcPr>
          <w:p>
            <w:pPr>
              <w:pStyle w:val="TableText"/>
              <w:ind w:left="426"/>
              <w:spacing w:before="54" w:line="216" w:lineRule="auto"/>
              <w:rPr/>
            </w:pPr>
            <w:r>
              <w:rPr>
                <w:spacing w:val="8"/>
              </w:rPr>
              <w:t>马宁</w:t>
            </w:r>
          </w:p>
        </w:tc>
        <w:tc>
          <w:tcPr>
            <w:tcW w:w="1693" w:type="dxa"/>
            <w:vAlign w:val="top"/>
          </w:tcPr>
          <w:p>
            <w:pPr>
              <w:pStyle w:val="TableText"/>
              <w:ind w:left="418"/>
              <w:spacing w:before="106" w:line="170" w:lineRule="auto"/>
              <w:rPr/>
            </w:pPr>
            <w:r>
              <w:rPr>
                <w:spacing w:val="-2"/>
              </w:rPr>
              <w:t>2024K014</w:t>
            </w:r>
          </w:p>
        </w:tc>
      </w:tr>
      <w:tr>
        <w:trPr>
          <w:trHeight w:val="330" w:hRule="atLeast"/>
        </w:trPr>
        <w:tc>
          <w:tcPr>
            <w:tcW w:w="694" w:type="dxa"/>
            <w:vAlign w:val="top"/>
          </w:tcPr>
          <w:p>
            <w:pPr>
              <w:pStyle w:val="TableText"/>
              <w:ind w:left="234"/>
              <w:spacing w:before="84" w:line="207" w:lineRule="auto"/>
              <w:rPr/>
            </w:pPr>
            <w:r>
              <w:rPr>
                <w:spacing w:val="-6"/>
              </w:rPr>
              <w:t>15</w:t>
            </w:r>
          </w:p>
        </w:tc>
        <w:tc>
          <w:tcPr>
            <w:tcW w:w="6154" w:type="dxa"/>
            <w:vAlign w:val="top"/>
          </w:tcPr>
          <w:p>
            <w:pPr>
              <w:pStyle w:val="TableText"/>
              <w:ind w:left="90"/>
              <w:spacing w:before="62" w:line="219" w:lineRule="auto"/>
              <w:rPr/>
            </w:pPr>
            <w:r>
              <w:rPr/>
              <w:t>经宫腔镜清宫术治疗剖宫产瘢痕妊娠的临床研究</w:t>
            </w:r>
          </w:p>
        </w:tc>
        <w:tc>
          <w:tcPr>
            <w:tcW w:w="1278" w:type="dxa"/>
            <w:vAlign w:val="top"/>
          </w:tcPr>
          <w:p>
            <w:pPr>
              <w:pStyle w:val="TableText"/>
              <w:ind w:left="426"/>
              <w:spacing w:before="63" w:line="219" w:lineRule="auto"/>
              <w:rPr/>
            </w:pPr>
            <w:r>
              <w:rPr>
                <w:spacing w:val="-3"/>
              </w:rPr>
              <w:t>孟津</w:t>
            </w:r>
          </w:p>
        </w:tc>
        <w:tc>
          <w:tcPr>
            <w:tcW w:w="1693" w:type="dxa"/>
            <w:vAlign w:val="top"/>
          </w:tcPr>
          <w:p>
            <w:pPr>
              <w:pStyle w:val="TableText"/>
              <w:ind w:left="418"/>
              <w:spacing w:before="117" w:line="178" w:lineRule="auto"/>
              <w:rPr/>
            </w:pPr>
            <w:r>
              <w:rPr>
                <w:spacing w:val="-2"/>
              </w:rPr>
              <w:t>2024K015</w:t>
            </w:r>
          </w:p>
        </w:tc>
      </w:tr>
      <w:tr>
        <w:trPr>
          <w:trHeight w:val="310" w:hRule="atLeast"/>
        </w:trPr>
        <w:tc>
          <w:tcPr>
            <w:tcW w:w="694" w:type="dxa"/>
            <w:vAlign w:val="top"/>
          </w:tcPr>
          <w:p>
            <w:pPr>
              <w:pStyle w:val="TableText"/>
              <w:ind w:left="234"/>
              <w:spacing w:before="74" w:line="198" w:lineRule="auto"/>
              <w:rPr/>
            </w:pPr>
            <w:r>
              <w:rPr>
                <w:spacing w:val="-6"/>
              </w:rPr>
              <w:t>16</w:t>
            </w:r>
          </w:p>
        </w:tc>
        <w:tc>
          <w:tcPr>
            <w:tcW w:w="6154" w:type="dxa"/>
            <w:vAlign w:val="top"/>
          </w:tcPr>
          <w:p>
            <w:pPr>
              <w:pStyle w:val="TableText"/>
              <w:ind w:left="90"/>
              <w:spacing w:before="53" w:line="217" w:lineRule="auto"/>
              <w:rPr/>
            </w:pPr>
            <w:r>
              <w:rPr/>
              <w:t>代谢紊乱与哮喘的相关性及其机制探索</w:t>
            </w:r>
          </w:p>
        </w:tc>
        <w:tc>
          <w:tcPr>
            <w:tcW w:w="1278" w:type="dxa"/>
            <w:vAlign w:val="top"/>
          </w:tcPr>
          <w:p>
            <w:pPr>
              <w:pStyle w:val="TableText"/>
              <w:ind w:left="426"/>
              <w:spacing w:before="54" w:line="216" w:lineRule="auto"/>
              <w:rPr/>
            </w:pPr>
            <w:r>
              <w:rPr>
                <w:spacing w:val="-3"/>
              </w:rPr>
              <w:t>乔华</w:t>
            </w:r>
          </w:p>
        </w:tc>
        <w:tc>
          <w:tcPr>
            <w:tcW w:w="1693" w:type="dxa"/>
            <w:vAlign w:val="top"/>
          </w:tcPr>
          <w:p>
            <w:pPr>
              <w:pStyle w:val="TableText"/>
              <w:ind w:left="418"/>
              <w:spacing w:before="106" w:line="170" w:lineRule="auto"/>
              <w:rPr/>
            </w:pPr>
            <w:r>
              <w:rPr>
                <w:spacing w:val="-2"/>
              </w:rPr>
              <w:t>2024K016</w:t>
            </w:r>
          </w:p>
        </w:tc>
      </w:tr>
      <w:tr>
        <w:trPr>
          <w:trHeight w:val="320" w:hRule="atLeast"/>
        </w:trPr>
        <w:tc>
          <w:tcPr>
            <w:tcW w:w="694" w:type="dxa"/>
            <w:vAlign w:val="top"/>
          </w:tcPr>
          <w:p>
            <w:pPr>
              <w:pStyle w:val="TableText"/>
              <w:ind w:left="234"/>
              <w:spacing w:before="84" w:line="198" w:lineRule="auto"/>
              <w:rPr/>
            </w:pPr>
            <w:r>
              <w:rPr>
                <w:spacing w:val="-6"/>
              </w:rPr>
              <w:t>17</w:t>
            </w:r>
          </w:p>
        </w:tc>
        <w:tc>
          <w:tcPr>
            <w:tcW w:w="6154" w:type="dxa"/>
            <w:vAlign w:val="top"/>
          </w:tcPr>
          <w:p>
            <w:pPr>
              <w:pStyle w:val="TableText"/>
              <w:ind w:left="90"/>
              <w:spacing w:before="63" w:line="217" w:lineRule="auto"/>
              <w:rPr/>
            </w:pPr>
            <w:r>
              <w:rPr/>
              <w:t>秦皇岛市新生儿呼吸衰竭临床流行病学相关研究</w:t>
            </w:r>
          </w:p>
        </w:tc>
        <w:tc>
          <w:tcPr>
            <w:tcW w:w="1278" w:type="dxa"/>
            <w:vAlign w:val="top"/>
          </w:tcPr>
          <w:p>
            <w:pPr>
              <w:pStyle w:val="TableText"/>
              <w:ind w:left="426"/>
              <w:spacing w:before="64" w:line="216" w:lineRule="auto"/>
              <w:rPr/>
            </w:pPr>
            <w:r>
              <w:rPr>
                <w:spacing w:val="-3"/>
              </w:rPr>
              <w:t>乔木</w:t>
            </w:r>
          </w:p>
        </w:tc>
        <w:tc>
          <w:tcPr>
            <w:tcW w:w="1693" w:type="dxa"/>
            <w:vAlign w:val="top"/>
          </w:tcPr>
          <w:p>
            <w:pPr>
              <w:pStyle w:val="TableText"/>
              <w:ind w:left="418"/>
              <w:spacing w:before="116" w:line="170" w:lineRule="auto"/>
              <w:rPr/>
            </w:pPr>
            <w:r>
              <w:rPr>
                <w:spacing w:val="-2"/>
              </w:rPr>
              <w:t>2024K017</w:t>
            </w:r>
          </w:p>
        </w:tc>
      </w:tr>
      <w:tr>
        <w:trPr>
          <w:trHeight w:val="310" w:hRule="atLeast"/>
        </w:trPr>
        <w:tc>
          <w:tcPr>
            <w:tcW w:w="694" w:type="dxa"/>
            <w:vAlign w:val="top"/>
          </w:tcPr>
          <w:p>
            <w:pPr>
              <w:pStyle w:val="TableText"/>
              <w:ind w:left="234"/>
              <w:spacing w:before="74" w:line="198" w:lineRule="auto"/>
              <w:rPr/>
            </w:pPr>
            <w:r>
              <w:rPr>
                <w:spacing w:val="-6"/>
              </w:rPr>
              <w:t>18</w:t>
            </w:r>
          </w:p>
        </w:tc>
        <w:tc>
          <w:tcPr>
            <w:tcW w:w="6154" w:type="dxa"/>
            <w:vAlign w:val="top"/>
          </w:tcPr>
          <w:p>
            <w:pPr>
              <w:pStyle w:val="TableText"/>
              <w:ind w:left="90"/>
              <w:spacing w:before="53" w:line="217" w:lineRule="auto"/>
              <w:rPr/>
            </w:pPr>
            <w:r>
              <w:rPr>
                <w:spacing w:val="-1"/>
              </w:rPr>
              <w:t>糖尿病肾病早期诊断标志物的探索研究</w:t>
            </w:r>
          </w:p>
        </w:tc>
        <w:tc>
          <w:tcPr>
            <w:tcW w:w="1278" w:type="dxa"/>
            <w:vAlign w:val="top"/>
          </w:tcPr>
          <w:p>
            <w:pPr>
              <w:pStyle w:val="TableText"/>
              <w:ind w:left="316"/>
              <w:spacing w:before="53" w:line="217" w:lineRule="auto"/>
              <w:rPr/>
            </w:pPr>
            <w:r>
              <w:rPr>
                <w:spacing w:val="3"/>
              </w:rPr>
              <w:t>田伊茗</w:t>
            </w:r>
          </w:p>
        </w:tc>
        <w:tc>
          <w:tcPr>
            <w:tcW w:w="1693" w:type="dxa"/>
            <w:vAlign w:val="top"/>
          </w:tcPr>
          <w:p>
            <w:pPr>
              <w:pStyle w:val="TableText"/>
              <w:ind w:left="418"/>
              <w:spacing w:before="106" w:line="170" w:lineRule="auto"/>
              <w:rPr/>
            </w:pPr>
            <w:r>
              <w:rPr>
                <w:spacing w:val="-2"/>
              </w:rPr>
              <w:t>2024K018</w:t>
            </w:r>
          </w:p>
        </w:tc>
      </w:tr>
      <w:tr>
        <w:trPr>
          <w:trHeight w:val="410" w:hRule="atLeast"/>
        </w:trPr>
        <w:tc>
          <w:tcPr>
            <w:tcW w:w="694" w:type="dxa"/>
            <w:vAlign w:val="top"/>
          </w:tcPr>
          <w:p>
            <w:pPr>
              <w:pStyle w:val="TableText"/>
              <w:ind w:left="234"/>
              <w:spacing w:before="123"/>
              <w:rPr/>
            </w:pPr>
            <w:r>
              <w:rPr>
                <w:spacing w:val="-6"/>
              </w:rPr>
              <w:t>19</w:t>
            </w:r>
          </w:p>
        </w:tc>
        <w:tc>
          <w:tcPr>
            <w:tcW w:w="6154" w:type="dxa"/>
            <w:vAlign w:val="top"/>
          </w:tcPr>
          <w:p>
            <w:pPr>
              <w:pStyle w:val="TableText"/>
              <w:ind w:left="90"/>
              <w:spacing w:before="101" w:line="218" w:lineRule="auto"/>
              <w:rPr/>
            </w:pPr>
            <w:r>
              <w:rPr/>
              <w:t>胃肠肿瘤患者营养不良风险预测模型的建立与评价</w:t>
            </w:r>
          </w:p>
        </w:tc>
        <w:tc>
          <w:tcPr>
            <w:tcW w:w="1278" w:type="dxa"/>
            <w:vAlign w:val="top"/>
          </w:tcPr>
          <w:p>
            <w:pPr>
              <w:pStyle w:val="TableText"/>
              <w:ind w:left="316"/>
              <w:spacing w:before="103" w:line="219" w:lineRule="auto"/>
              <w:rPr/>
            </w:pPr>
            <w:r>
              <w:rPr>
                <w:spacing w:val="-3"/>
              </w:rPr>
              <w:t>王克华</w:t>
            </w:r>
          </w:p>
        </w:tc>
        <w:tc>
          <w:tcPr>
            <w:tcW w:w="1693" w:type="dxa"/>
            <w:vAlign w:val="top"/>
          </w:tcPr>
          <w:p>
            <w:pPr>
              <w:pStyle w:val="TableText"/>
              <w:ind w:left="418"/>
              <w:spacing w:before="156" w:line="184" w:lineRule="auto"/>
              <w:rPr/>
            </w:pPr>
            <w:r>
              <w:rPr>
                <w:spacing w:val="-2"/>
              </w:rPr>
              <w:t>2024K019</w:t>
            </w:r>
          </w:p>
        </w:tc>
      </w:tr>
      <w:tr>
        <w:trPr>
          <w:trHeight w:val="420" w:hRule="atLeast"/>
        </w:trPr>
        <w:tc>
          <w:tcPr>
            <w:tcW w:w="694" w:type="dxa"/>
            <w:vAlign w:val="top"/>
          </w:tcPr>
          <w:p>
            <w:pPr>
              <w:pStyle w:val="TableText"/>
              <w:ind w:left="234"/>
              <w:spacing w:before="134"/>
              <w:rPr/>
            </w:pPr>
            <w:r>
              <w:rPr>
                <w:spacing w:val="-3"/>
              </w:rPr>
              <w:t>20</w:t>
            </w:r>
          </w:p>
        </w:tc>
        <w:tc>
          <w:tcPr>
            <w:tcW w:w="6154" w:type="dxa"/>
            <w:vAlign w:val="top"/>
          </w:tcPr>
          <w:p>
            <w:pPr>
              <w:pStyle w:val="TableText"/>
              <w:ind w:left="90"/>
              <w:spacing w:before="112" w:line="219" w:lineRule="auto"/>
              <w:rPr/>
            </w:pPr>
            <w:r>
              <w:rPr>
                <w:spacing w:val="1"/>
              </w:rPr>
              <w:t>移动医疗在胃食管反流病患者健康教育中的应用</w:t>
            </w:r>
          </w:p>
        </w:tc>
        <w:tc>
          <w:tcPr>
            <w:tcW w:w="1278" w:type="dxa"/>
            <w:vAlign w:val="top"/>
          </w:tcPr>
          <w:p>
            <w:pPr>
              <w:pStyle w:val="TableText"/>
              <w:ind w:left="316"/>
              <w:spacing w:before="113" w:line="219" w:lineRule="auto"/>
              <w:rPr/>
            </w:pPr>
            <w:r>
              <w:rPr>
                <w:spacing w:val="4"/>
              </w:rPr>
              <w:t>王增允</w:t>
            </w:r>
          </w:p>
        </w:tc>
        <w:tc>
          <w:tcPr>
            <w:tcW w:w="1693" w:type="dxa"/>
            <w:vAlign w:val="top"/>
          </w:tcPr>
          <w:p>
            <w:pPr>
              <w:pStyle w:val="TableText"/>
              <w:ind w:left="418"/>
              <w:spacing w:before="167" w:line="183" w:lineRule="auto"/>
              <w:rPr/>
            </w:pPr>
            <w:r>
              <w:rPr>
                <w:spacing w:val="-2"/>
              </w:rPr>
              <w:t>2024K020</w:t>
            </w:r>
          </w:p>
        </w:tc>
      </w:tr>
      <w:tr>
        <w:trPr>
          <w:trHeight w:val="420" w:hRule="atLeast"/>
        </w:trPr>
        <w:tc>
          <w:tcPr>
            <w:tcW w:w="694" w:type="dxa"/>
            <w:vAlign w:val="top"/>
          </w:tcPr>
          <w:p>
            <w:pPr>
              <w:pStyle w:val="TableText"/>
              <w:ind w:left="234"/>
              <w:spacing w:before="134" w:line="241" w:lineRule="auto"/>
              <w:rPr/>
            </w:pPr>
            <w:r>
              <w:rPr>
                <w:spacing w:val="-3"/>
              </w:rPr>
              <w:t>21</w:t>
            </w:r>
          </w:p>
        </w:tc>
        <w:tc>
          <w:tcPr>
            <w:tcW w:w="6154" w:type="dxa"/>
            <w:vAlign w:val="top"/>
          </w:tcPr>
          <w:p>
            <w:pPr>
              <w:pStyle w:val="TableText"/>
              <w:ind w:left="90"/>
              <w:spacing w:before="112" w:line="219" w:lineRule="auto"/>
              <w:rPr/>
            </w:pPr>
            <w:r>
              <w:rPr/>
              <w:t>SORBS2在乳腺癌中的表达及作用机制的研究</w:t>
            </w:r>
          </w:p>
        </w:tc>
        <w:tc>
          <w:tcPr>
            <w:tcW w:w="1278" w:type="dxa"/>
            <w:vAlign w:val="top"/>
          </w:tcPr>
          <w:p>
            <w:pPr>
              <w:pStyle w:val="TableText"/>
              <w:ind w:left="316"/>
              <w:spacing w:before="113" w:line="219" w:lineRule="auto"/>
              <w:rPr/>
            </w:pPr>
            <w:r>
              <w:rPr>
                <w:spacing w:val="3"/>
              </w:rPr>
              <w:t>韦丽光</w:t>
            </w:r>
          </w:p>
        </w:tc>
        <w:tc>
          <w:tcPr>
            <w:tcW w:w="1693" w:type="dxa"/>
            <w:vAlign w:val="top"/>
          </w:tcPr>
          <w:p>
            <w:pPr>
              <w:pStyle w:val="TableText"/>
              <w:ind w:left="418"/>
              <w:spacing w:before="166" w:line="184" w:lineRule="auto"/>
              <w:rPr/>
            </w:pPr>
            <w:r>
              <w:rPr>
                <w:spacing w:val="-2"/>
              </w:rPr>
              <w:t>2024K021</w:t>
            </w:r>
          </w:p>
        </w:tc>
      </w:tr>
      <w:tr>
        <w:trPr>
          <w:trHeight w:val="419" w:hRule="atLeast"/>
        </w:trPr>
        <w:tc>
          <w:tcPr>
            <w:tcW w:w="694" w:type="dxa"/>
            <w:vAlign w:val="top"/>
          </w:tcPr>
          <w:p>
            <w:pPr>
              <w:pStyle w:val="TableText"/>
              <w:ind w:left="234"/>
              <w:spacing w:before="134" w:line="241" w:lineRule="auto"/>
              <w:rPr/>
            </w:pPr>
            <w:r>
              <w:rPr>
                <w:spacing w:val="-3"/>
              </w:rPr>
              <w:t>22</w:t>
            </w:r>
          </w:p>
        </w:tc>
        <w:tc>
          <w:tcPr>
            <w:tcW w:w="6154" w:type="dxa"/>
            <w:vAlign w:val="top"/>
          </w:tcPr>
          <w:p>
            <w:pPr>
              <w:pStyle w:val="TableText"/>
              <w:ind w:left="90"/>
              <w:spacing w:before="112" w:line="219" w:lineRule="auto"/>
              <w:rPr/>
            </w:pPr>
            <w:r>
              <w:rPr/>
              <w:t>2型糖尿病合并代谢功能障碍相关脂肪变性肝病患者相关研究</w:t>
            </w:r>
          </w:p>
        </w:tc>
        <w:tc>
          <w:tcPr>
            <w:tcW w:w="1278" w:type="dxa"/>
            <w:vAlign w:val="top"/>
          </w:tcPr>
          <w:p>
            <w:pPr>
              <w:pStyle w:val="TableText"/>
              <w:ind w:left="316"/>
              <w:spacing w:before="114" w:line="220" w:lineRule="auto"/>
              <w:rPr/>
            </w:pPr>
            <w:r>
              <w:rPr>
                <w:spacing w:val="-2"/>
              </w:rPr>
              <w:t>谢长顺</w:t>
            </w:r>
          </w:p>
        </w:tc>
        <w:tc>
          <w:tcPr>
            <w:tcW w:w="1693" w:type="dxa"/>
            <w:vAlign w:val="top"/>
          </w:tcPr>
          <w:p>
            <w:pPr>
              <w:pStyle w:val="TableText"/>
              <w:ind w:left="418"/>
              <w:spacing w:before="167" w:line="183" w:lineRule="auto"/>
              <w:rPr/>
            </w:pPr>
            <w:r>
              <w:rPr>
                <w:spacing w:val="-2"/>
              </w:rPr>
              <w:t>2024K022</w:t>
            </w:r>
          </w:p>
        </w:tc>
      </w:tr>
      <w:tr>
        <w:trPr>
          <w:trHeight w:val="609" w:hRule="atLeast"/>
        </w:trPr>
        <w:tc>
          <w:tcPr>
            <w:tcW w:w="694" w:type="dxa"/>
            <w:vAlign w:val="top"/>
          </w:tcPr>
          <w:p>
            <w:pPr>
              <w:pStyle w:val="TableText"/>
              <w:ind w:left="234"/>
              <w:spacing w:before="75"/>
              <w:rPr/>
            </w:pPr>
            <w:r>
              <w:rPr>
                <w:spacing w:val="-3"/>
              </w:rPr>
              <w:t>23</w:t>
            </w:r>
          </w:p>
        </w:tc>
        <w:tc>
          <w:tcPr>
            <w:tcW w:w="6154" w:type="dxa"/>
            <w:vAlign w:val="top"/>
          </w:tcPr>
          <w:p>
            <w:pPr>
              <w:pStyle w:val="TableText"/>
              <w:ind w:left="90" w:right="274" w:firstLine="9"/>
              <w:spacing w:before="55" w:line="239" w:lineRule="auto"/>
              <w:rPr/>
            </w:pPr>
            <w:r>
              <w:rPr/>
              <w:t>CT引导下背根神经节脉冲射频联合PRP注射治</w:t>
            </w:r>
            <w:r>
              <w:rPr>
                <w:spacing w:val="-1"/>
              </w:rPr>
              <w:t>疗老年带状疱疹性</w:t>
            </w:r>
            <w:r>
              <w:rPr/>
              <w:t xml:space="preserve"> </w:t>
            </w:r>
            <w:r>
              <w:rPr>
                <w:spacing w:val="-2"/>
              </w:rPr>
              <w:t>神经痛</w:t>
            </w:r>
          </w:p>
        </w:tc>
        <w:tc>
          <w:tcPr>
            <w:tcW w:w="1278" w:type="dxa"/>
            <w:vAlign w:val="top"/>
          </w:tcPr>
          <w:p>
            <w:pPr>
              <w:pStyle w:val="TableText"/>
              <w:ind w:left="316"/>
              <w:spacing w:before="54" w:line="219" w:lineRule="auto"/>
              <w:rPr/>
            </w:pPr>
            <w:r>
              <w:rPr>
                <w:spacing w:val="-2"/>
              </w:rPr>
              <w:t>徐幼苗</w:t>
            </w:r>
          </w:p>
        </w:tc>
        <w:tc>
          <w:tcPr>
            <w:tcW w:w="1693" w:type="dxa"/>
            <w:vAlign w:val="top"/>
          </w:tcPr>
          <w:p>
            <w:pPr>
              <w:pStyle w:val="TableText"/>
              <w:ind w:left="418"/>
              <w:spacing w:before="148" w:line="183" w:lineRule="auto"/>
              <w:rPr/>
            </w:pPr>
            <w:r>
              <w:rPr>
                <w:spacing w:val="-2"/>
              </w:rPr>
              <w:t>2024K023</w:t>
            </w:r>
          </w:p>
        </w:tc>
      </w:tr>
      <w:tr>
        <w:trPr>
          <w:trHeight w:val="419" w:hRule="atLeast"/>
        </w:trPr>
        <w:tc>
          <w:tcPr>
            <w:tcW w:w="694" w:type="dxa"/>
            <w:vAlign w:val="top"/>
          </w:tcPr>
          <w:p>
            <w:pPr>
              <w:pStyle w:val="TableText"/>
              <w:ind w:left="234"/>
              <w:spacing w:before="137" w:line="239" w:lineRule="auto"/>
              <w:rPr/>
            </w:pPr>
            <w:r>
              <w:rPr>
                <w:spacing w:val="-3"/>
              </w:rPr>
              <w:t>24</w:t>
            </w:r>
          </w:p>
        </w:tc>
        <w:tc>
          <w:tcPr>
            <w:tcW w:w="6154" w:type="dxa"/>
            <w:vAlign w:val="top"/>
          </w:tcPr>
          <w:p>
            <w:pPr>
              <w:pStyle w:val="TableText"/>
              <w:ind w:left="90"/>
              <w:spacing w:before="114" w:line="219" w:lineRule="auto"/>
              <w:rPr/>
            </w:pPr>
            <w:r>
              <w:rPr>
                <w:spacing w:val="-1"/>
              </w:rPr>
              <w:t>节律基因CRY2对肺腺癌的影响及机制的初步研究</w:t>
            </w:r>
          </w:p>
        </w:tc>
        <w:tc>
          <w:tcPr>
            <w:tcW w:w="1278" w:type="dxa"/>
            <w:vAlign w:val="top"/>
          </w:tcPr>
          <w:p>
            <w:pPr>
              <w:pStyle w:val="TableText"/>
              <w:ind w:left="316"/>
              <w:spacing w:before="116" w:line="220" w:lineRule="auto"/>
              <w:rPr/>
            </w:pPr>
            <w:r>
              <w:rPr>
                <w:spacing w:val="-3"/>
              </w:rPr>
              <w:t>许敬平</w:t>
            </w:r>
          </w:p>
        </w:tc>
        <w:tc>
          <w:tcPr>
            <w:tcW w:w="1693" w:type="dxa"/>
            <w:vAlign w:val="top"/>
          </w:tcPr>
          <w:p>
            <w:pPr>
              <w:pStyle w:val="TableText"/>
              <w:ind w:left="418"/>
              <w:spacing w:before="169" w:line="183" w:lineRule="auto"/>
              <w:rPr/>
            </w:pPr>
            <w:r>
              <w:rPr>
                <w:spacing w:val="-2"/>
              </w:rPr>
              <w:t>2024K024</w:t>
            </w:r>
          </w:p>
        </w:tc>
      </w:tr>
      <w:tr>
        <w:trPr>
          <w:trHeight w:val="629" w:hRule="atLeast"/>
        </w:trPr>
        <w:tc>
          <w:tcPr>
            <w:tcW w:w="694" w:type="dxa"/>
            <w:vAlign w:val="top"/>
          </w:tcPr>
          <w:p>
            <w:pPr>
              <w:pStyle w:val="TableText"/>
              <w:ind w:left="234"/>
              <w:spacing w:before="97"/>
              <w:rPr/>
            </w:pPr>
            <w:r>
              <w:rPr>
                <w:spacing w:val="-3"/>
              </w:rPr>
              <w:t>25</w:t>
            </w:r>
          </w:p>
        </w:tc>
        <w:tc>
          <w:tcPr>
            <w:tcW w:w="6154" w:type="dxa"/>
            <w:vAlign w:val="top"/>
          </w:tcPr>
          <w:p>
            <w:pPr>
              <w:pStyle w:val="TableText"/>
              <w:ind w:left="90" w:right="172" w:firstLine="9"/>
              <w:spacing w:before="45" w:line="252" w:lineRule="auto"/>
              <w:rPr/>
            </w:pPr>
            <w:r>
              <w:drawing>
                <wp:anchor distT="0" distB="0" distL="0" distR="0" simplePos="0" relativeHeight="251662336" behindDoc="0" locked="0" layoutInCell="1" allowOverlap="1">
                  <wp:simplePos x="0" y="0"/>
                  <wp:positionH relativeFrom="column">
                    <wp:posOffset>1105484</wp:posOffset>
                  </wp:positionH>
                  <wp:positionV relativeFrom="paragraph">
                    <wp:posOffset>-71189</wp:posOffset>
                  </wp:positionV>
                  <wp:extent cx="1479554" cy="1346192"/>
                  <wp:effectExtent l="0" t="0" r="0" b="0"/>
                  <wp:wrapNone/>
                  <wp:docPr id="14" name="IM 14"/>
                  <wp:cNvGraphicFramePr/>
                  <a:graphic>
                    <a:graphicData uri="http://schemas.openxmlformats.org/drawingml/2006/picture">
                      <pic:pic>
                        <pic:nvPicPr>
                          <pic:cNvPr id="14" name="IM 14"/>
                          <pic:cNvPicPr/>
                        </pic:nvPicPr>
                        <pic:blipFill>
                          <a:blip r:embed="rId9"/>
                          <a:stretch>
                            <a:fillRect/>
                          </a:stretch>
                        </pic:blipFill>
                        <pic:spPr>
                          <a:xfrm rot="0">
                            <a:off x="0" y="0"/>
                            <a:ext cx="1479554" cy="1346192"/>
                          </a:xfrm>
                          <a:prstGeom prst="rect">
                            <a:avLst/>
                          </a:prstGeom>
                        </pic:spPr>
                      </pic:pic>
                    </a:graphicData>
                  </a:graphic>
                </wp:anchor>
              </w:drawing>
            </w:r>
            <w:r>
              <w:rPr/>
              <w:t>谷胱甘肽S-转移酶P1基因多态性对胃肠</w:t>
            </w:r>
            <w:r>
              <w:rPr>
                <w:spacing w:val="-1"/>
              </w:rPr>
              <w:t>癌的影响及临床意义的研</w:t>
            </w:r>
            <w:r>
              <w:rPr/>
              <w:t xml:space="preserve"> </w:t>
            </w:r>
            <w:r>
              <w:rPr/>
              <w:t>究</w:t>
            </w:r>
          </w:p>
        </w:tc>
        <w:tc>
          <w:tcPr>
            <w:tcW w:w="1278" w:type="dxa"/>
            <w:vAlign w:val="top"/>
          </w:tcPr>
          <w:p>
            <w:pPr>
              <w:pStyle w:val="TableText"/>
              <w:ind w:left="426"/>
              <w:spacing w:before="51" w:line="224" w:lineRule="auto"/>
              <w:rPr/>
            </w:pPr>
            <w:r>
              <w:rPr>
                <w:spacing w:val="4"/>
              </w:rPr>
              <w:t>宣斌</w:t>
            </w:r>
          </w:p>
        </w:tc>
        <w:tc>
          <w:tcPr>
            <w:tcW w:w="1693" w:type="dxa"/>
            <w:vAlign w:val="top"/>
          </w:tcPr>
          <w:p>
            <w:pPr>
              <w:pStyle w:val="TableText"/>
              <w:ind w:left="418"/>
              <w:spacing w:before="140" w:line="183" w:lineRule="auto"/>
              <w:rPr/>
            </w:pPr>
            <w:r>
              <w:rPr>
                <w:spacing w:val="-2"/>
              </w:rPr>
              <w:t>2024K025</w:t>
            </w:r>
          </w:p>
        </w:tc>
      </w:tr>
      <w:tr>
        <w:trPr>
          <w:trHeight w:val="629" w:hRule="atLeast"/>
        </w:trPr>
        <w:tc>
          <w:tcPr>
            <w:tcW w:w="694" w:type="dxa"/>
            <w:vAlign w:val="top"/>
          </w:tcPr>
          <w:p>
            <w:pPr>
              <w:pStyle w:val="TableText"/>
              <w:ind w:left="234"/>
              <w:spacing w:before="108"/>
              <w:rPr/>
            </w:pPr>
            <w:r>
              <w:rPr>
                <w:spacing w:val="-3"/>
              </w:rPr>
              <w:t>26</w:t>
            </w:r>
          </w:p>
        </w:tc>
        <w:tc>
          <w:tcPr>
            <w:tcW w:w="6154" w:type="dxa"/>
            <w:vAlign w:val="top"/>
          </w:tcPr>
          <w:p>
            <w:pPr>
              <w:pStyle w:val="TableText"/>
              <w:ind w:left="90" w:right="255"/>
              <w:spacing w:before="36" w:line="256" w:lineRule="auto"/>
              <w:rPr/>
            </w:pPr>
            <w:r>
              <w:rPr>
                <w:spacing w:val="1"/>
              </w:rPr>
              <w:t>基于</w:t>
            </w:r>
            <w:r>
              <w:rPr/>
              <w:t>MRI</w:t>
            </w:r>
            <w:r>
              <w:rPr>
                <w:spacing w:val="1"/>
              </w:rPr>
              <w:t>深度学习模型预测急性缺血性卒中再灌注治</w:t>
            </w:r>
            <w:r>
              <w:rPr/>
              <w:t>疗预后的相 </w:t>
            </w:r>
            <w:r>
              <w:rPr>
                <w:spacing w:val="3"/>
              </w:rPr>
              <w:t>关研究</w:t>
            </w:r>
          </w:p>
        </w:tc>
        <w:tc>
          <w:tcPr>
            <w:tcW w:w="1278" w:type="dxa"/>
            <w:vAlign w:val="top"/>
          </w:tcPr>
          <w:p>
            <w:pPr>
              <w:pStyle w:val="TableText"/>
              <w:ind w:left="426"/>
              <w:spacing w:before="67" w:line="219" w:lineRule="auto"/>
              <w:rPr/>
            </w:pPr>
            <w:r>
              <w:rPr>
                <w:spacing w:val="-3"/>
              </w:rPr>
              <w:t>杨欢</w:t>
            </w:r>
          </w:p>
        </w:tc>
        <w:tc>
          <w:tcPr>
            <w:tcW w:w="1693" w:type="dxa"/>
            <w:vAlign w:val="top"/>
          </w:tcPr>
          <w:p>
            <w:pPr>
              <w:pStyle w:val="TableText"/>
              <w:ind w:left="418"/>
              <w:spacing w:before="161" w:line="183" w:lineRule="auto"/>
              <w:rPr/>
            </w:pPr>
            <w:r>
              <w:rPr>
                <w:spacing w:val="-2"/>
              </w:rPr>
              <w:t>2024K026</w:t>
            </w:r>
          </w:p>
        </w:tc>
      </w:tr>
      <w:tr>
        <w:trPr>
          <w:trHeight w:val="425" w:hRule="atLeast"/>
        </w:trPr>
        <w:tc>
          <w:tcPr>
            <w:tcW w:w="694" w:type="dxa"/>
            <w:vAlign w:val="top"/>
          </w:tcPr>
          <w:p>
            <w:pPr>
              <w:pStyle w:val="TableText"/>
              <w:ind w:left="234"/>
              <w:spacing w:before="139"/>
              <w:rPr/>
            </w:pPr>
            <w:r>
              <w:rPr>
                <w:spacing w:val="-3"/>
              </w:rPr>
              <w:t>27</w:t>
            </w:r>
          </w:p>
        </w:tc>
        <w:tc>
          <w:tcPr>
            <w:tcW w:w="6154" w:type="dxa"/>
            <w:vAlign w:val="top"/>
          </w:tcPr>
          <w:p>
            <w:pPr>
              <w:pStyle w:val="TableText"/>
              <w:ind w:left="90"/>
              <w:spacing w:before="116" w:line="218" w:lineRule="auto"/>
              <w:rPr/>
            </w:pPr>
            <w:r>
              <w:rPr/>
              <w:t>应变及耦合在心力衰竭患者心功能评估中的价值及风险预测</w:t>
            </w:r>
          </w:p>
        </w:tc>
        <w:tc>
          <w:tcPr>
            <w:tcW w:w="1278" w:type="dxa"/>
            <w:vAlign w:val="top"/>
          </w:tcPr>
          <w:p>
            <w:pPr>
              <w:pStyle w:val="TableText"/>
              <w:ind w:left="426"/>
              <w:spacing w:before="119" w:line="220" w:lineRule="auto"/>
              <w:rPr/>
            </w:pPr>
            <w:r>
              <w:rPr>
                <w:spacing w:val="6"/>
              </w:rPr>
              <w:t>张芳</w:t>
            </w:r>
          </w:p>
        </w:tc>
        <w:tc>
          <w:tcPr>
            <w:tcW w:w="1693" w:type="dxa"/>
            <w:vAlign w:val="top"/>
          </w:tcPr>
          <w:p>
            <w:pPr>
              <w:pStyle w:val="TableText"/>
              <w:ind w:left="418"/>
              <w:spacing w:before="172" w:line="183" w:lineRule="auto"/>
              <w:rPr/>
            </w:pPr>
            <w:r>
              <w:rPr>
                <w:spacing w:val="-2"/>
              </w:rPr>
              <w:t>2024K027</w:t>
            </w:r>
          </w:p>
        </w:tc>
      </w:tr>
    </w:tbl>
    <w:p>
      <w:pPr>
        <w:spacing w:line="354" w:lineRule="auto"/>
        <w:rPr>
          <w:rFonts w:ascii="Arial"/>
          <w:sz w:val="21"/>
        </w:rPr>
      </w:pPr>
      <w:r/>
    </w:p>
    <w:p>
      <w:pPr>
        <w:spacing w:line="354" w:lineRule="auto"/>
        <w:rPr>
          <w:rFonts w:ascii="Arial"/>
          <w:sz w:val="21"/>
        </w:rPr>
      </w:pPr>
      <w:r/>
    </w:p>
    <w:p>
      <w:pPr>
        <w:pStyle w:val="BodyText"/>
        <w:ind w:left="1810"/>
        <w:spacing w:before="58" w:line="219" w:lineRule="auto"/>
        <w:rPr>
          <w:sz w:val="18"/>
          <w:szCs w:val="18"/>
        </w:rPr>
      </w:pPr>
      <w:r>
        <w:rPr>
          <w:sz w:val="18"/>
          <w:szCs w:val="18"/>
          <w:spacing w:val="3"/>
        </w:rPr>
        <w:t>秦皇岛市第一医院伦理委员会地址：河北省秦皇岛</w:t>
      </w:r>
      <w:r>
        <w:rPr>
          <w:sz w:val="18"/>
          <w:szCs w:val="18"/>
          <w:spacing w:val="2"/>
        </w:rPr>
        <w:t>市海港区文化路258号，邮编：066000</w:t>
      </w:r>
    </w:p>
    <w:p>
      <w:pPr>
        <w:pStyle w:val="BodyText"/>
        <w:ind w:left="1810"/>
        <w:spacing w:before="26" w:line="212" w:lineRule="auto"/>
        <w:rPr>
          <w:rFonts w:ascii="Times New Roman" w:hAnsi="Times New Roman" w:eastAsia="Times New Roman" w:cs="Times New Roman"/>
          <w:sz w:val="18"/>
          <w:szCs w:val="18"/>
        </w:rPr>
      </w:pPr>
      <w:r>
        <w:rPr>
          <w:sz w:val="18"/>
          <w:szCs w:val="18"/>
        </w:rPr>
        <w:t>联系人：李扬   联系电话：0335-5908898   邮箱：</w:t>
      </w:r>
      <w:r>
        <w:rPr>
          <w:rFonts w:ascii="Times New Roman" w:hAnsi="Times New Roman" w:eastAsia="Times New Roman" w:cs="Times New Roman"/>
          <w:sz w:val="18"/>
          <w:szCs w:val="18"/>
        </w:rPr>
        <w:t>qhdllwyh</w:t>
      </w:r>
      <w:r>
        <w:rPr>
          <w:rFonts w:ascii="Times New Roman" w:hAnsi="Times New Roman" w:eastAsia="Times New Roman" w:cs="Times New Roman"/>
          <w:sz w:val="18"/>
          <w:szCs w:val="18"/>
          <w:spacing w:val="-1"/>
        </w:rPr>
        <w:t>@163.com</w:t>
      </w:r>
    </w:p>
    <w:p>
      <w:pPr>
        <w:spacing w:line="212" w:lineRule="auto"/>
        <w:sectPr>
          <w:headerReference w:type="default" r:id="rId6"/>
          <w:footerReference w:type="default" r:id="rId7"/>
          <w:pgSz w:w="12240" w:h="16840"/>
          <w:pgMar w:top="1084" w:right="1335" w:bottom="887" w:left="0" w:header="808" w:footer="685" w:gutter="0"/>
        </w:sectPr>
        <w:rPr>
          <w:rFonts w:ascii="Times New Roman" w:hAnsi="Times New Roman" w:eastAsia="Times New Roman" w:cs="Times New Roman"/>
          <w:sz w:val="18"/>
          <w:szCs w:val="18"/>
        </w:rPr>
      </w:pPr>
    </w:p>
    <w:p>
      <w:pPr>
        <w:spacing w:line="338" w:lineRule="auto"/>
        <w:rPr>
          <w:rFonts w:ascii="Arial"/>
          <w:sz w:val="21"/>
        </w:rPr>
      </w:pPr>
      <w:r/>
    </w:p>
    <w:p>
      <w:pPr>
        <w:spacing w:line="339" w:lineRule="auto"/>
        <w:rPr>
          <w:rFonts w:ascii="Arial"/>
          <w:sz w:val="21"/>
        </w:rPr>
      </w:pPr>
      <w:r/>
    </w:p>
    <w:p>
      <w:pPr>
        <w:pStyle w:val="BodyText"/>
        <w:ind w:left="3019"/>
        <w:spacing w:before="107" w:line="219" w:lineRule="auto"/>
        <w:rPr>
          <w:sz w:val="33"/>
          <w:szCs w:val="33"/>
        </w:rPr>
      </w:pPr>
      <w:r>
        <w:rPr>
          <w:sz w:val="33"/>
          <w:szCs w:val="33"/>
          <w:b/>
          <w:bCs/>
          <w:spacing w:val="-5"/>
        </w:rPr>
        <w:t>伦理委员会通过项目附表2</w:t>
      </w:r>
    </w:p>
    <w:p>
      <w:pPr>
        <w:spacing w:line="106" w:lineRule="exact"/>
        <w:rPr/>
      </w:pPr>
      <w:r/>
    </w:p>
    <w:tbl>
      <w:tblPr>
        <w:tblStyle w:val="TableNormal"/>
        <w:tblW w:w="980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94"/>
        <w:gridCol w:w="6144"/>
        <w:gridCol w:w="1288"/>
        <w:gridCol w:w="1683"/>
      </w:tblGrid>
      <w:tr>
        <w:trPr>
          <w:trHeight w:val="483" w:hRule="atLeast"/>
        </w:trPr>
        <w:tc>
          <w:tcPr>
            <w:tcW w:w="694" w:type="dxa"/>
            <w:vAlign w:val="top"/>
          </w:tcPr>
          <w:p>
            <w:pPr>
              <w:rPr>
                <w:rFonts w:ascii="Arial"/>
                <w:sz w:val="21"/>
              </w:rPr>
            </w:pPr>
            <w:r/>
          </w:p>
        </w:tc>
        <w:tc>
          <w:tcPr>
            <w:tcW w:w="6144" w:type="dxa"/>
            <w:vAlign w:val="top"/>
          </w:tcPr>
          <w:p>
            <w:pPr>
              <w:pStyle w:val="TableText"/>
              <w:ind w:left="2701"/>
              <w:spacing w:before="144" w:line="220" w:lineRule="auto"/>
              <w:rPr/>
            </w:pPr>
            <w:r>
              <w:rPr>
                <w:spacing w:val="-6"/>
              </w:rPr>
              <w:t>项</w:t>
            </w:r>
            <w:r>
              <w:rPr>
                <w:spacing w:val="94"/>
              </w:rPr>
              <w:t xml:space="preserve"> </w:t>
            </w:r>
            <w:r>
              <w:rPr>
                <w:spacing w:val="-6"/>
              </w:rPr>
              <w:t>目</w:t>
            </w:r>
          </w:p>
        </w:tc>
        <w:tc>
          <w:tcPr>
            <w:tcW w:w="1288" w:type="dxa"/>
            <w:vAlign w:val="top"/>
          </w:tcPr>
          <w:p>
            <w:pPr>
              <w:pStyle w:val="TableText"/>
              <w:ind w:left="327"/>
              <w:spacing w:before="142" w:line="219" w:lineRule="auto"/>
              <w:rPr/>
            </w:pPr>
            <w:r>
              <w:rPr>
                <w:spacing w:val="-2"/>
              </w:rPr>
              <w:t>研究者</w:t>
            </w:r>
          </w:p>
        </w:tc>
        <w:tc>
          <w:tcPr>
            <w:tcW w:w="1683" w:type="dxa"/>
            <w:vAlign w:val="top"/>
          </w:tcPr>
          <w:p>
            <w:pPr>
              <w:pStyle w:val="TableText"/>
              <w:ind w:left="629"/>
              <w:spacing w:before="143" w:line="219" w:lineRule="auto"/>
              <w:rPr/>
            </w:pPr>
            <w:r>
              <w:rPr>
                <w:spacing w:val="6"/>
              </w:rPr>
              <w:t>编号</w:t>
            </w:r>
          </w:p>
        </w:tc>
      </w:tr>
      <w:tr>
        <w:trPr>
          <w:trHeight w:val="628" w:hRule="atLeast"/>
        </w:trPr>
        <w:tc>
          <w:tcPr>
            <w:tcW w:w="694" w:type="dxa"/>
            <w:vAlign w:val="top"/>
          </w:tcPr>
          <w:p>
            <w:pPr>
              <w:pStyle w:val="TableText"/>
              <w:ind w:left="235"/>
              <w:spacing w:before="101"/>
              <w:rPr/>
            </w:pPr>
            <w:r>
              <w:rPr>
                <w:spacing w:val="-3"/>
              </w:rPr>
              <w:t>28</w:t>
            </w:r>
          </w:p>
        </w:tc>
        <w:tc>
          <w:tcPr>
            <w:tcW w:w="6144" w:type="dxa"/>
            <w:vAlign w:val="top"/>
          </w:tcPr>
          <w:p>
            <w:pPr>
              <w:pStyle w:val="TableText"/>
              <w:ind w:left="111" w:right="351" w:firstLine="10"/>
              <w:spacing w:before="60" w:line="245" w:lineRule="auto"/>
              <w:rPr/>
            </w:pPr>
            <w:r>
              <w:rPr>
                <w:spacing w:val="-1"/>
              </w:rPr>
              <w:t>基于CT的深度学习和影像组学技术对进展期胃癌分期及治疗反</w:t>
            </w:r>
            <w:r>
              <w:rPr>
                <w:spacing w:val="18"/>
              </w:rPr>
              <w:t xml:space="preserve"> </w:t>
            </w:r>
            <w:r>
              <w:rPr>
                <w:spacing w:val="-2"/>
              </w:rPr>
              <w:t>应的预测研究</w:t>
            </w:r>
          </w:p>
        </w:tc>
        <w:tc>
          <w:tcPr>
            <w:tcW w:w="1288" w:type="dxa"/>
            <w:vAlign w:val="top"/>
          </w:tcPr>
          <w:p>
            <w:pPr>
              <w:pStyle w:val="TableText"/>
              <w:ind w:left="327"/>
              <w:spacing w:before="43" w:line="221" w:lineRule="auto"/>
              <w:rPr/>
            </w:pPr>
            <w:r>
              <w:rPr>
                <w:spacing w:val="5"/>
              </w:rPr>
              <w:t>张晶晶</w:t>
            </w:r>
          </w:p>
        </w:tc>
        <w:tc>
          <w:tcPr>
            <w:tcW w:w="1683" w:type="dxa"/>
            <w:vAlign w:val="top"/>
          </w:tcPr>
          <w:p>
            <w:pPr>
              <w:pStyle w:val="TableText"/>
              <w:ind w:left="419"/>
              <w:spacing w:before="114" w:line="183" w:lineRule="auto"/>
              <w:rPr/>
            </w:pPr>
            <w:r>
              <w:rPr>
                <w:spacing w:val="-2"/>
              </w:rPr>
              <w:t>2024K028</w:t>
            </w:r>
          </w:p>
        </w:tc>
      </w:tr>
      <w:tr>
        <w:trPr>
          <w:trHeight w:val="618" w:hRule="atLeast"/>
        </w:trPr>
        <w:tc>
          <w:tcPr>
            <w:tcW w:w="694" w:type="dxa"/>
            <w:vAlign w:val="top"/>
          </w:tcPr>
          <w:p>
            <w:pPr>
              <w:pStyle w:val="TableText"/>
              <w:ind w:left="235"/>
              <w:spacing w:before="103"/>
              <w:rPr/>
            </w:pPr>
            <w:r>
              <w:rPr>
                <w:spacing w:val="-3"/>
              </w:rPr>
              <w:t>29</w:t>
            </w:r>
          </w:p>
        </w:tc>
        <w:tc>
          <w:tcPr>
            <w:tcW w:w="6144" w:type="dxa"/>
            <w:vAlign w:val="top"/>
          </w:tcPr>
          <w:p>
            <w:pPr>
              <w:pStyle w:val="TableText"/>
              <w:ind w:left="110" w:right="145" w:hanging="20"/>
              <w:spacing w:before="73" w:line="235" w:lineRule="auto"/>
              <w:rPr/>
            </w:pPr>
            <w:r>
              <w:rPr/>
              <w:t>磁共振IDEAL-IQ技术对骨关节疾病患者关节周围组织脂肪含量测</w:t>
            </w:r>
            <w:r>
              <w:rPr>
                <w:spacing w:val="16"/>
              </w:rPr>
              <w:t xml:space="preserve"> </w:t>
            </w:r>
            <w:r>
              <w:rPr>
                <w:spacing w:val="1"/>
              </w:rPr>
              <w:t>定的应用价值研究</w:t>
            </w:r>
          </w:p>
        </w:tc>
        <w:tc>
          <w:tcPr>
            <w:tcW w:w="1288" w:type="dxa"/>
            <w:vAlign w:val="top"/>
          </w:tcPr>
          <w:p>
            <w:pPr>
              <w:pStyle w:val="TableText"/>
              <w:ind w:left="327"/>
              <w:spacing w:before="53" w:line="220" w:lineRule="auto"/>
              <w:rPr/>
            </w:pPr>
            <w:r>
              <w:rPr>
                <w:spacing w:val="-3"/>
              </w:rPr>
              <w:t>邹丹丹</w:t>
            </w:r>
          </w:p>
        </w:tc>
        <w:tc>
          <w:tcPr>
            <w:tcW w:w="1683" w:type="dxa"/>
            <w:vAlign w:val="top"/>
          </w:tcPr>
          <w:p>
            <w:pPr>
              <w:pStyle w:val="TableText"/>
              <w:ind w:left="419"/>
              <w:spacing w:before="116" w:line="183" w:lineRule="auto"/>
              <w:rPr/>
            </w:pPr>
            <w:r>
              <w:rPr>
                <w:spacing w:val="-2"/>
              </w:rPr>
              <w:t>2024K029</w:t>
            </w:r>
          </w:p>
        </w:tc>
      </w:tr>
      <w:tr>
        <w:trPr>
          <w:trHeight w:val="309" w:hRule="atLeast"/>
        </w:trPr>
        <w:tc>
          <w:tcPr>
            <w:tcW w:w="694" w:type="dxa"/>
            <w:vAlign w:val="top"/>
          </w:tcPr>
          <w:p>
            <w:pPr>
              <w:pStyle w:val="TableText"/>
              <w:ind w:left="235"/>
              <w:spacing w:before="76" w:line="196" w:lineRule="auto"/>
              <w:rPr/>
            </w:pPr>
            <w:r>
              <w:rPr>
                <w:spacing w:val="-4"/>
              </w:rPr>
              <w:t>30</w:t>
            </w:r>
          </w:p>
        </w:tc>
        <w:tc>
          <w:tcPr>
            <w:tcW w:w="6144" w:type="dxa"/>
            <w:vAlign w:val="top"/>
          </w:tcPr>
          <w:p>
            <w:pPr>
              <w:pStyle w:val="TableText"/>
              <w:ind w:left="111"/>
              <w:spacing w:before="54" w:line="215" w:lineRule="auto"/>
              <w:rPr/>
            </w:pPr>
            <w:r>
              <w:rPr/>
              <w:t>直肠癌术前CT分期的准确性研究</w:t>
            </w:r>
          </w:p>
        </w:tc>
        <w:tc>
          <w:tcPr>
            <w:tcW w:w="1288" w:type="dxa"/>
            <w:vAlign w:val="top"/>
          </w:tcPr>
          <w:p>
            <w:pPr>
              <w:pStyle w:val="TableText"/>
              <w:ind w:left="427"/>
              <w:spacing w:before="55" w:line="214" w:lineRule="auto"/>
              <w:rPr/>
            </w:pPr>
            <w:r>
              <w:rPr>
                <w:spacing w:val="-2"/>
              </w:rPr>
              <w:t>赵波</w:t>
            </w:r>
          </w:p>
        </w:tc>
        <w:tc>
          <w:tcPr>
            <w:tcW w:w="1683" w:type="dxa"/>
            <w:vAlign w:val="top"/>
          </w:tcPr>
          <w:p>
            <w:pPr>
              <w:pStyle w:val="TableText"/>
              <w:ind w:left="419"/>
              <w:spacing w:before="109" w:line="167" w:lineRule="auto"/>
              <w:rPr/>
            </w:pPr>
            <w:r>
              <w:rPr>
                <w:spacing w:val="-2"/>
              </w:rPr>
              <w:t>2024K030</w:t>
            </w:r>
          </w:p>
        </w:tc>
      </w:tr>
      <w:tr>
        <w:trPr>
          <w:trHeight w:val="319" w:hRule="atLeast"/>
        </w:trPr>
        <w:tc>
          <w:tcPr>
            <w:tcW w:w="694" w:type="dxa"/>
            <w:vAlign w:val="top"/>
          </w:tcPr>
          <w:p>
            <w:pPr>
              <w:pStyle w:val="TableText"/>
              <w:ind w:left="235"/>
              <w:spacing w:before="87" w:line="195" w:lineRule="auto"/>
              <w:rPr/>
            </w:pPr>
            <w:r>
              <w:rPr>
                <w:spacing w:val="-4"/>
              </w:rPr>
              <w:t>31</w:t>
            </w:r>
          </w:p>
        </w:tc>
        <w:tc>
          <w:tcPr>
            <w:tcW w:w="6144" w:type="dxa"/>
            <w:vAlign w:val="top"/>
          </w:tcPr>
          <w:p>
            <w:pPr>
              <w:pStyle w:val="TableText"/>
              <w:ind w:left="111"/>
              <w:spacing w:before="64" w:line="215" w:lineRule="auto"/>
              <w:rPr/>
            </w:pPr>
            <w:r>
              <w:rPr/>
              <w:t>中老年2型糖尿病肾病患者肌少症的影响因素研究</w:t>
            </w:r>
          </w:p>
        </w:tc>
        <w:tc>
          <w:tcPr>
            <w:tcW w:w="1288" w:type="dxa"/>
            <w:vAlign w:val="top"/>
          </w:tcPr>
          <w:p>
            <w:pPr>
              <w:pStyle w:val="TableText"/>
              <w:ind w:left="427"/>
              <w:spacing w:before="65" w:line="214" w:lineRule="auto"/>
              <w:rPr/>
            </w:pPr>
            <w:r>
              <w:rPr>
                <w:spacing w:val="-3"/>
              </w:rPr>
              <w:t>朱娜</w:t>
            </w:r>
          </w:p>
        </w:tc>
        <w:tc>
          <w:tcPr>
            <w:tcW w:w="1683" w:type="dxa"/>
            <w:vAlign w:val="top"/>
          </w:tcPr>
          <w:p>
            <w:pPr>
              <w:pStyle w:val="TableText"/>
              <w:ind w:left="419"/>
              <w:spacing w:before="119" w:line="167" w:lineRule="auto"/>
              <w:rPr/>
            </w:pPr>
            <w:r>
              <w:rPr>
                <w:spacing w:val="-2"/>
              </w:rPr>
              <w:t>2024K031</w:t>
            </w:r>
          </w:p>
        </w:tc>
      </w:tr>
      <w:tr>
        <w:trPr>
          <w:trHeight w:val="309" w:hRule="atLeast"/>
        </w:trPr>
        <w:tc>
          <w:tcPr>
            <w:tcW w:w="694" w:type="dxa"/>
            <w:vAlign w:val="top"/>
          </w:tcPr>
          <w:p>
            <w:pPr>
              <w:pStyle w:val="TableText"/>
              <w:ind w:left="235"/>
              <w:spacing w:before="78" w:line="194" w:lineRule="auto"/>
              <w:rPr/>
            </w:pPr>
            <w:r>
              <w:rPr>
                <w:spacing w:val="-4"/>
              </w:rPr>
              <w:t>32</w:t>
            </w:r>
          </w:p>
        </w:tc>
        <w:tc>
          <w:tcPr>
            <w:tcW w:w="6144" w:type="dxa"/>
            <w:vAlign w:val="top"/>
          </w:tcPr>
          <w:p>
            <w:pPr>
              <w:pStyle w:val="TableText"/>
              <w:ind w:left="111"/>
              <w:spacing w:before="55" w:line="214" w:lineRule="auto"/>
              <w:rPr/>
            </w:pPr>
            <w:r>
              <w:rPr/>
              <w:t>卷积神经网络在消化道肿瘤放射性核素显像应用的多中心研究</w:t>
            </w:r>
          </w:p>
        </w:tc>
        <w:tc>
          <w:tcPr>
            <w:tcW w:w="1288" w:type="dxa"/>
            <w:vAlign w:val="top"/>
          </w:tcPr>
          <w:p>
            <w:pPr>
              <w:pStyle w:val="TableText"/>
              <w:ind w:left="327"/>
              <w:spacing w:before="57" w:line="212" w:lineRule="auto"/>
              <w:rPr/>
            </w:pPr>
            <w:r>
              <w:rPr>
                <w:spacing w:val="3"/>
              </w:rPr>
              <w:t>冯长超</w:t>
            </w:r>
          </w:p>
        </w:tc>
        <w:tc>
          <w:tcPr>
            <w:tcW w:w="1683" w:type="dxa"/>
            <w:vAlign w:val="top"/>
          </w:tcPr>
          <w:p>
            <w:pPr>
              <w:pStyle w:val="TableText"/>
              <w:ind w:left="419"/>
              <w:spacing w:before="111" w:line="165" w:lineRule="auto"/>
              <w:rPr/>
            </w:pPr>
            <w:r>
              <w:rPr>
                <w:spacing w:val="-2"/>
              </w:rPr>
              <w:t>2024K032</w:t>
            </w:r>
          </w:p>
        </w:tc>
      </w:tr>
      <w:tr>
        <w:trPr>
          <w:trHeight w:val="314" w:hRule="atLeast"/>
        </w:trPr>
        <w:tc>
          <w:tcPr>
            <w:tcW w:w="694" w:type="dxa"/>
            <w:vAlign w:val="top"/>
          </w:tcPr>
          <w:p>
            <w:pPr>
              <w:pStyle w:val="TableText"/>
              <w:ind w:left="235"/>
              <w:spacing w:before="78" w:line="198" w:lineRule="auto"/>
              <w:rPr/>
            </w:pPr>
            <w:r>
              <w:rPr>
                <w:spacing w:val="-4"/>
              </w:rPr>
              <w:t>33</w:t>
            </w:r>
          </w:p>
        </w:tc>
        <w:tc>
          <w:tcPr>
            <w:tcW w:w="6144" w:type="dxa"/>
            <w:vAlign w:val="top"/>
          </w:tcPr>
          <w:p>
            <w:pPr>
              <w:pStyle w:val="TableText"/>
              <w:ind w:left="111"/>
              <w:spacing w:before="57" w:line="217" w:lineRule="auto"/>
              <w:rPr/>
            </w:pPr>
            <w:r>
              <w:rPr/>
              <w:t>卷积神经网络在高危人群低剂量CT肺癌筛查中应用的研究</w:t>
            </w:r>
          </w:p>
        </w:tc>
        <w:tc>
          <w:tcPr>
            <w:tcW w:w="1288" w:type="dxa"/>
            <w:vAlign w:val="top"/>
          </w:tcPr>
          <w:p>
            <w:pPr>
              <w:pStyle w:val="TableText"/>
              <w:ind w:left="427"/>
              <w:spacing w:before="57" w:line="217" w:lineRule="auto"/>
              <w:rPr/>
            </w:pPr>
            <w:r>
              <w:rPr>
                <w:spacing w:val="-3"/>
              </w:rPr>
              <w:t>付敏</w:t>
            </w:r>
          </w:p>
        </w:tc>
        <w:tc>
          <w:tcPr>
            <w:tcW w:w="1683" w:type="dxa"/>
            <w:vAlign w:val="top"/>
          </w:tcPr>
          <w:p>
            <w:pPr>
              <w:pStyle w:val="TableText"/>
              <w:ind w:left="419"/>
              <w:spacing w:before="111" w:line="169" w:lineRule="auto"/>
              <w:rPr/>
            </w:pPr>
            <w:r>
              <w:rPr>
                <w:spacing w:val="-2"/>
              </w:rPr>
              <w:t>2024K033</w:t>
            </w:r>
          </w:p>
        </w:tc>
      </w:tr>
    </w:tbl>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pStyle w:val="BodyText"/>
        <w:ind w:left="725" w:right="1629" w:firstLine="500"/>
        <w:spacing w:before="65" w:line="426" w:lineRule="auto"/>
        <w:jc w:val="both"/>
        <w:rPr>
          <w:sz w:val="20"/>
          <w:szCs w:val="20"/>
        </w:rPr>
      </w:pPr>
      <w:r>
        <w:rPr>
          <w:sz w:val="20"/>
          <w:szCs w:val="20"/>
          <w:spacing w:val="18"/>
        </w:rPr>
        <w:t>声明：伦理委员会组成和执行符合根据《科</w:t>
      </w:r>
      <w:r>
        <w:rPr>
          <w:sz w:val="20"/>
          <w:szCs w:val="20"/>
          <w:spacing w:val="17"/>
        </w:rPr>
        <w:t>技伦理审查办法(试行)》《涉及人的生</w:t>
      </w:r>
      <w:r>
        <w:rPr>
          <w:sz w:val="20"/>
          <w:szCs w:val="20"/>
        </w:rPr>
        <w:t xml:space="preserve"> </w:t>
      </w:r>
      <w:r>
        <w:rPr>
          <w:sz w:val="20"/>
          <w:szCs w:val="20"/>
          <w:spacing w:val="4"/>
        </w:rPr>
        <w:t>命科学和医学研究伦理审查办法》《涉及人的生物医学研究伦理审查办法》的伦理审查原则， </w:t>
      </w:r>
      <w:r>
        <w:rPr>
          <w:sz w:val="20"/>
          <w:szCs w:val="20"/>
          <w:spacing w:val="8"/>
        </w:rPr>
        <w:t>并遵守中国的相关法律及法规。</w:t>
      </w:r>
    </w:p>
    <w:p>
      <w:pPr>
        <w:pStyle w:val="BodyText"/>
        <w:ind w:left="1225"/>
        <w:spacing w:before="15" w:line="219" w:lineRule="auto"/>
        <w:rPr>
          <w:sz w:val="20"/>
          <w:szCs w:val="20"/>
        </w:rPr>
      </w:pPr>
      <w:r>
        <w:rPr>
          <w:sz w:val="20"/>
          <w:szCs w:val="20"/>
          <w:spacing w:val="-3"/>
        </w:rPr>
        <w:t>说明：</w:t>
      </w:r>
    </w:p>
    <w:p>
      <w:pPr>
        <w:pStyle w:val="BodyText"/>
        <w:ind w:left="725" w:right="1652" w:firstLine="500"/>
        <w:spacing w:before="222" w:line="438" w:lineRule="auto"/>
        <w:rPr>
          <w:sz w:val="20"/>
          <w:szCs w:val="20"/>
        </w:rPr>
      </w:pPr>
      <w:r>
        <w:rPr>
          <w:sz w:val="20"/>
          <w:szCs w:val="20"/>
          <w:spacing w:val="12"/>
        </w:rPr>
        <w:t>1、本批件将在各研究中心及其伦理委员会备案。如果对方案在</w:t>
      </w:r>
      <w:r>
        <w:rPr>
          <w:sz w:val="20"/>
          <w:szCs w:val="20"/>
          <w:spacing w:val="11"/>
        </w:rPr>
        <w:t>本机构的可行性(包括</w:t>
      </w:r>
      <w:r>
        <w:rPr>
          <w:sz w:val="20"/>
          <w:szCs w:val="20"/>
        </w:rPr>
        <w:t xml:space="preserve"> </w:t>
      </w:r>
      <w:r>
        <w:rPr>
          <w:sz w:val="20"/>
          <w:szCs w:val="20"/>
          <w:spacing w:val="13"/>
        </w:rPr>
        <w:t>研究者的资格与经验、设备与条件等)有不同意见，请及时与</w:t>
      </w:r>
      <w:r>
        <w:rPr>
          <w:sz w:val="20"/>
          <w:szCs w:val="20"/>
          <w:spacing w:val="12"/>
        </w:rPr>
        <w:t>本伦理委员会联系。</w:t>
      </w:r>
    </w:p>
    <w:p>
      <w:pPr>
        <w:pStyle w:val="BodyText"/>
        <w:ind w:left="725" w:right="1632" w:firstLine="500"/>
        <w:spacing w:before="2" w:line="424" w:lineRule="auto"/>
        <w:rPr>
          <w:sz w:val="20"/>
          <w:szCs w:val="20"/>
        </w:rPr>
      </w:pPr>
      <w:r>
        <w:rPr>
          <w:sz w:val="20"/>
          <w:szCs w:val="20"/>
          <w:spacing w:val="10"/>
        </w:rPr>
        <w:t>2、如对临床研究方案、知情同书的任何修改，主要研</w:t>
      </w:r>
      <w:r>
        <w:rPr>
          <w:sz w:val="20"/>
          <w:szCs w:val="20"/>
          <w:spacing w:val="9"/>
        </w:rPr>
        <w:t>究者更换，应及时通知伦理委员</w:t>
      </w:r>
      <w:r>
        <w:rPr>
          <w:sz w:val="20"/>
          <w:szCs w:val="20"/>
        </w:rPr>
        <w:t xml:space="preserve"> </w:t>
      </w:r>
      <w:r>
        <w:rPr>
          <w:sz w:val="20"/>
          <w:szCs w:val="20"/>
          <w:spacing w:val="9"/>
        </w:rPr>
        <w:t>会，重新审查，获得批准后执行。</w:t>
      </w:r>
    </w:p>
    <w:p>
      <w:pPr>
        <w:pStyle w:val="BodyText"/>
        <w:ind w:left="725" w:right="1651" w:firstLine="500"/>
        <w:spacing w:line="339" w:lineRule="auto"/>
        <w:rPr>
          <w:sz w:val="20"/>
          <w:szCs w:val="20"/>
        </w:rPr>
      </w:pPr>
      <w:r>
        <w:drawing>
          <wp:anchor distT="0" distB="0" distL="0" distR="0" simplePos="0" relativeHeight="251664384" behindDoc="0" locked="0" layoutInCell="1" allowOverlap="1">
            <wp:simplePos x="0" y="0"/>
            <wp:positionH relativeFrom="column">
              <wp:posOffset>6061061</wp:posOffset>
            </wp:positionH>
            <wp:positionV relativeFrom="paragraph">
              <wp:posOffset>554563</wp:posOffset>
            </wp:positionV>
            <wp:extent cx="749337" cy="1422329"/>
            <wp:effectExtent l="0" t="0" r="0" b="0"/>
            <wp:wrapNone/>
            <wp:docPr id="18" name="IM 18"/>
            <wp:cNvGraphicFramePr/>
            <a:graphic>
              <a:graphicData uri="http://schemas.openxmlformats.org/drawingml/2006/picture">
                <pic:pic>
                  <pic:nvPicPr>
                    <pic:cNvPr id="18" name="IM 18"/>
                    <pic:cNvPicPr/>
                  </pic:nvPicPr>
                  <pic:blipFill>
                    <a:blip r:embed="rId12"/>
                    <a:stretch>
                      <a:fillRect/>
                    </a:stretch>
                  </pic:blipFill>
                  <pic:spPr>
                    <a:xfrm rot="0">
                      <a:off x="0" y="0"/>
                      <a:ext cx="749337" cy="1422329"/>
                    </a:xfrm>
                    <a:prstGeom prst="rect">
                      <a:avLst/>
                    </a:prstGeom>
                  </pic:spPr>
                </pic:pic>
              </a:graphicData>
            </a:graphic>
          </wp:anchor>
        </w:drawing>
      </w:r>
      <w:r>
        <w:rPr>
          <w:sz w:val="20"/>
          <w:szCs w:val="20"/>
          <w:spacing w:val="9"/>
        </w:rPr>
        <w:t>3、如果发生严重不良事件以及影响研究风险收益比的非预期不良事件，研究者应在获</w:t>
      </w:r>
      <w:r>
        <w:rPr>
          <w:sz w:val="20"/>
          <w:szCs w:val="20"/>
          <w:spacing w:val="5"/>
        </w:rPr>
        <w:t xml:space="preserve"> </w:t>
      </w:r>
      <w:r>
        <w:rPr>
          <w:sz w:val="20"/>
          <w:szCs w:val="20"/>
          <w:spacing w:val="14"/>
        </w:rPr>
        <w:t>知24小时内报告本伦理委员会。</w:t>
      </w:r>
    </w:p>
    <w:p>
      <w:pPr>
        <w:pStyle w:val="BodyText"/>
        <w:ind w:left="1225"/>
        <w:spacing w:before="225" w:line="219" w:lineRule="auto"/>
        <w:rPr>
          <w:sz w:val="20"/>
          <w:szCs w:val="20"/>
        </w:rPr>
      </w:pPr>
      <w:r>
        <w:rPr>
          <w:sz w:val="20"/>
          <w:szCs w:val="20"/>
          <w:spacing w:val="9"/>
        </w:rPr>
        <w:t>4、暂停/提前终止/完成临床研究，请及时通知伦理</w:t>
      </w:r>
      <w:r>
        <w:rPr>
          <w:sz w:val="20"/>
          <w:szCs w:val="20"/>
          <w:spacing w:val="8"/>
        </w:rPr>
        <w:t>委员会。</w:t>
      </w:r>
    </w:p>
    <w:p>
      <w:pPr>
        <w:pStyle w:val="BodyText"/>
        <w:ind w:left="1225"/>
        <w:spacing w:before="222" w:line="218" w:lineRule="auto"/>
        <w:rPr>
          <w:sz w:val="20"/>
          <w:szCs w:val="20"/>
        </w:rPr>
      </w:pPr>
      <w:r>
        <w:rPr>
          <w:sz w:val="20"/>
          <w:szCs w:val="20"/>
          <w:spacing w:val="9"/>
        </w:rPr>
        <w:t>5、发现严重违反方案情况应及时报告伦理委员会。</w:t>
      </w:r>
    </w:p>
    <w:p>
      <w:pPr>
        <w:pStyle w:val="BodyText"/>
        <w:ind w:left="1225"/>
        <w:spacing w:before="244" w:line="218" w:lineRule="auto"/>
        <w:rPr>
          <w:sz w:val="20"/>
          <w:szCs w:val="20"/>
        </w:rPr>
      </w:pPr>
      <w:r>
        <w:rPr>
          <w:sz w:val="20"/>
          <w:szCs w:val="20"/>
          <w:spacing w:val="9"/>
        </w:rPr>
        <w:t>6、完成临床研究后，请提交结题报告。</w:t>
      </w:r>
    </w:p>
    <w:p>
      <w:pPr>
        <w:pStyle w:val="BodyText"/>
        <w:ind w:left="1225"/>
        <w:spacing w:before="224" w:line="218" w:lineRule="auto"/>
        <w:rPr>
          <w:sz w:val="20"/>
          <w:szCs w:val="20"/>
        </w:rPr>
      </w:pPr>
      <w:r>
        <w:rPr>
          <w:sz w:val="20"/>
          <w:szCs w:val="20"/>
          <w:spacing w:val="9"/>
        </w:rPr>
        <w:t>7、请按照批件要求的跟踪审查频率及时向伦理委员会递交跟踪审查报告。</w:t>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9" w:lineRule="auto"/>
        <w:rPr>
          <w:rFonts w:ascii="Arial"/>
          <w:sz w:val="21"/>
        </w:rPr>
      </w:pPr>
      <w:r/>
    </w:p>
    <w:p>
      <w:pPr>
        <w:pStyle w:val="BodyText"/>
        <w:ind w:left="725"/>
        <w:spacing w:before="65" w:line="219" w:lineRule="auto"/>
        <w:rPr>
          <w:sz w:val="20"/>
          <w:szCs w:val="20"/>
        </w:rPr>
      </w:pPr>
      <w:r>
        <w:rPr>
          <w:sz w:val="20"/>
          <w:szCs w:val="20"/>
          <w:spacing w:val="-15"/>
        </w:rPr>
        <w:t>秦皇岛市第一医院伦理委员会地址：河北省秦皇岛市海港区文化路258号，邮编：066000</w:t>
      </w:r>
    </w:p>
    <w:p>
      <w:pPr>
        <w:pStyle w:val="BodyText"/>
        <w:ind w:left="725"/>
        <w:spacing w:before="11" w:line="212" w:lineRule="auto"/>
        <w:rPr>
          <w:rFonts w:ascii="Times New Roman" w:hAnsi="Times New Roman" w:eastAsia="Times New Roman" w:cs="Times New Roman"/>
          <w:sz w:val="20"/>
          <w:szCs w:val="20"/>
        </w:rPr>
      </w:pPr>
      <w:r>
        <w:rPr>
          <w:sz w:val="20"/>
          <w:szCs w:val="20"/>
          <w:spacing w:val="-13"/>
        </w:rPr>
        <w:t>联系人：李扬   联系电话：0335-5908898   邮箱：</w:t>
      </w:r>
      <w:r>
        <w:rPr>
          <w:rFonts w:ascii="Times New Roman" w:hAnsi="Times New Roman" w:eastAsia="Times New Roman" w:cs="Times New Roman"/>
          <w:sz w:val="20"/>
          <w:szCs w:val="20"/>
          <w:spacing w:val="-13"/>
        </w:rPr>
        <w:t>qhdllwyh@</w:t>
      </w:r>
      <w:r>
        <w:rPr>
          <w:rFonts w:ascii="Times New Roman" w:hAnsi="Times New Roman" w:eastAsia="Times New Roman" w:cs="Times New Roman"/>
          <w:sz w:val="20"/>
          <w:szCs w:val="20"/>
          <w:spacing w:val="-14"/>
        </w:rPr>
        <w:t>163.com</w:t>
      </w:r>
    </w:p>
    <w:sectPr>
      <w:headerReference w:type="default" r:id="rId10"/>
      <w:footerReference w:type="default" r:id="rId11"/>
      <w:pgSz w:w="12240" w:h="16840"/>
      <w:pgMar w:top="1098" w:right="429" w:bottom="863" w:left="1084" w:header="805" w:footer="679"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Times New Roman">
    <w:panose1 w:val="02020603050405020304"/>
    <w:charset w:val="00"/>
    <w:family w:val="auto"/>
    <w:pitch w:val="variable"/>
    <w:sig w:usb0="E0002EFF" w:usb1="C000785B" w:usb2="00000009" w:usb3="00000000" w:csb0="400001FF" w:csb1="FFFF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39"/>
      <w:spacing w:line="18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rPr>
      <w:t>1/3</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9320"/>
      <w:spacing w:line="18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w:t>
    </w:r>
    <w:r>
      <w:rPr>
        <w:rFonts w:ascii="Times New Roman" w:hAnsi="Times New Roman" w:eastAsia="Times New Roman" w:cs="Times New Roman"/>
        <w:sz w:val="22"/>
        <w:szCs w:val="22"/>
        <w:spacing w:val="26"/>
      </w:rPr>
      <w:t xml:space="preserve">  </w:t>
    </w:r>
    <w:r>
      <w:rPr>
        <w:rFonts w:ascii="Times New Roman" w:hAnsi="Times New Roman" w:eastAsia="Times New Roman" w:cs="Times New Roman"/>
        <w:sz w:val="22"/>
        <w:szCs w:val="22"/>
        <w:spacing w:val="-2"/>
      </w:rPr>
      <w:t>/3</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255"/>
      <w:spacing w:line="181"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3/3</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3958"/>
      <w:spacing w:before="48" w:line="219" w:lineRule="auto"/>
      <w:rPr>
        <w:sz w:val="18"/>
        <w:szCs w:val="18"/>
      </w:rPr>
    </w:pPr>
    <w:r>
      <w:drawing>
        <wp:anchor distT="0" distB="0" distL="0" distR="0" simplePos="0" relativeHeight="251658240" behindDoc="0" locked="0" layoutInCell="1" allowOverlap="1">
          <wp:simplePos x="0" y="0"/>
          <wp:positionH relativeFrom="column">
            <wp:posOffset>0</wp:posOffset>
          </wp:positionH>
          <wp:positionV relativeFrom="paragraph">
            <wp:posOffset>138745</wp:posOffset>
          </wp:positionV>
          <wp:extent cx="5346659" cy="6350"/>
          <wp:effectExtent l="0" t="0" r="0" b="0"/>
          <wp:wrapNone/>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5346659" cy="6350"/>
                  </a:xfrm>
                  <a:prstGeom prst="rect">
                    <a:avLst/>
                  </a:prstGeom>
                </pic:spPr>
              </pic:pic>
            </a:graphicData>
          </a:graphic>
        </wp:anchor>
      </w:drawing>
    </w:r>
    <w:r>
      <w:rPr>
        <w:sz w:val="18"/>
        <w:szCs w:val="18"/>
        <w:spacing w:val="-8"/>
      </w:rPr>
      <w:t>秦</w:t>
    </w:r>
    <w:r>
      <w:rPr>
        <w:sz w:val="18"/>
        <w:szCs w:val="18"/>
        <w:spacing w:val="88"/>
      </w:rPr>
      <w:t xml:space="preserve"> </w:t>
    </w:r>
    <w:r>
      <w:rPr>
        <w:sz w:val="18"/>
        <w:szCs w:val="18"/>
        <w:spacing w:val="-8"/>
      </w:rPr>
      <w:t>皇  岛  市  第</w:t>
    </w:r>
    <w:r>
      <w:rPr>
        <w:sz w:val="18"/>
        <w:szCs w:val="18"/>
        <w:spacing w:val="77"/>
      </w:rPr>
      <w:t xml:space="preserve"> </w:t>
    </w:r>
    <w:r>
      <w:rPr>
        <w:sz w:val="18"/>
        <w:szCs w:val="18"/>
        <w:spacing w:val="-8"/>
      </w:rPr>
      <w:t>一  医  院  伦  理</w:t>
    </w:r>
    <w:r>
      <w:rPr>
        <w:sz w:val="18"/>
        <w:szCs w:val="18"/>
        <w:spacing w:val="73"/>
      </w:rPr>
      <w:t xml:space="preserve"> </w:t>
    </w:r>
    <w:r>
      <w:rPr>
        <w:sz w:val="18"/>
        <w:szCs w:val="18"/>
        <w:spacing w:val="-8"/>
      </w:rPr>
      <w:t>委  员</w:t>
    </w:r>
    <w:r>
      <w:rPr>
        <w:sz w:val="18"/>
        <w:szCs w:val="18"/>
        <w:spacing w:val="73"/>
      </w:rPr>
      <w:t xml:space="preserve"> </w:t>
    </w:r>
    <w:r>
      <w:rPr>
        <w:sz w:val="18"/>
        <w:szCs w:val="18"/>
        <w:spacing w:val="-8"/>
      </w:rPr>
      <w:t>会</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6395"/>
      <w:spacing w:before="48" w:line="219" w:lineRule="auto"/>
      <w:rPr>
        <w:sz w:val="18"/>
        <w:szCs w:val="18"/>
      </w:rPr>
    </w:pPr>
    <w:r>
      <w:drawing>
        <wp:anchor distT="0" distB="0" distL="0" distR="0" simplePos="0" relativeHeight="251659264" behindDoc="0" locked="0" layoutInCell="1" allowOverlap="1">
          <wp:simplePos x="0" y="0"/>
          <wp:positionH relativeFrom="column">
            <wp:posOffset>1149383</wp:posOffset>
          </wp:positionH>
          <wp:positionV relativeFrom="paragraph">
            <wp:posOffset>138744</wp:posOffset>
          </wp:positionV>
          <wp:extent cx="5321296" cy="6350"/>
          <wp:effectExtent l="0" t="0" r="0" b="0"/>
          <wp:wrapNone/>
          <wp:docPr id="10" name="IM 10"/>
          <wp:cNvGraphicFramePr/>
          <a:graphic>
            <a:graphicData uri="http://schemas.openxmlformats.org/drawingml/2006/picture">
              <pic:pic>
                <pic:nvPicPr>
                  <pic:cNvPr id="10" name="IM 10"/>
                  <pic:cNvPicPr/>
                </pic:nvPicPr>
                <pic:blipFill>
                  <a:blip r:embed="rId1"/>
                  <a:stretch>
                    <a:fillRect/>
                  </a:stretch>
                </pic:blipFill>
                <pic:spPr>
                  <a:xfrm rot="0">
                    <a:off x="0" y="0"/>
                    <a:ext cx="5321296" cy="6350"/>
                  </a:xfrm>
                  <a:prstGeom prst="rect">
                    <a:avLst/>
                  </a:prstGeom>
                </pic:spPr>
              </pic:pic>
            </a:graphicData>
          </a:graphic>
        </wp:anchor>
      </w:drawing>
    </w:r>
    <w:r>
      <w:rPr>
        <w:sz w:val="18"/>
        <w:szCs w:val="18"/>
        <w:spacing w:val="-8"/>
      </w:rPr>
      <w:t>秦 皇 岛</w:t>
    </w:r>
    <w:r>
      <w:rPr>
        <w:sz w:val="18"/>
        <w:szCs w:val="18"/>
        <w:spacing w:val="7"/>
      </w:rPr>
      <w:t xml:space="preserve"> </w:t>
    </w:r>
    <w:r>
      <w:rPr>
        <w:sz w:val="18"/>
        <w:szCs w:val="18"/>
        <w:spacing w:val="-8"/>
      </w:rPr>
      <w:t>市 第</w:t>
    </w:r>
    <w:r>
      <w:rPr>
        <w:sz w:val="18"/>
        <w:szCs w:val="18"/>
      </w:rPr>
      <w:t xml:space="preserve"> </w:t>
    </w:r>
    <w:r>
      <w:rPr>
        <w:sz w:val="18"/>
        <w:szCs w:val="18"/>
        <w:spacing w:val="-8"/>
      </w:rPr>
      <w:t>一</w:t>
    </w:r>
    <w:r>
      <w:rPr>
        <w:sz w:val="18"/>
        <w:szCs w:val="18"/>
        <w:spacing w:val="5"/>
      </w:rPr>
      <w:t xml:space="preserve"> </w:t>
    </w:r>
    <w:r>
      <w:rPr>
        <w:sz w:val="18"/>
        <w:szCs w:val="18"/>
        <w:spacing w:val="-8"/>
      </w:rPr>
      <w:t>医</w:t>
    </w:r>
    <w:r>
      <w:rPr>
        <w:sz w:val="18"/>
        <w:szCs w:val="18"/>
        <w:spacing w:val="8"/>
      </w:rPr>
      <w:t xml:space="preserve"> </w:t>
    </w:r>
    <w:r>
      <w:rPr>
        <w:sz w:val="18"/>
        <w:szCs w:val="18"/>
        <w:spacing w:val="-8"/>
      </w:rPr>
      <w:t>院 伦</w:t>
    </w:r>
    <w:r>
      <w:rPr>
        <w:sz w:val="18"/>
        <w:szCs w:val="18"/>
        <w:spacing w:val="-1"/>
      </w:rPr>
      <w:t xml:space="preserve"> </w:t>
    </w:r>
    <w:r>
      <w:rPr>
        <w:sz w:val="18"/>
        <w:szCs w:val="18"/>
        <w:spacing w:val="-8"/>
      </w:rPr>
      <w:t>理 委</w:t>
    </w:r>
    <w:r>
      <w:rPr>
        <w:sz w:val="18"/>
        <w:szCs w:val="18"/>
        <w:spacing w:val="4"/>
      </w:rPr>
      <w:t xml:space="preserve"> </w:t>
    </w:r>
    <w:r>
      <w:rPr>
        <w:sz w:val="18"/>
        <w:szCs w:val="18"/>
        <w:spacing w:val="-8"/>
      </w:rPr>
      <w:t>员 会</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5247"/>
      <w:spacing w:before="50" w:line="219" w:lineRule="auto"/>
      <w:rPr>
        <w:sz w:val="19"/>
        <w:szCs w:val="19"/>
      </w:rPr>
    </w:pPr>
    <w:r>
      <w:drawing>
        <wp:anchor distT="0" distB="0" distL="0" distR="0" simplePos="0" relativeHeight="251660288" behindDoc="0" locked="0" layoutInCell="1" allowOverlap="1">
          <wp:simplePos x="0" y="0"/>
          <wp:positionH relativeFrom="column">
            <wp:posOffset>460425</wp:posOffset>
          </wp:positionH>
          <wp:positionV relativeFrom="paragraph">
            <wp:posOffset>146630</wp:posOffset>
          </wp:positionV>
          <wp:extent cx="5314921" cy="6350"/>
          <wp:effectExtent l="0" t="0" r="0" b="0"/>
          <wp:wrapNone/>
          <wp:docPr id="16" name="IM 16"/>
          <wp:cNvGraphicFramePr/>
          <a:graphic>
            <a:graphicData uri="http://schemas.openxmlformats.org/drawingml/2006/picture">
              <pic:pic>
                <pic:nvPicPr>
                  <pic:cNvPr id="16" name="IM 16"/>
                  <pic:cNvPicPr/>
                </pic:nvPicPr>
                <pic:blipFill>
                  <a:blip r:embed="rId1"/>
                  <a:stretch>
                    <a:fillRect/>
                  </a:stretch>
                </pic:blipFill>
                <pic:spPr>
                  <a:xfrm rot="0">
                    <a:off x="0" y="0"/>
                    <a:ext cx="5314921" cy="6350"/>
                  </a:xfrm>
                  <a:prstGeom prst="rect">
                    <a:avLst/>
                  </a:prstGeom>
                </pic:spPr>
              </pic:pic>
            </a:graphicData>
          </a:graphic>
        </wp:anchor>
      </w:drawing>
    </w:r>
    <w:r>
      <w:rPr>
        <w:sz w:val="19"/>
        <w:szCs w:val="19"/>
        <w:spacing w:val="-9"/>
      </w:rPr>
      <w:t>秦 皇 岛</w:t>
    </w:r>
    <w:r>
      <w:rPr>
        <w:sz w:val="19"/>
        <w:szCs w:val="19"/>
        <w:spacing w:val="3"/>
      </w:rPr>
      <w:t xml:space="preserve"> </w:t>
    </w:r>
    <w:r>
      <w:rPr>
        <w:sz w:val="19"/>
        <w:szCs w:val="19"/>
        <w:spacing w:val="-9"/>
      </w:rPr>
      <w:t>市</w:t>
    </w:r>
    <w:r>
      <w:rPr>
        <w:sz w:val="19"/>
        <w:szCs w:val="19"/>
        <w:spacing w:val="-2"/>
      </w:rPr>
      <w:t xml:space="preserve"> </w:t>
    </w:r>
    <w:r>
      <w:rPr>
        <w:sz w:val="19"/>
        <w:szCs w:val="19"/>
        <w:spacing w:val="-9"/>
      </w:rPr>
      <w:t>第</w:t>
    </w:r>
    <w:r>
      <w:rPr>
        <w:sz w:val="19"/>
        <w:szCs w:val="19"/>
        <w:spacing w:val="1"/>
      </w:rPr>
      <w:t xml:space="preserve"> </w:t>
    </w:r>
    <w:r>
      <w:rPr>
        <w:sz w:val="19"/>
        <w:szCs w:val="19"/>
        <w:spacing w:val="-9"/>
      </w:rPr>
      <w:t>一</w:t>
    </w:r>
    <w:r>
      <w:rPr>
        <w:sz w:val="19"/>
        <w:szCs w:val="19"/>
        <w:spacing w:val="7"/>
      </w:rPr>
      <w:t xml:space="preserve"> </w:t>
    </w:r>
    <w:r>
      <w:rPr>
        <w:sz w:val="19"/>
        <w:szCs w:val="19"/>
        <w:spacing w:val="-9"/>
      </w:rPr>
      <w:t>医</w:t>
    </w:r>
    <w:r>
      <w:rPr>
        <w:sz w:val="19"/>
        <w:szCs w:val="19"/>
        <w:spacing w:val="11"/>
      </w:rPr>
      <w:t xml:space="preserve"> </w:t>
    </w:r>
    <w:r>
      <w:rPr>
        <w:sz w:val="19"/>
        <w:szCs w:val="19"/>
        <w:spacing w:val="-9"/>
      </w:rPr>
      <w:t>院</w:t>
    </w:r>
    <w:r>
      <w:rPr>
        <w:sz w:val="19"/>
        <w:szCs w:val="19"/>
        <w:spacing w:val="-2"/>
      </w:rPr>
      <w:t xml:space="preserve"> </w:t>
    </w:r>
    <w:r>
      <w:rPr>
        <w:sz w:val="19"/>
        <w:szCs w:val="19"/>
        <w:spacing w:val="-9"/>
      </w:rPr>
      <w:t>伦</w:t>
    </w:r>
    <w:r>
      <w:rPr>
        <w:sz w:val="19"/>
        <w:szCs w:val="19"/>
      </w:rPr>
      <w:t xml:space="preserve"> </w:t>
    </w:r>
    <w:r>
      <w:rPr>
        <w:sz w:val="19"/>
        <w:szCs w:val="19"/>
        <w:spacing w:val="-9"/>
      </w:rPr>
      <w:t>理</w:t>
    </w:r>
    <w:r>
      <w:rPr>
        <w:sz w:val="19"/>
        <w:szCs w:val="19"/>
        <w:spacing w:val="-3"/>
      </w:rPr>
      <w:t xml:space="preserve"> </w:t>
    </w:r>
    <w:r>
      <w:rPr>
        <w:sz w:val="19"/>
        <w:szCs w:val="19"/>
        <w:spacing w:val="-9"/>
      </w:rPr>
      <w:t>委</w:t>
    </w:r>
    <w:r>
      <w:rPr>
        <w:sz w:val="19"/>
        <w:szCs w:val="19"/>
        <w:spacing w:val="5"/>
      </w:rPr>
      <w:t xml:space="preserve"> </w:t>
    </w:r>
    <w:r>
      <w:rPr>
        <w:sz w:val="19"/>
        <w:szCs w:val="19"/>
        <w:spacing w:val="-9"/>
      </w:rPr>
      <w:t>员</w:t>
    </w:r>
    <w:r>
      <w:rPr>
        <w:sz w:val="19"/>
        <w:szCs w:val="19"/>
        <w:spacing w:val="-3"/>
      </w:rPr>
      <w:t xml:space="preserve"> </w:t>
    </w:r>
    <w:r>
      <w:rPr>
        <w:sz w:val="19"/>
        <w:szCs w:val="19"/>
        <w:spacing w:val="-9"/>
      </w:rPr>
      <w:t>会</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SimSun" w:hAnsi="SimSun" w:eastAsia="SimSun" w:cs="SimSun"/>
      <w:sz w:val="28"/>
      <w:szCs w:val="28"/>
      <w:lang w:val="en-US" w:eastAsia="en-US" w:bidi="ar-SA"/>
    </w:rPr>
  </w:style>
  <w:style w:type="paragraph" w:styleId="TableText">
    <w:name w:val="Table Text"/>
    <w:basedOn w:val="Normal"/>
    <w:semiHidden/>
    <w:qFormat/>
    <w:pPr/>
    <w:rPr>
      <w:rFonts w:ascii="SimSun" w:hAnsi="SimSun" w:eastAsia="SimSun" w:cs="SimSun"/>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7.png"/><Relationship Id="rId8" Type="http://schemas.openxmlformats.org/officeDocument/2006/relationships/image" Target="media/image6.png"/><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image" Target="media/image4.png"/><Relationship Id="rId4" Type="http://schemas.openxmlformats.org/officeDocument/2006/relationships/image" Target="media/image3.png"/><Relationship Id="rId3" Type="http://schemas.openxmlformats.org/officeDocument/2006/relationships/image" Target="media/image2.png"/><Relationship Id="rId2" Type="http://schemas.openxmlformats.org/officeDocument/2006/relationships/footer" Target="footer1.xml"/><Relationship Id="rId15" Type="http://schemas.openxmlformats.org/officeDocument/2006/relationships/fontTable" Target="fontTable.xml"/><Relationship Id="rId14" Type="http://schemas.openxmlformats.org/officeDocument/2006/relationships/styles" Target="styles.xml"/><Relationship Id="rId13" Type="http://schemas.openxmlformats.org/officeDocument/2006/relationships/settings" Target="settings.xml"/><Relationship Id="rId12" Type="http://schemas.openxmlformats.org/officeDocument/2006/relationships/image" Target="media/image9.png"/><Relationship Id="rId11" Type="http://schemas.openxmlformats.org/officeDocument/2006/relationships/footer" Target="footer3.xml"/><Relationship Id="rId10" Type="http://schemas.openxmlformats.org/officeDocument/2006/relationships/header" Target="header3.xml"/><Relationship Id="rId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2025-07-13T22:24:29Z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2025-07-13T22:24:30</vt:filetime>
  </property>
  <property fmtid="{D5CDD505-2E9C-101B-9397-08002B2CF9AE}" pid="4" name="UsrData">
    <vt:lpwstr>6873c19ae3e45a002052a025wl</vt:lpwstr>
  </property>
</Properties>
</file>