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4F11E">
      <w:pPr>
        <w:jc w:val="center"/>
        <w:rPr>
          <w:rFonts w:hint="default" w:ascii="Times New Roman" w:hAnsi="Times New Roman" w:cs="Times New Roman"/>
          <w:b/>
          <w:bCs/>
          <w:sz w:val="32"/>
          <w:szCs w:val="32"/>
        </w:rPr>
      </w:pPr>
      <w:r>
        <w:rPr>
          <w:rFonts w:hint="default" w:ascii="Times New Roman" w:hAnsi="Times New Roman" w:cs="Times New Roman"/>
          <w:b/>
          <w:bCs/>
          <w:sz w:val="32"/>
          <w:szCs w:val="32"/>
        </w:rPr>
        <w:t>Supplementary Methods</w:t>
      </w:r>
    </w:p>
    <w:p w14:paraId="1A9F946B">
      <w:pPr>
        <w:jc w:val="center"/>
        <w:rPr>
          <w:rFonts w:hint="default" w:ascii="Times New Roman" w:hAnsi="Times New Roman" w:cs="Times New Roman"/>
          <w:b/>
          <w:bCs/>
          <w:sz w:val="32"/>
          <w:szCs w:val="32"/>
        </w:rPr>
      </w:pPr>
    </w:p>
    <w:p w14:paraId="487CED0E">
      <w:pPr>
        <w:jc w:val="both"/>
        <w:rPr>
          <w:rFonts w:hint="default" w:ascii="Times New Roman" w:hAnsi="Times New Roman" w:cs="Times New Roman"/>
          <w:b/>
          <w:bCs/>
          <w:sz w:val="24"/>
          <w:szCs w:val="24"/>
        </w:rPr>
      </w:pPr>
      <w:r>
        <w:rPr>
          <w:rFonts w:hint="default" w:ascii="Times New Roman" w:hAnsi="Times New Roman" w:cs="Times New Roman"/>
          <w:b/>
          <w:bCs/>
          <w:sz w:val="24"/>
          <w:szCs w:val="24"/>
        </w:rPr>
        <w:t>Variant Filtering Criteria</w:t>
      </w:r>
    </w:p>
    <w:p w14:paraId="1F32441B">
      <w:pPr>
        <w:jc w:val="both"/>
        <w:rPr>
          <w:rFonts w:hint="default" w:ascii="Times New Roman" w:hAnsi="Times New Roman" w:cs="Times New Roman"/>
          <w:b w:val="0"/>
          <w:bCs w:val="0"/>
          <w:sz w:val="24"/>
          <w:szCs w:val="24"/>
        </w:rPr>
      </w:pPr>
    </w:p>
    <w:p w14:paraId="258A83A5">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To minimize technical artifacts and germline variants introduced by Formalin-Fixed Paraffin-Embedded (FFPE) samples and tumor-only analysis, we employed a multi-step bioinformatic filtering pipeline to identify high-confidence somatic mutations. The specific filtering criteria were as follows:</w:t>
      </w:r>
    </w:p>
    <w:p w14:paraId="1F6E0094">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Step 1: Internal Artifact Filtering: To address FFPE-specific artifacts, we first filtered out any variants that were recurrently identified in our internal database of artifacts, which is built from a collection of historical FFPE samples processed in our laboratory.</w:t>
      </w:r>
    </w:p>
    <w:p w14:paraId="713425A6">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Step 2: Population Frequency and Functional Impact Filtering: For the remaining variants, we removed any with a population allele frequency greater than 0.05 in public databases (e.g., gnomAD). We retained only variants located in exonic or splicing regions. We further excluded variants in repetitive regions (repeat masker &gt; 10), synonymous mutations, and variants of </w:t>
      </w:r>
      <w:r>
        <w:rPr>
          <w:rFonts w:hint="eastAsia" w:ascii="Times New Roman" w:hAnsi="Times New Roman" w:cs="Times New Roman"/>
          <w:b w:val="0"/>
          <w:bCs w:val="0"/>
          <w:sz w:val="24"/>
          <w:szCs w:val="24"/>
          <w:lang w:eastAsia="zh-CN"/>
        </w:rPr>
        <w:t>"</w:t>
      </w:r>
      <w:r>
        <w:rPr>
          <w:rFonts w:hint="default" w:ascii="Times New Roman" w:hAnsi="Times New Roman" w:cs="Times New Roman"/>
          <w:b w:val="0"/>
          <w:bCs w:val="0"/>
          <w:sz w:val="24"/>
          <w:szCs w:val="24"/>
        </w:rPr>
        <w:t>unknown</w:t>
      </w:r>
      <w:r>
        <w:rPr>
          <w:rFonts w:hint="eastAsia" w:ascii="Times New Roman" w:hAnsi="Times New Roman" w:cs="Times New Roman"/>
          <w:b w:val="0"/>
          <w:bCs w:val="0"/>
          <w:sz w:val="24"/>
          <w:szCs w:val="24"/>
          <w:lang w:eastAsia="zh-CN"/>
        </w:rPr>
        <w:t>"</w:t>
      </w:r>
      <w:r>
        <w:rPr>
          <w:rFonts w:hint="default" w:ascii="Times New Roman" w:hAnsi="Times New Roman" w:cs="Times New Roman"/>
          <w:b w:val="0"/>
          <w:bCs w:val="0"/>
          <w:sz w:val="24"/>
          <w:szCs w:val="24"/>
        </w:rPr>
        <w:t xml:space="preserve"> significance.</w:t>
      </w:r>
    </w:p>
    <w:p w14:paraId="72C16341">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Step 3: Benign Variant Filtering: We removed any variant classified as </w:t>
      </w:r>
      <w:r>
        <w:rPr>
          <w:rFonts w:hint="eastAsia" w:ascii="Times New Roman" w:hAnsi="Times New Roman" w:cs="Times New Roman"/>
          <w:b w:val="0"/>
          <w:bCs w:val="0"/>
          <w:sz w:val="24"/>
          <w:szCs w:val="24"/>
          <w:lang w:eastAsia="zh-CN"/>
        </w:rPr>
        <w:t>"</w:t>
      </w:r>
      <w:r>
        <w:rPr>
          <w:rFonts w:hint="default" w:ascii="Times New Roman" w:hAnsi="Times New Roman" w:cs="Times New Roman"/>
          <w:b w:val="0"/>
          <w:bCs w:val="0"/>
          <w:sz w:val="24"/>
          <w:szCs w:val="24"/>
        </w:rPr>
        <w:t>benign</w:t>
      </w:r>
      <w:r>
        <w:rPr>
          <w:rFonts w:hint="eastAsia" w:ascii="Times New Roman" w:hAnsi="Times New Roman" w:cs="Times New Roman"/>
          <w:b w:val="0"/>
          <w:bCs w:val="0"/>
          <w:sz w:val="24"/>
          <w:szCs w:val="24"/>
          <w:lang w:eastAsia="zh-CN"/>
        </w:rPr>
        <w:t>"</w:t>
      </w:r>
      <w:r>
        <w:rPr>
          <w:rFonts w:hint="default" w:ascii="Times New Roman" w:hAnsi="Times New Roman" w:cs="Times New Roman"/>
          <w:b w:val="0"/>
          <w:bCs w:val="0"/>
          <w:sz w:val="24"/>
          <w:szCs w:val="24"/>
        </w:rPr>
        <w:t xml:space="preserve"> or </w:t>
      </w:r>
      <w:r>
        <w:rPr>
          <w:rFonts w:hint="eastAsia" w:ascii="Times New Roman" w:hAnsi="Times New Roman" w:cs="Times New Roman"/>
          <w:b w:val="0"/>
          <w:bCs w:val="0"/>
          <w:sz w:val="24"/>
          <w:szCs w:val="24"/>
          <w:lang w:eastAsia="zh-CN"/>
        </w:rPr>
        <w:t>"</w:t>
      </w:r>
      <w:r>
        <w:rPr>
          <w:rFonts w:hint="default" w:ascii="Times New Roman" w:hAnsi="Times New Roman" w:cs="Times New Roman"/>
          <w:b w:val="0"/>
          <w:bCs w:val="0"/>
          <w:sz w:val="24"/>
          <w:szCs w:val="24"/>
        </w:rPr>
        <w:t>likely benign</w:t>
      </w:r>
      <w:r>
        <w:rPr>
          <w:rFonts w:hint="eastAsia" w:ascii="Times New Roman" w:hAnsi="Times New Roman" w:cs="Times New Roman"/>
          <w:b w:val="0"/>
          <w:bCs w:val="0"/>
          <w:sz w:val="24"/>
          <w:szCs w:val="24"/>
          <w:lang w:eastAsia="zh-CN"/>
        </w:rPr>
        <w:t>"</w:t>
      </w:r>
      <w:r>
        <w:rPr>
          <w:rFonts w:hint="default" w:ascii="Times New Roman" w:hAnsi="Times New Roman" w:cs="Times New Roman"/>
          <w:b w:val="0"/>
          <w:bCs w:val="0"/>
          <w:sz w:val="24"/>
          <w:szCs w:val="24"/>
        </w:rPr>
        <w:t xml:space="preserve"> by the ClinVar database or the InterVar tool.</w:t>
      </w:r>
    </w:p>
    <w:p w14:paraId="0E15C34E">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Step 4-6: Prioritization of High-Confidence Somatic Mutations: The final set of variants was prioritized based on their potential pathogenicity and evidence in cancer databases. We specifically retained variants that met any of the following criteria:</w:t>
      </w:r>
    </w:p>
    <w:p w14:paraId="1418A46F">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High-Impact Variants: Truncating mutations such as stopgain, frameshift deletion/insertion, and startloss, provided they had an allelic depth (AD) of ≥10 and a variant allele frequency (VAF) of ≥1%.</w:t>
      </w:r>
    </w:p>
    <w:p w14:paraId="29DA6E9A">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Cancer-Relevant Variants: Variants documented in the COSMIC Tumor Database as being found in </w:t>
      </w:r>
      <w:r>
        <w:rPr>
          <w:rFonts w:hint="eastAsia" w:ascii="Times New Roman" w:hAnsi="Times New Roman" w:cs="Times New Roman"/>
          <w:b w:val="0"/>
          <w:bCs w:val="0"/>
          <w:sz w:val="24"/>
          <w:szCs w:val="24"/>
          <w:lang w:eastAsia="zh-CN"/>
        </w:rPr>
        <w:t>"</w:t>
      </w:r>
      <w:r>
        <w:rPr>
          <w:rFonts w:hint="default" w:ascii="Times New Roman" w:hAnsi="Times New Roman" w:cs="Times New Roman"/>
          <w:b w:val="0"/>
          <w:bCs w:val="0"/>
          <w:sz w:val="24"/>
          <w:szCs w:val="24"/>
        </w:rPr>
        <w:t>haematopoietic and lymphoid tissue</w:t>
      </w:r>
      <w:r>
        <w:rPr>
          <w:rFonts w:hint="eastAsia" w:ascii="Times New Roman" w:hAnsi="Times New Roman" w:cs="Times New Roman"/>
          <w:b w:val="0"/>
          <w:bCs w:val="0"/>
          <w:sz w:val="24"/>
          <w:szCs w:val="24"/>
          <w:lang w:eastAsia="zh-CN"/>
        </w:rPr>
        <w:t>"</w:t>
      </w:r>
      <w:r>
        <w:rPr>
          <w:rFonts w:hint="default" w:ascii="Times New Roman" w:hAnsi="Times New Roman" w:cs="Times New Roman"/>
          <w:b w:val="0"/>
          <w:bCs w:val="0"/>
          <w:sz w:val="24"/>
          <w:szCs w:val="24"/>
        </w:rPr>
        <w:t xml:space="preserve"> cancers, with AD ≥10 and VAF ≥1%.</w:t>
      </w:r>
    </w:p>
    <w:p w14:paraId="580C6773">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 xml:space="preserve">Pathogenic Variants: Variants classified as </w:t>
      </w:r>
      <w:r>
        <w:rPr>
          <w:rFonts w:hint="eastAsia" w:ascii="Times New Roman" w:hAnsi="Times New Roman" w:cs="Times New Roman"/>
          <w:b w:val="0"/>
          <w:bCs w:val="0"/>
          <w:sz w:val="24"/>
          <w:szCs w:val="24"/>
          <w:lang w:eastAsia="zh-CN"/>
        </w:rPr>
        <w:t>"</w:t>
      </w:r>
      <w:r>
        <w:rPr>
          <w:rFonts w:hint="default" w:ascii="Times New Roman" w:hAnsi="Times New Roman" w:cs="Times New Roman"/>
          <w:b w:val="0"/>
          <w:bCs w:val="0"/>
          <w:sz w:val="24"/>
          <w:szCs w:val="24"/>
        </w:rPr>
        <w:t>pathogenic</w:t>
      </w:r>
      <w:r>
        <w:rPr>
          <w:rFonts w:hint="eastAsia" w:ascii="Times New Roman" w:hAnsi="Times New Roman" w:cs="Times New Roman"/>
          <w:b w:val="0"/>
          <w:bCs w:val="0"/>
          <w:sz w:val="24"/>
          <w:szCs w:val="24"/>
          <w:lang w:eastAsia="zh-CN"/>
        </w:rPr>
        <w:t>"</w:t>
      </w:r>
      <w:r>
        <w:rPr>
          <w:rFonts w:hint="default" w:ascii="Times New Roman" w:hAnsi="Times New Roman" w:cs="Times New Roman"/>
          <w:b w:val="0"/>
          <w:bCs w:val="0"/>
          <w:sz w:val="24"/>
          <w:szCs w:val="24"/>
        </w:rPr>
        <w:t xml:space="preserve"> or </w:t>
      </w:r>
      <w:r>
        <w:rPr>
          <w:rFonts w:hint="eastAsia" w:ascii="Times New Roman" w:hAnsi="Times New Roman" w:cs="Times New Roman"/>
          <w:b w:val="0"/>
          <w:bCs w:val="0"/>
          <w:sz w:val="24"/>
          <w:szCs w:val="24"/>
          <w:lang w:eastAsia="zh-CN"/>
        </w:rPr>
        <w:t>"</w:t>
      </w:r>
      <w:r>
        <w:rPr>
          <w:rFonts w:hint="default" w:ascii="Times New Roman" w:hAnsi="Times New Roman" w:cs="Times New Roman"/>
          <w:b w:val="0"/>
          <w:bCs w:val="0"/>
          <w:sz w:val="24"/>
          <w:szCs w:val="24"/>
        </w:rPr>
        <w:t>likely pathogenic</w:t>
      </w:r>
      <w:bookmarkStart w:id="0" w:name="_GoBack"/>
      <w:r>
        <w:rPr>
          <w:rFonts w:hint="eastAsia" w:ascii="Times New Roman" w:hAnsi="Times New Roman" w:cs="Times New Roman"/>
          <w:b w:val="0"/>
          <w:bCs w:val="0"/>
          <w:sz w:val="24"/>
          <w:szCs w:val="24"/>
          <w:lang w:eastAsia="zh-CN"/>
        </w:rPr>
        <w:t>"</w:t>
      </w:r>
      <w:bookmarkEnd w:id="0"/>
      <w:r>
        <w:rPr>
          <w:rFonts w:hint="default" w:ascii="Times New Roman" w:hAnsi="Times New Roman" w:cs="Times New Roman"/>
          <w:b w:val="0"/>
          <w:bCs w:val="0"/>
          <w:sz w:val="24"/>
          <w:szCs w:val="24"/>
        </w:rPr>
        <w:t xml:space="preserve"> by ClinVar or InterVar, with AD ≥10 and VAF ≥1%.</w:t>
      </w:r>
    </w:p>
    <w:p w14:paraId="3ACA8F23">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Other Non-Frameshift Variants: Other non-synonymous variants (e.g., missense, in-frame indels) that met the minimum sequencing depth (AD ≥10) and frequency (VAF ≥1%) thresholds.</w:t>
      </w:r>
    </w:p>
    <w:p w14:paraId="48274EE9">
      <w:pPr>
        <w:jc w:val="both"/>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This comprehensive filtering strategy was designed to systematically eliminate common germline polymorphisms, technical artifacts inherent to FFPE samples, and benign variants, thereby enriching for potentially pathogenic somatic mutations relevant to lymphoma.</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973815"/>
    <w:rsid w:val="11FC011F"/>
    <w:rsid w:val="56B75990"/>
    <w:rsid w:val="59EC2395"/>
    <w:rsid w:val="63973815"/>
    <w:rsid w:val="7E0E4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2025-10-27T13:49:00Z</dcterms:created>
  <dc:creator>她卟嗳我</dc:creator>
  <cp:lastModifiedBy>她卟嗳我</cp:lastModifiedBy>
  <dcterms:modified xsi:type="dcterms:W3CDTF">2025-10-27T14:56:27Z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D4DB609B4F744C5DA3417BF7C53E805E_11</vt:lpwstr>
  </property>
  <property fmtid="{D5CDD505-2E9C-101B-9397-08002B2CF9AE}" pid="4" name="KSOTemplateDocerSaveRecord">
    <vt:lpwstr>eyJoZGlkIjoiMDA1YjI4ZGI4ZmM4ZTgwY2ZjNTcxMjdhYWRhNTMzMmUiLCJ1c2VySWQiOiI0NTIxMTMwNjYifQ==</vt:lpwstr>
  </property>
</Properties>
</file>