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46DAA">
      <w:pPr>
        <w:spacing w:before="360" w:after="80"/>
        <w:jc w:val="left"/>
      </w:pPr>
      <w:bookmarkStart w:id="0" w:name="_GoBack"/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>Supplementary Table 1.</w:t>
      </w:r>
      <w:bookmarkEnd w:id="0"/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 Primer sequences used for quantitative real-time PCR (qRT-PCR) validation</w:t>
      </w:r>
    </w:p>
    <w:tbl>
      <w:tblPr>
        <w:tblStyle w:val="10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00"/>
        <w:gridCol w:w="1300"/>
        <w:gridCol w:w="3700"/>
        <w:gridCol w:w="1600"/>
        <w:gridCol w:w="1460"/>
      </w:tblGrid>
      <w:tr w14:paraId="0032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3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C3631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3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87DB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Direction</w:t>
            </w:r>
          </w:p>
        </w:tc>
        <w:tc>
          <w:tcPr>
            <w:tcW w:w="37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C3930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Sequence (5'→3')</w:t>
            </w:r>
          </w:p>
        </w:tc>
        <w:tc>
          <w:tcPr>
            <w:tcW w:w="16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8E528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Amplicon (bp)</w:t>
            </w:r>
          </w:p>
        </w:tc>
        <w:tc>
          <w:tcPr>
            <w:tcW w:w="146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A05A07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>Category</w:t>
            </w:r>
          </w:p>
        </w:tc>
      </w:tr>
      <w:tr w14:paraId="508C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B8400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HLA-DQB2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252B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F2700E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CTGGAGCGACTTCACACAGAT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D97FD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DC20A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0328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7EB5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HLA-DQB2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CDBB1F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2B6299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GGTAGCAGCGGTAGAGTTGG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CE1AB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F06D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4AE9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2BBE1E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HLA-DRB9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5E7EB5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70E39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TGTCATTTCTTCAACGGGACG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2A5FE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B77BC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6BDD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6AC2A5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HLA-DRB9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875C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D2632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CCGGATCCTTCGTGTCTCTG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368391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1818E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7D8E2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0E3B0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GMPPA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6211F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17DF27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AGCTGCTCAACATCGTGAAGA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059C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914E1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2AEC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B1A6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GMPPA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95034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07A30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TGGCTTCTCCAGGTCATTCTC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DFDC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DA6F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Protective</w:t>
            </w:r>
          </w:p>
        </w:tc>
      </w:tr>
      <w:tr w14:paraId="5AC8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4D28A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VDR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14CB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23C9E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CCTGAGGTTTCGGTCAATGTG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66FD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F2C58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43E6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8CB0E9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VDR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6AC8F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17D40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CATCATGCGGAGAACAGGTAGG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2CA049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DB763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69E4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5C31B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P4HTM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9F012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FCA28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GGAGACGGAAGTTTTCCTGGT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92601D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BF078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55C8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2DF645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P4HTM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F1C91A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1E931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ACACACTGGACTCGTTGAACT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34D0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2DF982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42B8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E9152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HLA-DQB1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20724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F75EB7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GTGCGTCTTGTGAGCAGAAG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7C600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7E914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0089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CBE13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HLA-DQB1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264A9D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4FF1F4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GCAATCCACAGTCACCACAG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3BA3C9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EEEDC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Risk-associated</w:t>
            </w:r>
          </w:p>
        </w:tc>
      </w:tr>
      <w:tr w14:paraId="57336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EC403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GAPDH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ACB8A0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Forward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E97C83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GTCTCCTCTGACTTCAACAGCG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D1EB4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236A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Reference</w:t>
            </w:r>
          </w:p>
        </w:tc>
      </w:tr>
      <w:tr w14:paraId="5F74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0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D08F6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GAPDH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128F79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Reverse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1AA03">
            <w:pPr>
              <w:spacing w:before="20" w:after="20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ACCACCCTGTTGCTGTAGCCAA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C7D7E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~197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EB921">
            <w:pPr>
              <w:spacing w:before="20" w:after="2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Reference</w:t>
            </w:r>
          </w:p>
        </w:tc>
      </w:tr>
    </w:tbl>
    <w:p w14:paraId="7CAC1C87">
      <w:pPr>
        <w:spacing w:before="60" w:after="40"/>
        <w:jc w:val="left"/>
      </w:pP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>All primers were synthesized by Sangon Biotech (Shanghai, China) and validated for specificity through melting curve analysis. GAPDH was used as the internal reference gene. qRT-PCR conditions: 95°C for 10 min; 40 cycles of 95°C for 15 s and 60°C for 1 min; total reaction volume 20 μL (SYBR Green PCR Master Mix, Applied Biosystems). Relative expression calculated by 2−ΔΔCT method with BEAS-2B as calibrator.</w:t>
      </w:r>
    </w:p>
    <w:sectPr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97A4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2"/>
      <w:szCs w:val="22"/>
    </w:rPr>
  </w:style>
  <w:style w:type="paragraph" w:styleId="2">
    <w:name w:val="heading 1"/>
    <w:next w:val="1"/>
    <w:qFormat/>
    <w:uiPriority w:val="0"/>
    <w:rPr>
      <w:rFonts w:ascii="Times New Roman" w:hAnsi="Times New Roman" w:eastAsia="Times New Roman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Times New Roman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9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Times New Roman" w:cs="Times New Roman"/>
      <w:sz w:val="22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526</Words>
  <Characters>3362</Characters>
  <TotalTime>0</TotalTime>
  <ScaleCrop>false</ScaleCrop>
  <LinksUpToDate>false</LinksUpToDate>
  <CharactersWithSpaces>3592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2026-03-13T01:51:00Z</dcterms:created>
  <dc:creator>Un-named</dc:creator>
  <cp:lastModifiedBy>user</cp:lastModifiedBy>
  <dcterms:modified xsi:type="dcterms:W3CDTF">2026-03-13T01:52:47Z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eyJoZGlkIjoiMjc0ZDMzYTg4YWM4NjllZGQzM2JhZTliMjdmOThjNTAiLCJ1c2VySWQiOiI0NTUyNjM0MjgifQ==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F3A5E76C14F44C94B90EA3A1C34F4994_12</vt:lpwstr>
  </property>
</Properties>
</file>