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780C8">
      <w:pPr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</w:rPr>
        <w:t>Pregnane X Receptor Drives Malignant Progression and Cisplatin Resistance in Epithelial Ovarian Cancer by Regulating MDR1</w:t>
      </w:r>
      <w:bookmarkStart w:id="0" w:name="_GoBack"/>
      <w:bookmarkEnd w:id="0"/>
    </w:p>
    <w:p w14:paraId="0E6EE3DE">
      <w:pPr>
        <w:jc w:val="center"/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>JuanWang,1,# Jing-Ya Zhou,1,# Zhi-Cui Chen,2,# Min Cheng,3 Yu-Chang Hu,3,* Qing Han,1,*</w:t>
      </w:r>
    </w:p>
    <w:p w14:paraId="29A21263">
      <w:pPr>
        <w:jc w:val="center"/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</w:pPr>
    </w:p>
    <w:p w14:paraId="7D46BB72">
      <w:pPr>
        <w:rPr>
          <w:rFonts w:ascii="Times New Roman Regular" w:hAnsi="Times New Roman Regular" w:eastAsia="Times New Roman" w:cs="Times New Roman Regular"/>
          <w:b/>
          <w:kern w:val="0"/>
          <w:sz w:val="24"/>
          <w:szCs w:val="24"/>
          <w:lang w:val="en"/>
        </w:rPr>
      </w:pPr>
      <w:r>
        <w:rPr>
          <w:rFonts w:ascii="Times New Roman Regular" w:hAnsi="Times New Roman Regular" w:eastAsia="Times New Roman" w:cs="Times New Roman Regular"/>
          <w:kern w:val="0"/>
          <w:szCs w:val="21"/>
          <w:vertAlign w:val="superscript"/>
          <w:lang w:val="en"/>
        </w:rPr>
        <w:t xml:space="preserve">1 </w:t>
      </w:r>
      <w:r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  <w:t>Department of Gynecology, Yichang Central People's Hospital, The First College of Clinical Medical Science, China Three Gorges University, Yichang, Hubei, China</w:t>
      </w:r>
    </w:p>
    <w:p w14:paraId="1D91FB2E">
      <w:pPr>
        <w:jc w:val="center"/>
        <w:rPr>
          <w:rFonts w:ascii="Times New Roman Regular" w:hAnsi="Times New Roman Regular" w:eastAsia="Times New Roman" w:cs="Times New Roman Regular"/>
          <w:b/>
          <w:kern w:val="0"/>
          <w:szCs w:val="21"/>
          <w:lang w:val="en"/>
        </w:rPr>
      </w:pPr>
    </w:p>
    <w:p w14:paraId="0811C6D5">
      <w:pP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  <w:r>
        <w:rPr>
          <w:rFonts w:ascii="Times New Roman Regular" w:hAnsi="Times New Roman Regular" w:eastAsia="Times New Roman" w:cs="Times New Roman Regular"/>
          <w:kern w:val="0"/>
          <w:sz w:val="24"/>
          <w:szCs w:val="24"/>
          <w:vertAlign w:val="superscript"/>
          <w:lang w:val="en"/>
        </w:rPr>
        <w:t>2</w:t>
      </w:r>
      <w:r>
        <w:rPr>
          <w:rFonts w:ascii="Times New Roman Regular" w:hAnsi="Times New Roman Regular" w:eastAsia="Times New Roman" w:cs="Times New Roman Regular"/>
          <w:b/>
          <w:kern w:val="0"/>
          <w:szCs w:val="21"/>
          <w:lang w:val="en"/>
        </w:rPr>
        <w:t xml:space="preserve"> </w:t>
      </w:r>
      <w: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  <w:t>Affiliated Hospital of Hubei Three Gorges Polytechnic</w:t>
      </w:r>
      <w:r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  <w:t>, Yichang, Hubei, China</w:t>
      </w:r>
    </w:p>
    <w:p w14:paraId="05513239">
      <w:pP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</w:p>
    <w:p w14:paraId="045DCED5">
      <w:pPr>
        <w:rPr>
          <w:rFonts w:ascii="Times New Roman Regular" w:hAnsi="Times New Roman Regular" w:eastAsia="Times New Roman" w:cs="Times New Roman Regular"/>
          <w:b/>
          <w:kern w:val="0"/>
          <w:szCs w:val="21"/>
          <w:lang w:val="en"/>
        </w:rPr>
      </w:pPr>
      <w:r>
        <w:rPr>
          <w:rFonts w:hint="default" w:ascii="Times New Roman Regular" w:hAnsi="Times New Roman Regular" w:eastAsia="Times New Roman" w:cs="Times New Roman Regular"/>
          <w:kern w:val="0"/>
          <w:sz w:val="24"/>
          <w:szCs w:val="24"/>
          <w:vertAlign w:val="superscript"/>
          <w:lang w:val="en-US"/>
        </w:rPr>
        <w:t xml:space="preserve">3 </w:t>
      </w:r>
      <w:r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  <w:t>Department of Pathology, Yichang Central People's Hospital, The First College of Clinical Medical Science, China Three Gorges University, Yichang, Hubei, China</w:t>
      </w:r>
    </w:p>
    <w:p w14:paraId="1DD480EC">
      <w:pPr>
        <w:jc w:val="center"/>
        <w:rPr>
          <w:rFonts w:ascii="Times New Roman Regular" w:hAnsi="Times New Roman Regular" w:eastAsia="Times New Roman" w:cs="Times New Roman Regular"/>
          <w:b/>
          <w:kern w:val="0"/>
          <w:szCs w:val="21"/>
          <w:lang w:val="en"/>
        </w:rPr>
      </w:pPr>
    </w:p>
    <w:p w14:paraId="7C629268">
      <w:pPr>
        <w:jc w:val="left"/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</w:pPr>
      <w:r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  <w:t># These authors contributed equally to this work.</w:t>
      </w:r>
    </w:p>
    <w:p w14:paraId="6C979438">
      <w:pPr>
        <w:jc w:val="left"/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</w:pPr>
      <w:r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  <w:t>* Corresponding authors:</w:t>
      </w:r>
    </w:p>
    <w:p w14:paraId="718238BC">
      <w:pPr>
        <w:jc w:val="left"/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  <w:r>
        <w:rPr>
          <w:rFonts w:ascii="Times New Roman Regular" w:hAnsi="Times New Roman Regular" w:eastAsia="Times New Roman" w:cs="Times New Roman Regular"/>
          <w:kern w:val="0"/>
          <w:sz w:val="24"/>
          <w:szCs w:val="24"/>
          <w:lang w:val="en"/>
        </w:rPr>
        <w:t>Yu-Chang Hu: E-mail: huyuchang@hotmail.com</w:t>
      </w:r>
    </w:p>
    <w:p w14:paraId="0D16AF31">
      <w:pP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  <w: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  <w:t xml:space="preserve">Qing Han, M.D. </w:t>
      </w:r>
    </w:p>
    <w:p w14:paraId="0C126364">
      <w:pP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  <w: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  <w:t>Department of Gynaecology</w:t>
      </w:r>
    </w:p>
    <w:p w14:paraId="66F4C8B9">
      <w:pP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  <w: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  <w:t>Yichang Central People's Hospital</w:t>
      </w:r>
    </w:p>
    <w:p w14:paraId="23B062C1">
      <w:pP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  <w: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  <w:t>Yichang, China 443003</w:t>
      </w:r>
    </w:p>
    <w:p w14:paraId="1109EB90">
      <w:pPr>
        <w:rPr>
          <w:rFonts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</w:pPr>
      <w:r>
        <w:rPr>
          <w:rFonts w:hint="eastAsia" w:ascii="Times New Roman Regular" w:hAnsi="Times New Roman Regular" w:eastAsia="Times New Roman" w:cs="Times New Roman Regular"/>
          <w:b w:val="0"/>
          <w:bCs/>
          <w:kern w:val="0"/>
          <w:sz w:val="24"/>
          <w:szCs w:val="24"/>
          <w:lang w:val="en"/>
        </w:rPr>
        <w:t>maria_hanqing@163.com</w:t>
      </w:r>
    </w:p>
    <w:p w14:paraId="49E9B3B1">
      <w:pPr>
        <w:rPr>
          <w:rFonts w:ascii="Times New Roman Regular" w:hAnsi="Times New Roman Regular" w:cs="Times New Roman Regular"/>
          <w:b/>
          <w:bCs/>
        </w:rPr>
      </w:pPr>
    </w:p>
    <w:p w14:paraId="0CE52BEA">
      <w:pPr>
        <w:rPr>
          <w:rFonts w:ascii="Times New Roman Regular" w:hAnsi="Times New Roman Regular" w:cs="Times New Roman Regular"/>
          <w:b/>
          <w:bCs/>
        </w:rPr>
      </w:pPr>
    </w:p>
    <w:p w14:paraId="3281D67B">
      <w:pPr>
        <w:rPr>
          <w:rFonts w:ascii="Times New Roman Regular" w:hAnsi="Times New Roman Regular" w:cs="Times New Roman Regular"/>
          <w:b/>
          <w:bCs/>
        </w:rPr>
      </w:pPr>
    </w:p>
    <w:p w14:paraId="4F390772">
      <w:pPr>
        <w:rPr>
          <w:rFonts w:ascii="Times New Roman Regular" w:hAnsi="Times New Roman Regular" w:cs="Times New Roman Regular"/>
          <w:b/>
          <w:bCs/>
        </w:rPr>
      </w:pPr>
    </w:p>
    <w:p w14:paraId="1BEDE587">
      <w:pPr>
        <w:rPr>
          <w:rFonts w:ascii="Times New Roman Regular" w:hAnsi="Times New Roman Regular" w:cs="Times New Roman Regular"/>
          <w:b/>
          <w:bCs/>
        </w:rPr>
      </w:pPr>
    </w:p>
    <w:p w14:paraId="7C5BA729">
      <w:pPr>
        <w:rPr>
          <w:rFonts w:ascii="Times New Roman Regular" w:hAnsi="Times New Roman Regular" w:cs="Times New Roman Regular"/>
          <w:b/>
          <w:bCs/>
        </w:rPr>
      </w:pPr>
    </w:p>
    <w:p w14:paraId="03BA344E">
      <w:pPr>
        <w:rPr>
          <w:rFonts w:ascii="Times New Roman Regular" w:hAnsi="Times New Roman Regular" w:cs="Times New Roman Regular"/>
          <w:b/>
          <w:bCs/>
        </w:rPr>
      </w:pPr>
    </w:p>
    <w:p w14:paraId="67A6C471">
      <w:pPr>
        <w:rPr>
          <w:rFonts w:ascii="Times New Roman Regular" w:hAnsi="Times New Roman Regular" w:cs="Times New Roman Regular"/>
          <w:b/>
          <w:bCs/>
        </w:rPr>
      </w:pPr>
    </w:p>
    <w:p w14:paraId="22DADDB4">
      <w:pPr>
        <w:rPr>
          <w:rFonts w:ascii="Times New Roman Regular" w:hAnsi="Times New Roman Regular" w:cs="Times New Roman Regular"/>
          <w:b/>
          <w:bCs/>
        </w:rPr>
      </w:pPr>
    </w:p>
    <w:p w14:paraId="62081A62">
      <w:pPr>
        <w:rPr>
          <w:rFonts w:ascii="Times New Roman Regular" w:hAnsi="Times New Roman Regular" w:cs="Times New Roman Regular"/>
          <w:b/>
          <w:bCs/>
        </w:rPr>
      </w:pPr>
    </w:p>
    <w:p w14:paraId="359590EB">
      <w:pPr>
        <w:rPr>
          <w:rFonts w:ascii="Times New Roman Regular" w:hAnsi="Times New Roman Regular" w:cs="Times New Roman Regular"/>
          <w:b/>
          <w:bCs/>
        </w:rPr>
      </w:pPr>
    </w:p>
    <w:p w14:paraId="07850CCF">
      <w:pPr>
        <w:rPr>
          <w:rFonts w:ascii="Times New Roman Regular" w:hAnsi="Times New Roman Regular" w:cs="Times New Roman Regular"/>
          <w:b/>
          <w:bCs/>
        </w:rPr>
      </w:pPr>
    </w:p>
    <w:p w14:paraId="5ECCDA62">
      <w:pPr>
        <w:rPr>
          <w:rFonts w:ascii="Times New Roman Regular" w:hAnsi="Times New Roman Regular" w:cs="Times New Roman Regular"/>
          <w:b/>
          <w:bCs/>
        </w:rPr>
      </w:pPr>
    </w:p>
    <w:p w14:paraId="6D73E4DC">
      <w:pPr>
        <w:rPr>
          <w:rFonts w:ascii="Times New Roman Regular" w:hAnsi="Times New Roman Regular" w:cs="Times New Roman Regular"/>
          <w:b/>
          <w:bCs/>
        </w:rPr>
      </w:pPr>
    </w:p>
    <w:p w14:paraId="2AF5BAFB">
      <w:pPr>
        <w:rPr>
          <w:rFonts w:ascii="Times New Roman Regular" w:hAnsi="Times New Roman Regular" w:cs="Times New Roman Regular"/>
          <w:b/>
          <w:bCs/>
        </w:rPr>
      </w:pPr>
    </w:p>
    <w:p w14:paraId="282B0624">
      <w:pPr>
        <w:rPr>
          <w:rFonts w:ascii="Times New Roman Regular" w:hAnsi="Times New Roman Regular" w:cs="Times New Roman Regular"/>
          <w:b/>
          <w:bCs/>
        </w:rPr>
      </w:pPr>
    </w:p>
    <w:p w14:paraId="6351289C">
      <w:pPr>
        <w:rPr>
          <w:rFonts w:ascii="Times New Roman Regular" w:hAnsi="Times New Roman Regular" w:cs="Times New Roman Regular"/>
          <w:b/>
          <w:bCs/>
        </w:rPr>
      </w:pPr>
    </w:p>
    <w:p w14:paraId="5D9C3620">
      <w:pPr>
        <w:rPr>
          <w:rFonts w:ascii="Times New Roman Regular" w:hAnsi="Times New Roman Regular" w:cs="Times New Roman Regular"/>
          <w:b/>
          <w:bCs/>
        </w:rPr>
      </w:pPr>
    </w:p>
    <w:p w14:paraId="5A804D8C">
      <w:pPr>
        <w:rPr>
          <w:rFonts w:ascii="Times New Roman Regular" w:hAnsi="Times New Roman Regular" w:cs="Times New Roman Regular"/>
          <w:b/>
          <w:bCs/>
        </w:rPr>
      </w:pPr>
    </w:p>
    <w:p w14:paraId="4D45C9DF">
      <w:pPr>
        <w:rPr>
          <w:rFonts w:ascii="Times New Roman Regular" w:hAnsi="Times New Roman Regular" w:cs="Times New Roman Regular"/>
          <w:b/>
          <w:bCs/>
        </w:rPr>
      </w:pPr>
    </w:p>
    <w:p w14:paraId="1621489E">
      <w:pPr>
        <w:rPr>
          <w:rFonts w:ascii="Times New Roman Regular" w:hAnsi="Times New Roman Regular" w:cs="Times New Roman Regular"/>
          <w:b/>
          <w:bCs/>
        </w:rPr>
      </w:pPr>
    </w:p>
    <w:p w14:paraId="335E7FEB">
      <w:pPr>
        <w:rPr>
          <w:rFonts w:ascii="Times New Roman Regular" w:hAnsi="Times New Roman Regular" w:cs="Times New Roman Regular"/>
          <w:b/>
          <w:bCs/>
        </w:rPr>
      </w:pPr>
    </w:p>
    <w:p w14:paraId="3BADF99C">
      <w:pPr>
        <w:rPr>
          <w:rFonts w:ascii="Times New Roman Regular" w:hAnsi="Times New Roman Regular" w:cs="Times New Roman Regular"/>
          <w:b/>
          <w:bCs/>
        </w:rPr>
      </w:pPr>
    </w:p>
    <w:p w14:paraId="34E3EAD6">
      <w:pPr>
        <w:rPr>
          <w:rFonts w:ascii="Times New Roman Regular" w:hAnsi="Times New Roman Regular" w:cs="Times New Roman Regular"/>
          <w:b/>
          <w:bCs/>
        </w:rPr>
      </w:pPr>
    </w:p>
    <w:p w14:paraId="7C4DE634">
      <w:pPr>
        <w:rPr>
          <w:rFonts w:ascii="Times New Roman Regular" w:hAnsi="Times New Roman Regular" w:cs="Times New Roman Regular"/>
          <w:b/>
          <w:bCs/>
        </w:rPr>
      </w:pPr>
    </w:p>
    <w:p w14:paraId="63C916A0">
      <w:pPr>
        <w:rPr>
          <w:rFonts w:ascii="Times New Roman Regular" w:hAnsi="Times New Roman Regular" w:cs="Times New Roman Regular"/>
          <w:b/>
          <w:bCs/>
        </w:rPr>
      </w:pPr>
    </w:p>
    <w:p w14:paraId="4BDEB42C">
      <w:pPr>
        <w:rPr>
          <w:rFonts w:hint="default" w:ascii="Times New Roman Regular" w:hAnsi="Times New Roman Regular" w:cs="Times New Roman Regular"/>
          <w:b/>
          <w:bCs/>
          <w:lang w:val="en-US"/>
        </w:rPr>
      </w:pPr>
    </w:p>
    <w:p w14:paraId="5B5A7458">
      <w:pPr>
        <w:ind w:firstLine="420"/>
        <w:jc w:val="center"/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 xml:space="preserve">Table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1 Clinicopathologic data of EOC patients (75 cases)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843"/>
        <w:gridCol w:w="1984"/>
      </w:tblGrid>
      <w:tr w14:paraId="0ED04A45">
        <w:trPr>
          <w:trHeight w:val="397" w:hRule="exact"/>
          <w:jc w:val="center"/>
        </w:trPr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 w14:paraId="171B330F">
            <w:pPr>
              <w:spacing w:after="160" w:line="276" w:lineRule="auto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Clinicopathological Parameters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 w14:paraId="09827908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Cases (n)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</w:tcPr>
          <w:p w14:paraId="6D69CC52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Percentage (%)</w:t>
            </w:r>
          </w:p>
        </w:tc>
      </w:tr>
      <w:tr w14:paraId="0F15CED1">
        <w:trPr>
          <w:trHeight w:val="340" w:hRule="exact"/>
          <w:jc w:val="center"/>
        </w:trPr>
        <w:tc>
          <w:tcPr>
            <w:tcW w:w="3119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67BE02DE">
            <w:pPr>
              <w:spacing w:after="160" w:line="276" w:lineRule="auto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Age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7F80FBA0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nil"/>
              <w:right w:val="nil"/>
            </w:tcBorders>
          </w:tcPr>
          <w:p w14:paraId="1242286E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14:paraId="67E39C43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2ABED02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≥54 years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051B3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B100E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52.0</w:t>
            </w:r>
          </w:p>
        </w:tc>
      </w:tr>
      <w:tr w14:paraId="44A1B2C9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1EE9281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&lt;54 years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7225F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E8999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48.0</w:t>
            </w:r>
          </w:p>
        </w:tc>
      </w:tr>
      <w:tr w14:paraId="503273FF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A549AC5">
            <w:pPr>
              <w:spacing w:after="160" w:line="276" w:lineRule="auto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Histological Type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C2318F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F42B6B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14:paraId="508679C2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A98EC75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Serous carcinoma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B410C9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F49F0C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94.7</w:t>
            </w:r>
          </w:p>
        </w:tc>
      </w:tr>
      <w:tr w14:paraId="331DA2F5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1F9DE9E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Clear cell carcinoma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DE36C0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E75E68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4.0</w:t>
            </w:r>
          </w:p>
        </w:tc>
      </w:tr>
      <w:tr w14:paraId="49E42E30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016F6B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Endometrioid carcinoma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1C0A41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C223CD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1.3</w:t>
            </w:r>
          </w:p>
        </w:tc>
      </w:tr>
      <w:tr w14:paraId="3FC2CD6F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1CCC28D">
            <w:pPr>
              <w:spacing w:after="160" w:line="276" w:lineRule="auto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FIGO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507044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EFC0C3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14:paraId="3DEB6CEC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F4FF7F0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Stage 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E77925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1F5ACE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10.7</w:t>
            </w:r>
          </w:p>
        </w:tc>
      </w:tr>
      <w:tr w14:paraId="106B3E02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BBE7CA5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Stage 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C0706D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2A5DF0F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13.3</w:t>
            </w:r>
          </w:p>
        </w:tc>
      </w:tr>
      <w:tr w14:paraId="6525A107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D369A5B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Stage III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CC87C6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81945D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65.3</w:t>
            </w:r>
          </w:p>
        </w:tc>
      </w:tr>
      <w:tr w14:paraId="0F50930B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F9F8373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Stage IV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82C0EC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2FF82D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10.7</w:t>
            </w:r>
          </w:p>
        </w:tc>
      </w:tr>
      <w:tr w14:paraId="23B03359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125C56B">
            <w:pPr>
              <w:spacing w:after="160" w:line="276" w:lineRule="auto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Ascites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136B18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004DAA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14:paraId="2FF8E355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9AEA6D6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Present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4340D9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1BAE42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61.3</w:t>
            </w:r>
          </w:p>
        </w:tc>
      </w:tr>
      <w:tr w14:paraId="3D163E05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A36070C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Absent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B94908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335A26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38.7</w:t>
            </w:r>
          </w:p>
        </w:tc>
      </w:tr>
      <w:tr w14:paraId="128E3A41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5613F8">
            <w:pPr>
              <w:spacing w:after="160" w:line="276" w:lineRule="auto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Lymphadenectomy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48D5E1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41E8D7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14:paraId="3EAC1A7D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55D814A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Performed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35F523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409FFED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80.0</w:t>
            </w:r>
          </w:p>
        </w:tc>
      </w:tr>
      <w:tr w14:paraId="69664334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B80FCC2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6D8607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BB9594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20.0</w:t>
            </w:r>
          </w:p>
        </w:tc>
      </w:tr>
      <w:tr w14:paraId="60FC7A3C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2D0613">
            <w:pPr>
              <w:spacing w:after="160" w:line="276" w:lineRule="auto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Lymph Node Metastasis</w:t>
            </w:r>
            <w:r>
              <w:rPr>
                <w:rFonts w:ascii="Times New Roman Regular" w:hAnsi="Times New Roman Regular" w:cs="Times New Roman Regular"/>
                <w:b/>
                <w:bCs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4EB4C2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79569D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14:paraId="1542C023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0EA2849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Positive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186637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1622D3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45.0</w:t>
            </w:r>
          </w:p>
        </w:tc>
      </w:tr>
      <w:tr w14:paraId="6564BC29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CD1BD21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Negative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518097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BF0662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55.0</w:t>
            </w:r>
          </w:p>
        </w:tc>
      </w:tr>
      <w:tr w14:paraId="4D918933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935393">
            <w:pPr>
              <w:spacing w:after="160" w:line="276" w:lineRule="auto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Chemotherapy Response</w:t>
            </w:r>
            <w:r>
              <w:rPr>
                <w:rFonts w:ascii="Times New Roman Regular" w:hAnsi="Times New Roman Regular" w:cs="Times New Roman Regular"/>
                <w:b/>
                <w:bCs/>
              </w:rPr>
              <w:tab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FA10B6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5FD595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14:paraId="15D33602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34952BA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Resistant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F78450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9BA344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25.0</w:t>
            </w:r>
          </w:p>
        </w:tc>
      </w:tr>
      <w:tr w14:paraId="734A2F5A">
        <w:trPr>
          <w:trHeight w:val="340" w:hRule="exact"/>
          <w:jc w:val="center"/>
        </w:trPr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62CB9715">
            <w:pPr>
              <w:spacing w:after="160" w:line="276" w:lineRule="auto"/>
              <w:ind w:firstLine="210" w:firstLineChars="1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Sensitive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376FEED9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54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5C2ADC16">
            <w:pPr>
              <w:spacing w:after="160" w:line="276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75.0</w:t>
            </w:r>
          </w:p>
        </w:tc>
      </w:tr>
    </w:tbl>
    <w:p w14:paraId="336B202A">
      <w:pPr>
        <w:widowControl/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</w:rPr>
      </w:pPr>
    </w:p>
    <w:p w14:paraId="508A9567">
      <w:pPr>
        <w:widowControl/>
        <w:jc w:val="center"/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Table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2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. The sequences of siRNA.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2396"/>
        <w:gridCol w:w="3763"/>
      </w:tblGrid>
      <w:tr w14:paraId="04F513B1">
        <w:tc>
          <w:tcPr>
            <w:tcW w:w="236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60E8A6">
            <w:pPr>
              <w:spacing w:line="360" w:lineRule="auto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:szCs w:val="24"/>
              </w:rPr>
              <w:t>siRNA</w:t>
            </w:r>
          </w:p>
        </w:tc>
        <w:tc>
          <w:tcPr>
            <w:tcW w:w="239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B38D80">
            <w:pPr>
              <w:spacing w:line="360" w:lineRule="auto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376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FC7D85">
            <w:pPr>
              <w:tabs>
                <w:tab w:val="center" w:pos="3790"/>
              </w:tabs>
              <w:spacing w:line="360" w:lineRule="auto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24"/>
                <w:szCs w:val="24"/>
              </w:rPr>
              <w:t>Sequence (5’ to 3’)</w:t>
            </w:r>
          </w:p>
        </w:tc>
      </w:tr>
      <w:tr w14:paraId="561370A0">
        <w:tc>
          <w:tcPr>
            <w:tcW w:w="23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571B3">
            <w:pPr>
              <w:spacing w:line="36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siPXR-1</w:t>
            </w:r>
          </w:p>
        </w:tc>
        <w:tc>
          <w:tcPr>
            <w:tcW w:w="23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9D532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 xml:space="preserve">Sense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trand</w:t>
            </w:r>
          </w:p>
        </w:tc>
        <w:tc>
          <w:tcPr>
            <w:tcW w:w="37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A5853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GCUGGAACCAUGCUGACUUTT</w:t>
            </w:r>
          </w:p>
        </w:tc>
      </w:tr>
      <w:tr w14:paraId="50CC434B"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AC09F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siPXR-1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89DDB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 xml:space="preserve">Antisense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s</w:t>
            </w: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trand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FE69B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AAGUCAGCAUGGUUCCAGCTT</w:t>
            </w:r>
          </w:p>
        </w:tc>
      </w:tr>
      <w:tr w14:paraId="04833047"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E3CD6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siPXR-1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165B6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 xml:space="preserve">Sense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trand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FE0F2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GCAGGAGCAAUUCGCCAUUTT</w:t>
            </w:r>
          </w:p>
        </w:tc>
      </w:tr>
      <w:tr w14:paraId="726C9CDD">
        <w:trPr>
          <w:trHeight w:val="482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854C0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siPXR-1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BF61A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 xml:space="preserve">Antisense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s</w:t>
            </w: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trand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2BFB0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AAUGGCGAAUUGCUCCUGCTT</w:t>
            </w:r>
          </w:p>
        </w:tc>
      </w:tr>
      <w:tr w14:paraId="79DB5232"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7456D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siPXR-1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59BB7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 xml:space="preserve">Sense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trand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91E32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GGAAAGAUCUGUGCUCUUUTT</w:t>
            </w:r>
          </w:p>
        </w:tc>
      </w:tr>
      <w:tr w14:paraId="0E1DEE4D"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24F1F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siPXR-1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2C9DC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 xml:space="preserve">Antisense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s</w:t>
            </w: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trand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5B3DB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AAAGAGCACAGAUCUUUCCTT</w:t>
            </w:r>
          </w:p>
        </w:tc>
      </w:tr>
      <w:tr w14:paraId="50987CD7"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3AAA6">
            <w:pPr>
              <w:spacing w:line="360" w:lineRule="auto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siNC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0E7D0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 xml:space="preserve">Sense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s</w:t>
            </w:r>
            <w:r>
              <w:rPr>
                <w:rFonts w:ascii="Times New Roman" w:hAnsi="Times New Roman" w:eastAsia="Segoe UI" w:cs="Times New Roman"/>
                <w:b w:val="0"/>
                <w:bCs w:val="0"/>
                <w:color w:val="24292F"/>
                <w:sz w:val="24"/>
                <w:szCs w:val="24"/>
                <w:shd w:val="clear" w:color="auto" w:fill="FFFFFF"/>
              </w:rPr>
              <w:t>trand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A1D8D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UUCUCCGAACGUGUCACGUTT</w:t>
            </w:r>
          </w:p>
        </w:tc>
      </w:tr>
      <w:tr w14:paraId="3E7CCEE9"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A5F6C2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 w:val="24"/>
                <w:szCs w:val="24"/>
                <w:lang w:val="en-US"/>
              </w:rPr>
              <w:t>siNC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B2C6C1">
            <w:pPr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 xml:space="preserve">Antisense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s</w:t>
            </w:r>
            <w:r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trand</w:t>
            </w:r>
          </w:p>
        </w:tc>
        <w:tc>
          <w:tcPr>
            <w:tcW w:w="37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8DF2FCA">
            <w:pPr>
              <w:tabs>
                <w:tab w:val="center" w:pos="3790"/>
              </w:tabs>
              <w:spacing w:line="360" w:lineRule="auto"/>
              <w:jc w:val="left"/>
              <w:rPr>
                <w:rFonts w:ascii="Times New Roman" w:hAnsi="Times New Roman" w:eastAsia="等线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 w:val="24"/>
                <w:szCs w:val="24"/>
              </w:rPr>
              <w:t>ACGUGACACGUUCGGAGAATT</w:t>
            </w:r>
          </w:p>
        </w:tc>
      </w:tr>
    </w:tbl>
    <w:p w14:paraId="7BCC33C3">
      <w:pPr>
        <w:rPr>
          <w:rFonts w:hint="eastAsia"/>
        </w:rPr>
      </w:pPr>
    </w:p>
    <w:p w14:paraId="5CD87F93">
      <w:pPr>
        <w:jc w:val="center"/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Table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3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. The sequences of primers.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2"/>
        <w:gridCol w:w="5108"/>
      </w:tblGrid>
      <w:tr w14:paraId="6A812B19">
        <w:trPr>
          <w:trHeight w:val="468" w:hRule="atLeast"/>
        </w:trPr>
        <w:tc>
          <w:tcPr>
            <w:tcW w:w="2002" w:type="pct"/>
            <w:tcBorders>
              <w:left w:val="nil"/>
              <w:right w:val="nil"/>
            </w:tcBorders>
            <w:shd w:val="clear" w:color="auto" w:fill="auto"/>
            <w:vAlign w:val="top"/>
          </w:tcPr>
          <w:p w14:paraId="107FA5FD">
            <w:pPr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4"/>
                <w:szCs w:val="24"/>
              </w:rPr>
              <w:t>Primers</w:t>
            </w:r>
          </w:p>
        </w:tc>
        <w:tc>
          <w:tcPr>
            <w:tcW w:w="2997" w:type="pct"/>
            <w:tcBorders>
              <w:left w:val="nil"/>
              <w:right w:val="nil"/>
            </w:tcBorders>
            <w:shd w:val="clear" w:color="auto" w:fill="auto"/>
            <w:vAlign w:val="top"/>
          </w:tcPr>
          <w:p w14:paraId="005A4E00">
            <w:pPr>
              <w:tabs>
                <w:tab w:val="center" w:pos="3790"/>
              </w:tabs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/>
                <w:bCs/>
                <w:sz w:val="24"/>
                <w:szCs w:val="24"/>
              </w:rPr>
              <w:t>Sequence (5’ to 3’)</w:t>
            </w:r>
          </w:p>
        </w:tc>
      </w:tr>
      <w:tr w14:paraId="619F5228">
        <w:trPr>
          <w:trHeight w:val="468" w:hRule="atLeast"/>
        </w:trPr>
        <w:tc>
          <w:tcPr>
            <w:tcW w:w="200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D5D03">
            <w:pPr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  <w:lang w:val="en-US"/>
              </w:rPr>
              <w:t>ACTIN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</w:rPr>
              <w:t xml:space="preserve"> forward primer</w:t>
            </w:r>
          </w:p>
        </w:tc>
        <w:tc>
          <w:tcPr>
            <w:tcW w:w="2997" w:type="pct"/>
            <w:tcBorders>
              <w:left w:val="nil"/>
              <w:bottom w:val="nil"/>
              <w:right w:val="nil"/>
            </w:tcBorders>
            <w:vAlign w:val="center"/>
          </w:tcPr>
          <w:p w14:paraId="67B9C14E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GTCCACCGCAAATGCTTCTA</w:t>
            </w:r>
          </w:p>
        </w:tc>
      </w:tr>
      <w:tr w14:paraId="3CE9C818">
        <w:trPr>
          <w:trHeight w:val="468" w:hRule="atLeast"/>
        </w:trPr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D66E4">
            <w:pPr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  <w:lang w:val="en-US"/>
              </w:rPr>
              <w:t>ACTIN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</w:rPr>
              <w:t xml:space="preserve"> reverse primer</w:t>
            </w:r>
          </w:p>
        </w:tc>
        <w:tc>
          <w:tcPr>
            <w:tcW w:w="2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27226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TGCTGTCACCTTCACCGTTC</w:t>
            </w:r>
          </w:p>
        </w:tc>
      </w:tr>
      <w:tr w14:paraId="6D09FDA0">
        <w:trPr>
          <w:trHeight w:val="468" w:hRule="atLeast"/>
        </w:trPr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C6B60">
            <w:pPr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  <w:lang w:val="en-US"/>
              </w:rPr>
              <w:t>PXR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</w:rPr>
              <w:t xml:space="preserve"> forward primer</w:t>
            </w:r>
          </w:p>
        </w:tc>
        <w:tc>
          <w:tcPr>
            <w:tcW w:w="2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EC1AA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AGCGGAAGAAAAGTGAACGG</w:t>
            </w:r>
          </w:p>
        </w:tc>
      </w:tr>
      <w:tr w14:paraId="16F83497">
        <w:trPr>
          <w:trHeight w:val="468" w:hRule="atLeast"/>
        </w:trPr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E958B">
            <w:pPr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  <w:lang w:val="en-US"/>
              </w:rPr>
              <w:t>PXR</w:t>
            </w: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</w:rPr>
              <w:t xml:space="preserve"> reverse primer</w:t>
            </w:r>
          </w:p>
        </w:tc>
        <w:tc>
          <w:tcPr>
            <w:tcW w:w="2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49F15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AAAGAGCACAGATCTTTCCGG</w:t>
            </w:r>
          </w:p>
        </w:tc>
      </w:tr>
      <w:tr w14:paraId="0522AF1C">
        <w:trPr>
          <w:trHeight w:val="468" w:hRule="atLeast"/>
        </w:trPr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26EEA">
            <w:pPr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</w:rPr>
              <w:t>MDR1 forward primer</w:t>
            </w:r>
          </w:p>
        </w:tc>
        <w:tc>
          <w:tcPr>
            <w:tcW w:w="2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CA82D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TTCATGCTATAATGCGACAGGAG</w:t>
            </w:r>
          </w:p>
        </w:tc>
      </w:tr>
      <w:tr w14:paraId="7D25750E">
        <w:trPr>
          <w:trHeight w:val="468" w:hRule="atLeast"/>
        </w:trPr>
        <w:tc>
          <w:tcPr>
            <w:tcW w:w="200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34EA8A">
            <w:pPr>
              <w:spacing w:line="360" w:lineRule="auto"/>
              <w:jc w:val="left"/>
              <w:rPr>
                <w:rFonts w:hint="default" w:ascii="Times New Roman Regular" w:hAnsi="Times New Roman Regular" w:eastAsia="等线" w:cs="Times New Roman Regular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等线" w:cs="Times New Roman Regular"/>
                <w:b w:val="0"/>
                <w:bCs w:val="0"/>
                <w:sz w:val="24"/>
                <w:szCs w:val="24"/>
              </w:rPr>
              <w:t>MDR1 reverse primer</w:t>
            </w:r>
          </w:p>
        </w:tc>
        <w:tc>
          <w:tcPr>
            <w:tcW w:w="2997" w:type="pct"/>
            <w:tcBorders>
              <w:top w:val="nil"/>
              <w:left w:val="nil"/>
              <w:right w:val="nil"/>
            </w:tcBorders>
            <w:vAlign w:val="center"/>
          </w:tcPr>
          <w:p w14:paraId="6B642800">
            <w:pPr>
              <w:jc w:val="both"/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vertAlign w:val="baseline"/>
              </w:rPr>
              <w:t>CTATAAACCCAGTGAAAAATGTTGC</w:t>
            </w:r>
          </w:p>
        </w:tc>
      </w:tr>
    </w:tbl>
    <w:p w14:paraId="2C39886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mNDJmZTE5NWNkNjkxZmI0MmVmMTU2Y2E4YWZiOGEifQ=="/>
  </w:docVars>
  <w:rsids>
    <w:rsidRoot w:val="FF6FE69E"/>
    <w:rsid w:val="64EBA0AF"/>
    <w:rsid w:val="D77F1797"/>
    <w:rsid w:val="ED53FB0E"/>
    <w:rsid w:val="FF6FE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无格式表格 21"/>
    <w:basedOn w:val="2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129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2025-06-21T01:17:00Z</dcterms:created>
  <dc:creator>刘侨</dc:creator>
  <cp:lastModifiedBy>刘侨</cp:lastModifiedBy>
  <dcterms:modified xsi:type="dcterms:W3CDTF">2025-10-04T22:57:17Z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DE463EB0FBB425632B4654684FD5EB42_41</vt:lpwstr>
  </property>
</Properties>
</file>